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r>
        <w:rPr>
          <w:rFonts w:ascii="Arial" w:cs="Arial" w:eastAsia="Arial" w:hAnsi="Arial"/>
          <w:b/>
          <w:bCs/>
          <w:color w:val="0F766E"/>
          <w:sz w:val="56"/>
          <w:szCs w:val="56"/>
        </w:rPr>
        <w:t xml:space="preserve">Cahier des charges</w:t>
      </w:r>
    </w:p>
    <w:p>
      <w:pPr>
        <w:spacing w:after="600" w:before="200"/>
      </w:pPr>
      <w:r>
        <w:rPr>
          <w:rFonts w:ascii="Arial" w:cs="Arial" w:eastAsia="Arial" w:hAnsi="Arial"/>
          <w:color w:val="1F2937"/>
          <w:sz w:val="30"/>
          <w:szCs w:val="30"/>
        </w:rPr>
        <w:t xml:space="preserve">Plateforme de génération de vidéos et d'images par IA, payable en mobile money — République du Congo</w:t>
      </w:r>
    </w:p>
    <w:p>
      <w:pPr>
        <w:pBdr>
          <w:bottom w:val="single" w:color="0F766E" w:sz="12" w:space="1"/>
        </w:pBdr>
      </w:pPr>
    </w:p>
    <w:p>
      <w:pPr>
        <w:spacing w:before="120"/>
      </w:pPr>
      <w:r>
        <w:rPr>
          <w:rFonts w:ascii="Arial" w:cs="Arial" w:eastAsia="Arial" w:hAnsi="Arial"/>
          <w:b/>
          <w:bCs/>
          <w:color w:val="475569"/>
          <w:sz w:val="22"/>
          <w:szCs w:val="22"/>
        </w:rPr>
        <w:t xml:space="preserve">Nom :</w:t>
      </w:r>
      <w:r>
        <w:rPr>
          <w:rFonts w:ascii="Arial" w:cs="Arial" w:eastAsia="Arial" w:hAnsi="Arial"/>
          <w:color w:val="475569"/>
          <w:sz w:val="22"/>
          <w:szCs w:val="22"/>
        </w:rPr>
        <w:t xml:space="preserve"> Yamboka — en lingala, « ya mboka » : « du pays, de chez nous ». Né à Brazzaville, pensé pour l'Afrique.</w:t>
      </w:r>
    </w:p>
    <w:p>
      <w:pPr>
        <w:spacing w:before="120"/>
      </w:pPr>
      <w:r>
        <w:rPr>
          <w:rFonts w:ascii="Arial" w:cs="Arial" w:eastAsia="Arial" w:hAnsi="Arial"/>
          <w:b/>
          <w:bCs/>
          <w:color w:val="475569"/>
          <w:sz w:val="22"/>
          <w:szCs w:val="22"/>
        </w:rPr>
        <w:t xml:space="preserve">Porteur du projet :</w:t>
      </w:r>
      <w:r>
        <w:rPr>
          <w:rFonts w:ascii="Arial" w:cs="Arial" w:eastAsia="Arial" w:hAnsi="Arial"/>
          <w:color w:val="475569"/>
          <w:sz w:val="22"/>
          <w:szCs w:val="22"/>
        </w:rPr>
        <w:t xml:space="preserve"> Riche Isaac Makso — Brazzaville</w:t>
      </w:r>
    </w:p>
    <w:p>
      <w:pPr>
        <w:spacing w:before="120"/>
      </w:pPr>
      <w:r>
        <w:rPr>
          <w:rFonts w:ascii="Arial" w:cs="Arial" w:eastAsia="Arial" w:hAnsi="Arial"/>
          <w:b/>
          <w:bCs/>
          <w:color w:val="475569"/>
          <w:sz w:val="22"/>
          <w:szCs w:val="22"/>
        </w:rPr>
        <w:t xml:space="preserve">Version :</w:t>
      </w:r>
      <w:r>
        <w:rPr>
          <w:rFonts w:ascii="Arial" w:cs="Arial" w:eastAsia="Arial" w:hAnsi="Arial"/>
          <w:color w:val="475569"/>
          <w:sz w:val="22"/>
          <w:szCs w:val="22"/>
        </w:rPr>
        <w:t xml:space="preserve"> 1.4 — 22 octobre 2026 (nom Yamboka et vision internationale ; connexion Google et e-mail ; deux espaces ; stockage R2)</w:t>
      </w:r>
    </w:p>
    <w:p>
      <w:pPr>
        <w:spacing w:before="120"/>
      </w:pPr>
      <w:r>
        <w:rPr>
          <w:rFonts w:ascii="Arial" w:cs="Arial" w:eastAsia="Arial" w:hAnsi="Arial"/>
          <w:b/>
          <w:bCs/>
          <w:color w:val="475569"/>
          <w:sz w:val="22"/>
          <w:szCs w:val="22"/>
        </w:rPr>
        <w:t xml:space="preserve">Documents liés :</w:t>
      </w:r>
      <w:r>
        <w:rPr>
          <w:rFonts w:ascii="Arial" w:cs="Arial" w:eastAsia="Arial" w:hAnsi="Arial"/>
          <w:color w:val="475569"/>
          <w:sz w:val="22"/>
          <w:szCs w:val="22"/>
        </w:rPr>
        <w:t xml:space="preserve"> Offre technique · Business model et plan · Prompt de génération IA · Modèle financier (Excel)</w:t>
      </w:r>
    </w:p>
    <w:p>
      <w:r>
        <w:br w:type="page"/>
      </w:r>
    </w:p>
    <w:p>
      <w:r>
        <w:rPr>
          <w:rFonts w:ascii="Arial" w:cs="Arial" w:eastAsia="Arial" w:hAnsi="Arial"/>
          <w:b/>
          <w:bCs/>
          <w:color w:val="1F2937"/>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Présentation du projet</w:t>
      </w:r>
    </w:p>
    <w:p>
      <w:pPr>
        <w:pStyle w:val="Heading2"/>
      </w:pPr>
      <w:r>
        <w:rPr>
          <w:rFonts w:ascii="Arial" w:cs="Arial" w:eastAsia="Arial" w:hAnsi="Arial"/>
        </w:rPr>
        <w:t xml:space="preserve">1.1 Contexte</w:t>
      </w:r>
    </w:p>
    <w:p>
      <w:pPr>
        <w:spacing w:after="120"/>
      </w:pPr>
      <w:r>
        <w:rPr>
          <w:rFonts w:ascii="Arial" w:cs="Arial" w:eastAsia="Arial" w:hAnsi="Arial"/>
        </w:rPr>
        <w:t xml:space="preserve">Les outils de génération vidéo par intelligence artificielle (IA) sont devenus accessibles au grand public en 2026. Higgsfield, l'un des acteurs majeurs, propose depuis septembre 2026 une API payante à l'usage donnant accès à plus de 50 modèles, dont </w:t>
      </w:r>
      <w:r>
        <w:rPr>
          <w:rFonts w:ascii="Arial" w:cs="Arial" w:eastAsia="Arial" w:hAnsi="Arial"/>
          <w:b/>
          <w:bCs/>
        </w:rPr>
        <w:t xml:space="preserve">Genjutsu</w:t>
      </w:r>
      <w:r>
        <w:rPr>
          <w:rFonts w:ascii="Arial" w:cs="Arial" w:eastAsia="Arial" w:hAnsi="Arial"/>
        </w:rPr>
        <w:t xml:space="preserve">, son modèle vidéo-vers-vidéo (transfert de mouvement et remplacement d'objets ou de personnages).</w:t>
      </w:r>
    </w:p>
    <w:p>
      <w:pPr>
        <w:spacing w:after="120"/>
      </w:pPr>
      <w:r>
        <w:rPr>
          <w:rFonts w:ascii="Arial" w:cs="Arial" w:eastAsia="Arial" w:hAnsi="Arial"/>
        </w:rPr>
        <w:t xml:space="preserve">En République du Congo (Brazzaville), ces outils restent pratiquement inaccessibles :</w:t>
      </w:r>
    </w:p>
    <w:p>
      <w:pPr>
        <w:pStyle w:val="ListParagraph"/>
        <w:numPr>
          <w:ilvl w:val="0"/>
          <w:numId w:val="2"/>
        </w:numPr>
      </w:pPr>
      <w:r>
        <w:rPr>
          <w:rFonts w:ascii="Arial" w:cs="Arial" w:eastAsia="Arial" w:hAnsi="Arial"/>
        </w:rPr>
        <w:t xml:space="preserve">ils se paient en dollars, par carte bancaire internationale, que la majorité de la population ne possède pas ;</w:t>
      </w:r>
    </w:p>
    <w:p>
      <w:pPr>
        <w:pStyle w:val="ListParagraph"/>
        <w:numPr>
          <w:ilvl w:val="0"/>
          <w:numId w:val="2"/>
        </w:numPr>
      </w:pPr>
      <w:r>
        <w:rPr>
          <w:rFonts w:ascii="Arial" w:cs="Arial" w:eastAsia="Arial" w:hAnsi="Arial"/>
        </w:rPr>
        <w:t xml:space="preserve">leurs interfaces sont en anglais et pensées pour des professionnels ;</w:t>
      </w:r>
    </w:p>
    <w:p>
      <w:pPr>
        <w:pStyle w:val="ListParagraph"/>
        <w:numPr>
          <w:ilvl w:val="0"/>
          <w:numId w:val="2"/>
        </w:numPr>
      </w:pPr>
      <w:r>
        <w:rPr>
          <w:rFonts w:ascii="Arial" w:cs="Arial" w:eastAsia="Arial" w:hAnsi="Arial"/>
        </w:rPr>
        <w:t xml:space="preserve">leurs tarifs sont présentés en abonnements mensuels, inadaptés aux habitudes de paiement locales (petits montants, à la demande).</w:t>
      </w:r>
    </w:p>
    <w:p>
      <w:pPr>
        <w:spacing w:after="120"/>
      </w:pPr>
      <w:r>
        <w:rPr>
          <w:rFonts w:ascii="Arial" w:cs="Arial" w:eastAsia="Arial" w:hAnsi="Arial"/>
        </w:rPr>
        <w:t xml:space="preserve">À l'inverse, le paiement mobile (MTN Mobile Money et Airtel Money) est massivement utilisé. L'agrégateur congolais </w:t>
      </w:r>
      <w:r>
        <w:rPr>
          <w:rFonts w:ascii="Arial" w:cs="Arial" w:eastAsia="Arial" w:hAnsi="Arial"/>
          <w:b/>
          <w:bCs/>
        </w:rPr>
        <w:t xml:space="preserve">OpenPay</w:t>
      </w:r>
      <w:r>
        <w:rPr>
          <w:rFonts w:ascii="Arial" w:cs="Arial" w:eastAsia="Arial" w:hAnsi="Arial"/>
        </w:rPr>
        <w:t xml:space="preserve"> permet à une application d'encaisser ces deux opérateurs via une seule API.</w:t>
      </w:r>
    </w:p>
    <w:p>
      <w:pPr>
        <w:pStyle w:val="Heading2"/>
      </w:pPr>
      <w:r>
        <w:rPr>
          <w:rFonts w:ascii="Arial" w:cs="Arial" w:eastAsia="Arial" w:hAnsi="Arial"/>
        </w:rPr>
        <w:t xml:space="preserve">1.2 Objet du projet</w:t>
      </w:r>
    </w:p>
    <w:p>
      <w:pPr>
        <w:spacing w:after="120"/>
      </w:pPr>
      <w:r>
        <w:rPr>
          <w:rFonts w:ascii="Arial" w:cs="Arial" w:eastAsia="Arial" w:hAnsi="Arial"/>
        </w:rPr>
        <w:t xml:space="preserve">Concevoir une plateforme web, simple et en français, qui permet à n'importe quel Congolais de :</w:t>
      </w:r>
    </w:p>
    <w:p>
      <w:pPr>
        <w:pStyle w:val="ListParagraph"/>
        <w:numPr>
          <w:ilvl w:val="0"/>
          <w:numId w:val="3"/>
        </w:numPr>
      </w:pPr>
      <w:r>
        <w:rPr>
          <w:rFonts w:ascii="Arial" w:cs="Arial" w:eastAsia="Arial" w:hAnsi="Arial"/>
        </w:rPr>
        <w:t xml:space="preserve">acheter des crédits en MTN ou Airtel Money, à partir de 500 FCFA ;</w:t>
      </w:r>
    </w:p>
    <w:p>
      <w:pPr>
        <w:pStyle w:val="ListParagraph"/>
        <w:numPr>
          <w:ilvl w:val="0"/>
          <w:numId w:val="3"/>
        </w:numPr>
      </w:pPr>
      <w:r>
        <w:rPr>
          <w:rFonts w:ascii="Arial" w:cs="Arial" w:eastAsia="Arial" w:hAnsi="Arial"/>
        </w:rPr>
        <w:t xml:space="preserve">générer des vidéos et des images par IA à partir de ses propres photos et vidéos, en quelques clics, grâce à des modèles prédéfinis (presets) adaptés aux usages locaux ;</w:t>
      </w:r>
    </w:p>
    <w:p>
      <w:pPr>
        <w:pStyle w:val="ListParagraph"/>
        <w:numPr>
          <w:ilvl w:val="0"/>
          <w:numId w:val="3"/>
        </w:numPr>
      </w:pPr>
      <w:r>
        <w:rPr>
          <w:rFonts w:ascii="Arial" w:cs="Arial" w:eastAsia="Arial" w:hAnsi="Arial"/>
        </w:rPr>
        <w:t xml:space="preserve">télécharger et partager le résultat, notamment sur WhatsApp et TikTok.</w:t>
      </w:r>
    </w:p>
    <w:p>
      <w:pPr>
        <w:spacing w:after="120"/>
      </w:pPr>
      <w:r>
        <w:rPr>
          <w:rFonts w:ascii="Arial" w:cs="Arial" w:eastAsia="Arial" w:hAnsi="Arial"/>
        </w:rPr>
        <w:t xml:space="preserve">La plateforme s'appuie sur l'API Higgsfield pour la génération et sur l'API OpenPay pour les paiements. En plus des pages publiques, elle comprend deux espaces : un </w:t>
      </w:r>
      <w:r>
        <w:rPr>
          <w:rFonts w:ascii="Arial" w:cs="Arial" w:eastAsia="Arial" w:hAnsi="Arial"/>
          <w:b/>
          <w:bCs/>
        </w:rPr>
        <w:t xml:space="preserve">espace utilisateur</w:t>
      </w:r>
      <w:r>
        <w:rPr>
          <w:rFonts w:ascii="Arial" w:cs="Arial" w:eastAsia="Arial" w:hAnsi="Arial"/>
        </w:rPr>
        <w:t xml:space="preserve"> pour les clients et un </w:t>
      </w:r>
      <w:r>
        <w:rPr>
          <w:rFonts w:ascii="Arial" w:cs="Arial" w:eastAsia="Arial" w:hAnsi="Arial"/>
          <w:b/>
          <w:bCs/>
        </w:rPr>
        <w:t xml:space="preserve">espace admin</w:t>
      </w:r>
      <w:r>
        <w:rPr>
          <w:rFonts w:ascii="Arial" w:cs="Arial" w:eastAsia="Arial" w:hAnsi="Arial"/>
        </w:rPr>
        <w:t xml:space="preserve">, réservé au porteur du projet, qui regroupe la supervision (suivi de l'activité, modération) et l'administration (catalogue, tarifs, finances, paramètres).</w:t>
      </w:r>
    </w:p>
    <w:p>
      <w:pPr>
        <w:pStyle w:val="Heading2"/>
      </w:pPr>
      <w:r>
        <w:rPr>
          <w:rFonts w:ascii="Arial" w:cs="Arial" w:eastAsia="Arial" w:hAnsi="Arial"/>
        </w:rPr>
        <w:t xml:space="preserve">1.3 Objectifs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56"/>
        <w:gridCol w:w="6182"/>
      </w:tblGrid>
      <w:tr>
        <w:trPr>
          <w:tblHeader/>
        </w:trPr>
        <w:tc>
          <w:tcPr>
            <w:tcW w:type="dxa" w:w="3456"/>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Objectif</w:t>
            </w:r>
          </w:p>
        </w:tc>
        <w:tc>
          <w:tcPr>
            <w:tcW w:type="dxa" w:w="618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Indicateur de réussite</w:t>
            </w:r>
          </w:p>
        </w:tc>
      </w:tr>
      <w:tr>
        <w:trPr>
          <w:tblHeader w:val="off"/>
        </w:trPr>
        <w:tc>
          <w:tcPr>
            <w:tcW w:type="dxa" w:w="345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Rendre la génération vidéo IA accessible sans carte bancaire</w:t>
            </w:r>
          </w:p>
        </w:tc>
        <w:tc>
          <w:tcPr>
            <w:tcW w:type="dxa" w:w="618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100 % des paiements en mobile money</w:t>
            </w:r>
          </w:p>
        </w:tc>
      </w:tr>
      <w:tr>
        <w:trPr>
          <w:tblHeader w:val="off"/>
        </w:trPr>
        <w:tc>
          <w:tcPr>
            <w:tcW w:type="dxa" w:w="345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Offrir une expérience simple</w:t>
            </w:r>
          </w:p>
        </w:tc>
        <w:tc>
          <w:tcPr>
            <w:tcW w:type="dxa" w:w="618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Une génération lancée en 3 étapes maximum, sans prompt obligatoire</w:t>
            </w:r>
          </w:p>
        </w:tc>
      </w:tr>
      <w:tr>
        <w:trPr>
          <w:tblHeader w:val="off"/>
        </w:trPr>
        <w:tc>
          <w:tcPr>
            <w:tcW w:type="dxa" w:w="345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Proposer des prix abordables</w:t>
            </w:r>
          </w:p>
        </w:tc>
        <w:tc>
          <w:tcPr>
            <w:tcW w:type="dxa" w:w="618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Vidéo de 10 s à 1 000 FCFA ; premier achat possible à 500 FCFA</w:t>
            </w:r>
          </w:p>
        </w:tc>
      </w:tr>
      <w:tr>
        <w:trPr>
          <w:tblHeader w:val="off"/>
        </w:trPr>
        <w:tc>
          <w:tcPr>
            <w:tcW w:type="dxa" w:w="345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Rester rentable à chaque génération</w:t>
            </w:r>
          </w:p>
        </w:tc>
        <w:tc>
          <w:tcPr>
            <w:tcW w:type="dxa" w:w="618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Marge brute ≥ 15 % sur chaque produit, quel que soit le pack acheté</w:t>
            </w:r>
          </w:p>
        </w:tc>
      </w:tr>
      <w:tr>
        <w:trPr>
          <w:tblHeader w:val="off"/>
        </w:trPr>
        <w:tc>
          <w:tcPr>
            <w:tcW w:type="dxa" w:w="345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Maîtriser les risques d'abus (deepfakes)</w:t>
            </w:r>
          </w:p>
        </w:tc>
        <w:tc>
          <w:tcPr>
            <w:tcW w:type="dxa" w:w="618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Consentement, filigrane, modération et blocage opérationnels dès le lancement</w:t>
            </w:r>
          </w:p>
        </w:tc>
      </w:tr>
      <w:tr>
        <w:trPr>
          <w:tblHeader w:val="off"/>
        </w:trPr>
        <w:tc>
          <w:tcPr>
            <w:tcW w:type="dxa" w:w="345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Valider le marché rapidement</w:t>
            </w:r>
          </w:p>
        </w:tc>
        <w:tc>
          <w:tcPr>
            <w:tcW w:type="dxa" w:w="618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20 clients payants dont 5 récurrents dans les 2 semaines suivant le lancement</w:t>
            </w:r>
          </w:p>
        </w:tc>
      </w:tr>
    </w:tbl>
    <w:p>
      <w:pPr>
        <w:spacing w:after="120"/>
      </w:pPr>
    </w:p>
    <w:p>
      <w:pPr>
        <w:pStyle w:val="Heading2"/>
      </w:pPr>
      <w:r>
        <w:rPr>
          <w:rFonts w:ascii="Arial" w:cs="Arial" w:eastAsia="Arial" w:hAnsi="Arial"/>
        </w:rPr>
        <w:t xml:space="preserve">1.4 Périmètre</w:t>
      </w:r>
    </w:p>
    <w:p>
      <w:pPr>
        <w:spacing w:after="120"/>
      </w:pPr>
      <w:r>
        <w:rPr>
          <w:rFonts w:ascii="Arial" w:cs="Arial" w:eastAsia="Arial" w:hAnsi="Arial"/>
        </w:rPr>
        <w:t xml:space="preserve">Le projet se déroule en deux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7"/>
        <w:gridCol w:w="7391"/>
      </w:tblGrid>
      <w:tr>
        <w:trPr>
          <w:tblHeader/>
        </w:trPr>
        <w:tc>
          <w:tcPr>
            <w:tcW w:type="dxa" w:w="2247"/>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7391"/>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Contenu</w:t>
            </w:r>
          </w:p>
        </w:tc>
      </w:tr>
      <w:tr>
        <w:trPr>
          <w:tblHeader w:val="off"/>
        </w:trPr>
        <w:tc>
          <w:tcPr>
            <w:tcW w:type="dxa" w:w="22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Phase 1 — MVP</w:t>
            </w:r>
          </w:p>
        </w:tc>
        <w:tc>
          <w:tcPr>
            <w:tcW w:type="dxa" w:w="739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Espace utilisateur, achat de crédits OpenPay, vidéo Genjutsu Light 480p, images Soul 2, 3 à 5 presets, espace admin (supervision et administration), PWA installable</w:t>
            </w:r>
          </w:p>
        </w:tc>
      </w:tr>
      <w:tr>
        <w:trPr>
          <w:tblHeader w:val="off"/>
        </w:trPr>
        <w:tc>
          <w:tcPr>
            <w:tcW w:type="dxa" w:w="2247"/>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sz w:val="19"/>
                <w:szCs w:val="19"/>
              </w:rPr>
              <w:t xml:space="preserve">Phase 2 — Évolutions</w:t>
            </w:r>
          </w:p>
        </w:tc>
        <w:tc>
          <w:tcPr>
            <w:tcW w:type="dxa" w:w="739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720p, Genjutsu standard (« Pro »), affiches avec texte, autres modèles du catalogue Higgsfield, notifications WhatsApp, offres entreprises, programme de parrainage</w:t>
            </w:r>
          </w:p>
        </w:tc>
      </w:tr>
      <w:tr>
        <w:trPr>
          <w:tblHeader w:val="off"/>
        </w:trPr>
        <w:tc>
          <w:tcPr>
            <w:tcW w:type="dxa" w:w="2247"/>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Phase 3 — International</w:t>
            </w:r>
          </w:p>
        </w:tc>
        <w:tc>
          <w:tcPr>
            <w:tcW w:type="dxa" w:w="739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Ouverture à d'autres pays africains utilisant le mobile money : agrégateurs de paiement par pays, plusieurs devises (XAF, XOF…), packs et prix par pays, interface en anglais</w:t>
            </w:r>
          </w:p>
        </w:tc>
      </w:tr>
    </w:tbl>
    <w:p>
      <w:pPr>
        <w:spacing w:after="120"/>
      </w:pPr>
    </w:p>
    <w:p>
      <w:pPr>
        <w:spacing w:after="120"/>
      </w:pPr>
      <w:r>
        <w:rPr>
          <w:rFonts w:ascii="Arial" w:cs="Arial" w:eastAsia="Arial" w:hAnsi="Arial"/>
        </w:rPr>
        <w:t xml:space="preserve">Sont </w:t>
      </w:r>
      <w:r>
        <w:rPr>
          <w:rFonts w:ascii="Arial" w:cs="Arial" w:eastAsia="Arial" w:hAnsi="Arial"/>
          <w:b/>
          <w:bCs/>
        </w:rPr>
        <w:t xml:space="preserve">hors périmètre</w:t>
      </w:r>
      <w:r>
        <w:rPr>
          <w:rFonts w:ascii="Arial" w:cs="Arial" w:eastAsia="Arial" w:hAnsi="Arial"/>
        </w:rPr>
        <w:t xml:space="preserve"> : application mobile native (iOS/Android), paiement par carte bancaire, entraînement de modèles IA propres, édition vidéo avancée (montage, timeline).</w:t>
      </w:r>
    </w:p>
    <w:p>
      <w:r>
        <w:br w:type="page"/>
      </w:r>
    </w:p>
    <w:p>
      <w:pPr>
        <w:pStyle w:val="Heading1"/>
      </w:pPr>
      <w:r>
        <w:rPr>
          <w:rFonts w:ascii="Arial" w:cs="Arial" w:eastAsia="Arial" w:hAnsi="Arial"/>
        </w:rPr>
        <w:t xml:space="preserve">2. Acteurs et rôles</w:t>
      </w:r>
    </w:p>
    <w:p>
      <w:pPr>
        <w:pStyle w:val="Heading2"/>
      </w:pPr>
      <w:r>
        <w:rPr>
          <w:rFonts w:ascii="Arial" w:cs="Arial" w:eastAsia="Arial" w:hAnsi="Arial"/>
        </w:rPr>
        <w:t xml:space="preserve">2.1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9"/>
        <w:gridCol w:w="1991"/>
        <w:gridCol w:w="5798"/>
      </w:tblGrid>
      <w:tr>
        <w:trPr>
          <w:tblHeader/>
        </w:trPr>
        <w:tc>
          <w:tcPr>
            <w:tcW w:type="dxa" w:w="1849"/>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Rôle</w:t>
            </w:r>
          </w:p>
        </w:tc>
        <w:tc>
          <w:tcPr>
            <w:tcW w:type="dxa" w:w="1991"/>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Qui</w:t>
            </w:r>
          </w:p>
        </w:tc>
        <w:tc>
          <w:tcPr>
            <w:tcW w:type="dxa" w:w="5798"/>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Accès</w:t>
            </w:r>
          </w:p>
        </w:tc>
      </w:tr>
      <w:tr>
        <w:trPr>
          <w:tblHeader w:val="off"/>
        </w:trPr>
        <w:tc>
          <w:tcPr>
            <w:tcW w:type="dxa" w:w="184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Visiteur</w:t>
            </w:r>
          </w:p>
        </w:tc>
        <w:tc>
          <w:tcPr>
            <w:tcW w:type="dxa" w:w="199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Personne non connectée</w:t>
            </w:r>
          </w:p>
        </w:tc>
        <w:tc>
          <w:tcPr>
            <w:tcW w:type="dxa" w:w="579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Pages publiques : accueil, exemples, tarifs, CGU, inscription</w:t>
            </w:r>
          </w:p>
        </w:tc>
      </w:tr>
      <w:tr>
        <w:trPr>
          <w:tblHeader w:val="off"/>
        </w:trPr>
        <w:tc>
          <w:tcPr>
            <w:tcW w:type="dxa" w:w="184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Utilisateur (USER)</w:t>
            </w:r>
          </w:p>
        </w:tc>
        <w:tc>
          <w:tcPr>
            <w:tcW w:type="dxa" w:w="199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Client inscrit</w:t>
            </w:r>
          </w:p>
        </w:tc>
        <w:tc>
          <w:tcPr>
            <w:tcW w:type="dxa" w:w="579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Espace utilisateur</w:t>
            </w:r>
          </w:p>
        </w:tc>
      </w:tr>
      <w:tr>
        <w:trPr>
          <w:tblHeader w:val="off"/>
        </w:trPr>
        <w:tc>
          <w:tcPr>
            <w:tcW w:type="dxa" w:w="184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Administrateur (ADMIN)</w:t>
            </w:r>
          </w:p>
        </w:tc>
        <w:tc>
          <w:tcPr>
            <w:tcW w:type="dxa" w:w="199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Porteur du projet</w:t>
            </w:r>
          </w:p>
        </w:tc>
        <w:tc>
          <w:tcPr>
            <w:tcW w:type="dxa" w:w="579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Espace admin complet : supervision, modération, catalogue, finances, paramètres</w:t>
            </w:r>
          </w:p>
        </w:tc>
      </w:tr>
    </w:tbl>
    <w:p>
      <w:pPr>
        <w:spacing w:after="120"/>
      </w:pPr>
    </w:p>
    <w:p>
      <w:pPr>
        <w:spacing w:after="120"/>
      </w:pPr>
      <w:r>
        <w:rPr>
          <w:rFonts w:ascii="Arial" w:cs="Arial" w:eastAsia="Arial" w:hAnsi="Arial"/>
        </w:rPr>
        <w:t xml:space="preserve">Le premier compte ADMIN est créé à l'installation (à partir des variables d'environnement). Un compte ADMIN ne peut jamais être obtenu par inscription ; seul un ADMIN existant peut en créer un autre, si le besoin d'un collaborateur apparaît plus tard.</w:t>
      </w:r>
    </w:p>
    <w:p>
      <w:pPr>
        <w:pStyle w:val="Heading2"/>
      </w:pPr>
      <w:r>
        <w:rPr>
          <w:rFonts w:ascii="Arial" w:cs="Arial" w:eastAsia="Arial" w:hAnsi="Arial"/>
        </w:rPr>
        <w:t xml:space="preserve">2.2 Systèmes externes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3323"/>
        <w:gridCol w:w="4432"/>
      </w:tblGrid>
      <w:tr>
        <w:trPr>
          <w:tblHeader/>
        </w:trPr>
        <w:tc>
          <w:tcPr>
            <w:tcW w:type="dxa" w:w="1883"/>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Système</w:t>
            </w:r>
          </w:p>
        </w:tc>
        <w:tc>
          <w:tcPr>
            <w:tcW w:type="dxa" w:w="3323"/>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Rôle</w:t>
            </w:r>
          </w:p>
        </w:tc>
        <w:tc>
          <w:tcPr>
            <w:tcW w:type="dxa" w:w="443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Remarque</w:t>
            </w:r>
          </w:p>
        </w:tc>
      </w:tr>
      <w:tr>
        <w:trPr>
          <w:tblHeader w:val="off"/>
        </w:trPr>
        <w:tc>
          <w:tcPr>
            <w:tcW w:type="dxa" w:w="188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API Higgsfield</w:t>
            </w:r>
          </w:p>
        </w:tc>
        <w:tc>
          <w:tcPr>
            <w:tcW w:type="dxa" w:w="332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Génération des vidéos et images</w:t>
            </w:r>
          </w:p>
        </w:tc>
        <w:tc>
          <w:tcPr>
            <w:tcW w:type="dxa" w:w="44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Facturation en dollars, solde prépayé, recharge manuelle au lancement</w:t>
            </w:r>
          </w:p>
        </w:tc>
      </w:tr>
      <w:tr>
        <w:trPr>
          <w:tblHeader w:val="off"/>
        </w:trPr>
        <w:tc>
          <w:tcPr>
            <w:tcW w:type="dxa" w:w="188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API OpenPay</w:t>
            </w:r>
          </w:p>
        </w:tc>
        <w:tc>
          <w:tcPr>
            <w:tcW w:type="dxa" w:w="332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Encaissement MTN Mobile Money et Airtel Money</w:t>
            </w:r>
          </w:p>
        </w:tc>
        <w:tc>
          <w:tcPr>
            <w:tcW w:type="dxa" w:w="44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Encaissement gratuit, commission de 4 à 6 % au retrait, clé API 5 000 FCFA/an</w:t>
            </w:r>
          </w:p>
        </w:tc>
      </w:tr>
      <w:tr>
        <w:trPr>
          <w:tblHeader w:val="off"/>
        </w:trPr>
        <w:tc>
          <w:tcPr>
            <w:tcW w:type="dxa" w:w="188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Cloudflare R2 (stockage objet compatible S3)</w:t>
            </w:r>
          </w:p>
        </w:tc>
        <w:tc>
          <w:tcPr>
            <w:tcW w:type="dxa" w:w="332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Conservation des fichiers d'entrée et des résultats</w:t>
            </w:r>
          </w:p>
        </w:tc>
        <w:tc>
          <w:tcPr>
            <w:tcW w:type="dxa" w:w="44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Indépendant du VPS ; gratuit jusqu'à 10 Go, sans frais de téléchargement ; Higgsfield ne garantit les fichiers que 7 jours</w:t>
            </w:r>
          </w:p>
        </w:tc>
      </w:tr>
      <w:tr>
        <w:trPr>
          <w:tblHeader w:val="off"/>
        </w:trPr>
        <w:tc>
          <w:tcPr>
            <w:tcW w:type="dxa" w:w="188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Google (OAuth 2.0)</w:t>
            </w:r>
          </w:p>
        </w:tc>
        <w:tc>
          <w:tcPr>
            <w:tcW w:type="dxa" w:w="3323"/>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Connexion et inscription en un clic avec un compte Google</w:t>
            </w:r>
          </w:p>
        </w:tc>
        <w:tc>
          <w:tcPr>
            <w:tcW w:type="dxa" w:w="44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Gratuit ; l'adresse e-mail Google est considérée comme vérifiée</w:t>
            </w:r>
          </w:p>
        </w:tc>
      </w:tr>
      <w:tr>
        <w:trPr>
          <w:tblHeader w:val="off"/>
        </w:trPr>
        <w:tc>
          <w:tcPr>
            <w:tcW w:type="dxa" w:w="188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Service d'e-mail transactionnel (SMTP du domaine ou Resend)</w:t>
            </w:r>
          </w:p>
        </w:tc>
        <w:tc>
          <w:tcPr>
            <w:tcW w:type="dxa" w:w="3323"/>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Lien de vérification de l'adresse, réinitialisation du mot de passe, notifications</w:t>
            </w:r>
          </w:p>
        </w:tc>
        <w:tc>
          <w:tcPr>
            <w:tcW w:type="dxa" w:w="44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Fournisseur interchangeable ; pas de SMS au lancement (ni API d'envoi MTN, ni Twilio)</w:t>
            </w:r>
          </w:p>
        </w:tc>
      </w:tr>
    </w:tbl>
    <w:p>
      <w:pPr>
        <w:spacing w:after="120"/>
      </w:pPr>
    </w:p>
    <w:p>
      <w:r>
        <w:br w:type="page"/>
      </w:r>
    </w:p>
    <w:p>
      <w:pPr>
        <w:pStyle w:val="Heading1"/>
      </w:pPr>
      <w:r>
        <w:rPr>
          <w:rFonts w:ascii="Arial" w:cs="Arial" w:eastAsia="Arial" w:hAnsi="Arial"/>
        </w:rPr>
        <w:t xml:space="preserve">3. Espace utilisateur</w:t>
      </w:r>
    </w:p>
    <w:p>
      <w:pPr>
        <w:pStyle w:val="Heading2"/>
      </w:pPr>
      <w:r>
        <w:rPr>
          <w:rFonts w:ascii="Arial" w:cs="Arial" w:eastAsia="Arial" w:hAnsi="Arial"/>
        </w:rPr>
        <w:t xml:space="preserve">3.1 Inscription et connexion</w:t>
      </w:r>
    </w:p>
    <w:p>
      <w:pPr>
        <w:spacing w:after="120"/>
      </w:pPr>
      <w:r>
        <w:rPr>
          <w:rFonts w:ascii="Arial" w:cs="Arial" w:eastAsia="Arial" w:hAnsi="Arial"/>
        </w:rPr>
        <w:t xml:space="preserve">Deux façons de créer un compte et de se connecter, au choix : </w:t>
      </w:r>
      <w:r>
        <w:rPr>
          <w:rFonts w:ascii="Arial" w:cs="Arial" w:eastAsia="Arial" w:hAnsi="Arial"/>
          <w:b/>
          <w:bCs/>
        </w:rPr>
        <w:t xml:space="preserve">avec Google</w:t>
      </w:r>
      <w:r>
        <w:rPr>
          <w:rFonts w:ascii="Arial" w:cs="Arial" w:eastAsia="Arial" w:hAnsi="Arial"/>
        </w:rPr>
        <w:t xml:space="preserve"> (un clic) ou </w:t>
      </w:r>
      <w:r>
        <w:rPr>
          <w:rFonts w:ascii="Arial" w:cs="Arial" w:eastAsia="Arial" w:hAnsi="Arial"/>
          <w:b/>
          <w:bCs/>
        </w:rPr>
        <w:t xml:space="preserve">avec une adresse e-mail et un mot de passe</w:t>
      </w:r>
      <w:r>
        <w:rPr>
          <w:rFonts w:ascii="Arial" w:cs="Arial" w:eastAsia="Arial" w:hAnsi="Arial"/>
        </w:rPr>
        <w:t xml:space="preserve">. Il n'y a pas de code par SMS.</w:t>
      </w:r>
    </w:p>
    <w:p>
      <w:pPr>
        <w:pStyle w:val="ListParagraph"/>
        <w:numPr>
          <w:ilvl w:val="0"/>
          <w:numId w:val="2"/>
        </w:numPr>
      </w:pPr>
      <w:r>
        <w:rPr>
          <w:rFonts w:ascii="Arial" w:cs="Arial" w:eastAsia="Arial" w:hAnsi="Arial"/>
          <w:b/>
          <w:bCs/>
        </w:rPr>
        <w:t xml:space="preserve">UF-01</w:t>
      </w:r>
      <w:r>
        <w:rPr>
          <w:rFonts w:ascii="Arial" w:cs="Arial" w:eastAsia="Arial" w:hAnsi="Arial"/>
        </w:rPr>
        <w:t xml:space="preserve"> Inscription avec Google : prénom, nom et adresse e-mail récupérés depuis le compte Google ; l'adresse est considérée comme vérifiée.</w:t>
      </w:r>
    </w:p>
    <w:p>
      <w:pPr>
        <w:pStyle w:val="ListParagraph"/>
        <w:numPr>
          <w:ilvl w:val="0"/>
          <w:numId w:val="2"/>
        </w:numPr>
      </w:pPr>
      <w:r>
        <w:rPr>
          <w:rFonts w:ascii="Arial" w:cs="Arial" w:eastAsia="Arial" w:hAnsi="Arial"/>
          <w:b/>
          <w:bCs/>
        </w:rPr>
        <w:t xml:space="preserve">UF-02</w:t>
      </w:r>
      <w:r>
        <w:rPr>
          <w:rFonts w:ascii="Arial" w:cs="Arial" w:eastAsia="Arial" w:hAnsi="Arial"/>
        </w:rPr>
        <w:t xml:space="preserve"> Inscription par e-mail : prénom, nom, adresse e-mail, mot de passe (8 caractères minimum) et confirmation du mot de passe.</w:t>
      </w:r>
    </w:p>
    <w:p>
      <w:pPr>
        <w:pStyle w:val="ListParagraph"/>
        <w:numPr>
          <w:ilvl w:val="0"/>
          <w:numId w:val="2"/>
        </w:numPr>
      </w:pPr>
      <w:r>
        <w:rPr>
          <w:rFonts w:ascii="Arial" w:cs="Arial" w:eastAsia="Arial" w:hAnsi="Arial"/>
          <w:b/>
          <w:bCs/>
        </w:rPr>
        <w:t xml:space="preserve">UF-03</w:t>
      </w:r>
      <w:r>
        <w:rPr>
          <w:rFonts w:ascii="Arial" w:cs="Arial" w:eastAsia="Arial" w:hAnsi="Arial"/>
        </w:rPr>
        <w:t xml:space="preserve"> Numéro de téléphone mobile money (format </w:t>
      </w:r>
      <w:r>
        <w:rPr>
          <w:rFonts w:ascii="Consolas" w:cs="Consolas" w:eastAsia="Consolas" w:hAnsi="Consolas"/>
          <w:color w:val="9F1239"/>
          <w:sz w:val="19"/>
          <w:szCs w:val="19"/>
        </w:rPr>
        <w:t xml:space="preserve">242XXXXXXXXX</w:t>
      </w:r>
      <w:r>
        <w:rPr>
          <w:rFonts w:ascii="Arial" w:cs="Arial" w:eastAsia="Arial" w:hAnsi="Arial"/>
        </w:rPr>
        <w:t xml:space="preserve">) facultatif à l'inscription, demandé au plus tard au premier achat. Il préremplit le numéro payeur et sert à contacter le client ; il n'est pas vérifié par code.</w:t>
      </w:r>
    </w:p>
    <w:p>
      <w:pPr>
        <w:pStyle w:val="ListParagraph"/>
        <w:numPr>
          <w:ilvl w:val="0"/>
          <w:numId w:val="2"/>
        </w:numPr>
      </w:pPr>
      <w:r>
        <w:rPr>
          <w:rFonts w:ascii="Arial" w:cs="Arial" w:eastAsia="Arial" w:hAnsi="Arial"/>
          <w:b/>
          <w:bCs/>
        </w:rPr>
        <w:t xml:space="preserve">UF-04</w:t>
      </w:r>
      <w:r>
        <w:rPr>
          <w:rFonts w:ascii="Arial" w:cs="Arial" w:eastAsia="Arial" w:hAnsi="Arial"/>
        </w:rPr>
        <w:t xml:space="preserve"> Acceptation obligatoire des CGU et de la charte d'utilisation à l'inscription (case à cocher horodatée), y compris lors d'une inscription Google.</w:t>
      </w:r>
    </w:p>
    <w:p>
      <w:pPr>
        <w:pStyle w:val="ListParagraph"/>
        <w:numPr>
          <w:ilvl w:val="0"/>
          <w:numId w:val="2"/>
        </w:numPr>
      </w:pPr>
      <w:r>
        <w:rPr>
          <w:rFonts w:ascii="Arial" w:cs="Arial" w:eastAsia="Arial" w:hAnsi="Arial"/>
          <w:b/>
          <w:bCs/>
        </w:rPr>
        <w:t xml:space="preserve">UF-05</w:t>
      </w:r>
      <w:r>
        <w:rPr>
          <w:rFonts w:ascii="Arial" w:cs="Arial" w:eastAsia="Arial" w:hAnsi="Arial"/>
        </w:rPr>
        <w:t xml:space="preserve"> Vérification de l'adresse e-mail par un lien envoyé par e-mail (valable 24 heures, renvoyable). Tant que l'adresse n'est pas vérifiée, l'utilisateur peut explorer l'application mais ne peut ni acheter de crédits ni lancer de génération.</w:t>
      </w:r>
    </w:p>
    <w:p>
      <w:pPr>
        <w:pStyle w:val="ListParagraph"/>
        <w:numPr>
          <w:ilvl w:val="0"/>
          <w:numId w:val="2"/>
        </w:numPr>
      </w:pPr>
      <w:r>
        <w:rPr>
          <w:rFonts w:ascii="Arial" w:cs="Arial" w:eastAsia="Arial" w:hAnsi="Arial"/>
          <w:b/>
          <w:bCs/>
        </w:rPr>
        <w:t xml:space="preserve">UF-06</w:t>
      </w:r>
      <w:r>
        <w:rPr>
          <w:rFonts w:ascii="Arial" w:cs="Arial" w:eastAsia="Arial" w:hAnsi="Arial"/>
        </w:rPr>
        <w:t xml:space="preserve"> Connexion avec Google ou avec e-mail et mot de passe. Un compte créé par e-mail peut ensuite être relié à Google s'il s'agit de la même adresse.</w:t>
      </w:r>
    </w:p>
    <w:p>
      <w:pPr>
        <w:pStyle w:val="ListParagraph"/>
        <w:numPr>
          <w:ilvl w:val="0"/>
          <w:numId w:val="2"/>
        </w:numPr>
      </w:pPr>
      <w:r>
        <w:rPr>
          <w:rFonts w:ascii="Arial" w:cs="Arial" w:eastAsia="Arial" w:hAnsi="Arial"/>
          <w:b/>
          <w:bCs/>
        </w:rPr>
        <w:t xml:space="preserve">UF-07</w:t>
      </w:r>
      <w:r>
        <w:rPr>
          <w:rFonts w:ascii="Arial" w:cs="Arial" w:eastAsia="Arial" w:hAnsi="Arial"/>
        </w:rPr>
        <w:t xml:space="preserve"> Mot de passe oublié : lien de réinitialisation envoyé par e-mail, valable 1 heure.</w:t>
      </w:r>
    </w:p>
    <w:p>
      <w:pPr>
        <w:pStyle w:val="ListParagraph"/>
        <w:numPr>
          <w:ilvl w:val="0"/>
          <w:numId w:val="2"/>
        </w:numPr>
      </w:pPr>
      <w:r>
        <w:rPr>
          <w:rFonts w:ascii="Arial" w:cs="Arial" w:eastAsia="Arial" w:hAnsi="Arial"/>
          <w:b/>
          <w:bCs/>
        </w:rPr>
        <w:t xml:space="preserve">UF-08</w:t>
      </w:r>
      <w:r>
        <w:rPr>
          <w:rFonts w:ascii="Arial" w:cs="Arial" w:eastAsia="Arial" w:hAnsi="Arial"/>
        </w:rPr>
        <w:t xml:space="preserve"> Attribution des crédits de bienvenue (par défaut 4 crédits) une seule fois, après vérification de l'adresse e-mail (voir RG-09).</w:t>
      </w:r>
    </w:p>
    <w:p>
      <w:pPr>
        <w:pStyle w:val="ListParagraph"/>
        <w:numPr>
          <w:ilvl w:val="0"/>
          <w:numId w:val="2"/>
        </w:numPr>
      </w:pPr>
      <w:r>
        <w:rPr>
          <w:rFonts w:ascii="Arial" w:cs="Arial" w:eastAsia="Arial" w:hAnsi="Arial"/>
          <w:b/>
          <w:bCs/>
        </w:rPr>
        <w:t xml:space="preserve">UF-09</w:t>
      </w:r>
      <w:r>
        <w:rPr>
          <w:rFonts w:ascii="Arial" w:cs="Arial" w:eastAsia="Arial" w:hAnsi="Arial"/>
        </w:rPr>
        <w:t xml:space="preserve"> Limitation des tentatives de connexion, d'inscription et d'envoi d'e-mails (anti-abus).</w:t>
      </w:r>
    </w:p>
    <w:p>
      <w:pPr>
        <w:pStyle w:val="Heading2"/>
      </w:pPr>
      <w:r>
        <w:rPr>
          <w:rFonts w:ascii="Arial" w:cs="Arial" w:eastAsia="Arial" w:hAnsi="Arial"/>
        </w:rPr>
        <w:t xml:space="preserve">3.2 Tableau de bord</w:t>
      </w:r>
    </w:p>
    <w:p>
      <w:pPr>
        <w:pStyle w:val="ListParagraph"/>
        <w:numPr>
          <w:ilvl w:val="0"/>
          <w:numId w:val="2"/>
        </w:numPr>
      </w:pPr>
      <w:r>
        <w:rPr>
          <w:rFonts w:ascii="Arial" w:cs="Arial" w:eastAsia="Arial" w:hAnsi="Arial"/>
          <w:b/>
          <w:bCs/>
        </w:rPr>
        <w:t xml:space="preserve">UF-10</w:t>
      </w:r>
      <w:r>
        <w:rPr>
          <w:rFonts w:ascii="Arial" w:cs="Arial" w:eastAsia="Arial" w:hAnsi="Arial"/>
        </w:rPr>
        <w:t xml:space="preserve"> Affichage permanent du solde de crédits, avec son équivalent en FCFA.</w:t>
      </w:r>
    </w:p>
    <w:p>
      <w:pPr>
        <w:pStyle w:val="ListParagraph"/>
        <w:numPr>
          <w:ilvl w:val="0"/>
          <w:numId w:val="2"/>
        </w:numPr>
      </w:pPr>
      <w:r>
        <w:rPr>
          <w:rFonts w:ascii="Arial" w:cs="Arial" w:eastAsia="Arial" w:hAnsi="Arial"/>
          <w:b/>
          <w:bCs/>
        </w:rPr>
        <w:t xml:space="preserve">UF-11</w:t>
      </w:r>
      <w:r>
        <w:rPr>
          <w:rFonts w:ascii="Arial" w:cs="Arial" w:eastAsia="Arial" w:hAnsi="Arial"/>
        </w:rPr>
        <w:t xml:space="preserve"> Raccourcis vers les presets les plus utilisés.</w:t>
      </w:r>
    </w:p>
    <w:p>
      <w:pPr>
        <w:pStyle w:val="ListParagraph"/>
        <w:numPr>
          <w:ilvl w:val="0"/>
          <w:numId w:val="2"/>
        </w:numPr>
      </w:pPr>
      <w:r>
        <w:rPr>
          <w:rFonts w:ascii="Arial" w:cs="Arial" w:eastAsia="Arial" w:hAnsi="Arial"/>
          <w:b/>
          <w:bCs/>
        </w:rPr>
        <w:t xml:space="preserve">UF-12</w:t>
      </w:r>
      <w:r>
        <w:rPr>
          <w:rFonts w:ascii="Arial" w:cs="Arial" w:eastAsia="Arial" w:hAnsi="Arial"/>
        </w:rPr>
        <w:t xml:space="preserve"> Dernières créations avec leur statut (en attente, en cours, terminée, échouée).</w:t>
      </w:r>
    </w:p>
    <w:p>
      <w:pPr>
        <w:pStyle w:val="Heading2"/>
      </w:pPr>
      <w:r>
        <w:rPr>
          <w:rFonts w:ascii="Arial" w:cs="Arial" w:eastAsia="Arial" w:hAnsi="Arial"/>
        </w:rPr>
        <w:t xml:space="preserve">3.3 Achat de crédits</w:t>
      </w:r>
    </w:p>
    <w:p>
      <w:pPr>
        <w:pStyle w:val="ListParagraph"/>
        <w:numPr>
          <w:ilvl w:val="0"/>
          <w:numId w:val="2"/>
        </w:numPr>
      </w:pPr>
      <w:r>
        <w:rPr>
          <w:rFonts w:ascii="Arial" w:cs="Arial" w:eastAsia="Arial" w:hAnsi="Arial"/>
          <w:b/>
          <w:bCs/>
        </w:rPr>
        <w:t xml:space="preserve">UF-20</w:t>
      </w:r>
      <w:r>
        <w:rPr>
          <w:rFonts w:ascii="Arial" w:cs="Arial" w:eastAsia="Arial" w:hAnsi="Arial"/>
        </w:rPr>
        <w:t xml:space="preserve"> Affichage des packs : nom, prix en FCFA, crédits, bonus, et exemple concret (« ≈ 2 vidéos de 10 s »).</w:t>
      </w:r>
    </w:p>
    <w:p>
      <w:pPr>
        <w:pStyle w:val="ListParagraph"/>
        <w:numPr>
          <w:ilvl w:val="0"/>
          <w:numId w:val="2"/>
        </w:numPr>
      </w:pPr>
      <w:r>
        <w:rPr>
          <w:rFonts w:ascii="Arial" w:cs="Arial" w:eastAsia="Arial" w:hAnsi="Arial"/>
          <w:b/>
          <w:bCs/>
        </w:rPr>
        <w:t xml:space="preserve">UF-21</w:t>
      </w:r>
      <w:r>
        <w:rPr>
          <w:rFonts w:ascii="Arial" w:cs="Arial" w:eastAsia="Arial" w:hAnsi="Arial"/>
        </w:rPr>
        <w:t xml:space="preserve"> Choix de l'opérateur (MTN ou Airtel) et saisie du numéro payeur (prérempli avec le numéro du profil s'il existe, modifiable ; enregistré dans le profil au premier achat s'il était vide).</w:t>
      </w:r>
    </w:p>
    <w:p>
      <w:pPr>
        <w:pStyle w:val="ListParagraph"/>
        <w:numPr>
          <w:ilvl w:val="0"/>
          <w:numId w:val="2"/>
        </w:numPr>
      </w:pPr>
      <w:r>
        <w:rPr>
          <w:rFonts w:ascii="Arial" w:cs="Arial" w:eastAsia="Arial" w:hAnsi="Arial"/>
          <w:b/>
          <w:bCs/>
        </w:rPr>
        <w:t xml:space="preserve">UF-22</w:t>
      </w:r>
      <w:r>
        <w:rPr>
          <w:rFonts w:ascii="Arial" w:cs="Arial" w:eastAsia="Arial" w:hAnsi="Arial"/>
        </w:rPr>
        <w:t xml:space="preserve"> Lancement du paiement via l'API OpenPay, puis écran d'attente expliquant à l'utilisateur qu'il doit confirmer le paiement sur son téléphone.</w:t>
      </w:r>
    </w:p>
    <w:p>
      <w:pPr>
        <w:pStyle w:val="ListParagraph"/>
        <w:numPr>
          <w:ilvl w:val="0"/>
          <w:numId w:val="2"/>
        </w:numPr>
      </w:pPr>
      <w:r>
        <w:rPr>
          <w:rFonts w:ascii="Arial" w:cs="Arial" w:eastAsia="Arial" w:hAnsi="Arial"/>
          <w:b/>
          <w:bCs/>
        </w:rPr>
        <w:t xml:space="preserve">UF-23</w:t>
      </w:r>
      <w:r>
        <w:rPr>
          <w:rFonts w:ascii="Arial" w:cs="Arial" w:eastAsia="Arial" w:hAnsi="Arial"/>
        </w:rPr>
        <w:t xml:space="preserve"> Mise à jour automatique de l'écran dès que le paiement est confirmé ou échoue.</w:t>
      </w:r>
    </w:p>
    <w:p>
      <w:pPr>
        <w:pStyle w:val="ListParagraph"/>
        <w:numPr>
          <w:ilvl w:val="0"/>
          <w:numId w:val="2"/>
        </w:numPr>
      </w:pPr>
      <w:r>
        <w:rPr>
          <w:rFonts w:ascii="Arial" w:cs="Arial" w:eastAsia="Arial" w:hAnsi="Arial"/>
          <w:b/>
          <w:bCs/>
        </w:rPr>
        <w:t xml:space="preserve">UF-24</w:t>
      </w:r>
      <w:r>
        <w:rPr>
          <w:rFonts w:ascii="Arial" w:cs="Arial" w:eastAsia="Arial" w:hAnsi="Arial"/>
        </w:rPr>
        <w:t xml:space="preserve"> Crédit du compte uniquement après confirmation du paiement par l'API de statut OpenPay (voir règle RG-04).</w:t>
      </w:r>
    </w:p>
    <w:p>
      <w:pPr>
        <w:pStyle w:val="ListParagraph"/>
        <w:numPr>
          <w:ilvl w:val="0"/>
          <w:numId w:val="2"/>
        </w:numPr>
      </w:pPr>
      <w:r>
        <w:rPr>
          <w:rFonts w:ascii="Arial" w:cs="Arial" w:eastAsia="Arial" w:hAnsi="Arial"/>
          <w:b/>
          <w:bCs/>
        </w:rPr>
        <w:t xml:space="preserve">UF-25</w:t>
      </w:r>
      <w:r>
        <w:rPr>
          <w:rFonts w:ascii="Arial" w:cs="Arial" w:eastAsia="Arial" w:hAnsi="Arial"/>
        </w:rPr>
        <w:t xml:space="preserve"> Historique des achats : date, pack, montant, opérateur, statut, référence OpenPay.</w:t>
      </w:r>
    </w:p>
    <w:p>
      <w:pPr>
        <w:pStyle w:val="ListParagraph"/>
        <w:numPr>
          <w:ilvl w:val="0"/>
          <w:numId w:val="2"/>
        </w:numPr>
      </w:pPr>
      <w:r>
        <w:rPr>
          <w:rFonts w:ascii="Arial" w:cs="Arial" w:eastAsia="Arial" w:hAnsi="Arial"/>
          <w:b/>
          <w:bCs/>
        </w:rPr>
        <w:t xml:space="preserve">UF-26</w:t>
      </w:r>
      <w:r>
        <w:rPr>
          <w:rFonts w:ascii="Arial" w:cs="Arial" w:eastAsia="Arial" w:hAnsi="Arial"/>
        </w:rPr>
        <w:t xml:space="preserve"> Reçu consultable pour chaque achat réussi.</w:t>
      </w:r>
    </w:p>
    <w:p>
      <w:pPr>
        <w:pStyle w:val="Heading2"/>
      </w:pPr>
      <w:r>
        <w:rPr>
          <w:rFonts w:ascii="Arial" w:cs="Arial" w:eastAsia="Arial" w:hAnsi="Arial"/>
        </w:rPr>
        <w:t xml:space="preserve">3.4 Création d'une vidéo (parcours en 3 étapes)</w:t>
      </w:r>
    </w:p>
    <w:p>
      <w:pPr>
        <w:pStyle w:val="ListParagraph"/>
        <w:numPr>
          <w:ilvl w:val="0"/>
          <w:numId w:val="4"/>
        </w:numPr>
      </w:pPr>
      <w:r>
        <w:rPr>
          <w:rFonts w:ascii="Arial" w:cs="Arial" w:eastAsia="Arial" w:hAnsi="Arial"/>
          <w:b/>
          <w:bCs/>
        </w:rPr>
        <w:t xml:space="preserve">Étape 1 — La vidéo source.</w:t>
      </w:r>
      <w:r>
        <w:rPr>
          <w:rFonts w:ascii="Arial" w:cs="Arial" w:eastAsia="Arial" w:hAnsi="Arial"/>
        </w:rPr>
        <w:t xml:space="preserve"> L'utilisateur envoie une vidéo (4 à 15 secondes) depuis son téléphone. L'application vérifie la durée, le format et la taille, et compresse la vidéo côté client si nécessaire.</w:t>
      </w:r>
    </w:p>
    <w:p>
      <w:pPr>
        <w:pStyle w:val="ListParagraph"/>
        <w:numPr>
          <w:ilvl w:val="0"/>
          <w:numId w:val="4"/>
        </w:numPr>
      </w:pPr>
      <w:r>
        <w:rPr>
          <w:rFonts w:ascii="Arial" w:cs="Arial" w:eastAsia="Arial" w:hAnsi="Arial"/>
          <w:b/>
          <w:bCs/>
        </w:rPr>
        <w:t xml:space="preserve">Étape 2 — Le personnage ou le style.</w:t>
      </w:r>
      <w:r>
        <w:rPr>
          <w:rFonts w:ascii="Arial" w:cs="Arial" w:eastAsia="Arial" w:hAnsi="Arial"/>
        </w:rPr>
        <w:t xml:space="preserve"> L'utilisateur envoie 1 à 4 photos du personnage, ou choisit un preset (personnage, décor ou style prédéfini). Un texte de description reste optionnel.</w:t>
      </w:r>
    </w:p>
    <w:p>
      <w:pPr>
        <w:pStyle w:val="ListParagraph"/>
        <w:numPr>
          <w:ilvl w:val="0"/>
          <w:numId w:val="4"/>
        </w:numPr>
      </w:pPr>
      <w:r>
        <w:rPr>
          <w:rFonts w:ascii="Arial" w:cs="Arial" w:eastAsia="Arial" w:hAnsi="Arial"/>
          <w:b/>
          <w:bCs/>
        </w:rPr>
        <w:t xml:space="preserve">Étape 3 — Confirmation.</w:t>
      </w:r>
      <w:r>
        <w:rPr>
          <w:rFonts w:ascii="Arial" w:cs="Arial" w:eastAsia="Arial" w:hAnsi="Arial"/>
        </w:rPr>
        <w:t xml:space="preserve"> L'application affiche le coût exact en crédits (durée arrondie à la seconde supérieure), le solde restant après génération et un rappel de la charte. L'utilisateur coche la case de consentement (« J'ai le droit d'utiliser ces images et les personnes présentes ont donné leur accord ») puis confirme.</w:t>
      </w:r>
    </w:p>
    <w:p>
      <w:pPr>
        <w:spacing w:after="120"/>
      </w:pPr>
      <w:r>
        <w:rPr>
          <w:rFonts w:ascii="Arial" w:cs="Arial" w:eastAsia="Arial" w:hAnsi="Arial"/>
        </w:rPr>
        <w:t xml:space="preserve">Exigences associées :</w:t>
      </w:r>
    </w:p>
    <w:p>
      <w:pPr>
        <w:pStyle w:val="ListParagraph"/>
        <w:numPr>
          <w:ilvl w:val="0"/>
          <w:numId w:val="2"/>
        </w:numPr>
      </w:pPr>
      <w:r>
        <w:rPr>
          <w:rFonts w:ascii="Arial" w:cs="Arial" w:eastAsia="Arial" w:hAnsi="Arial"/>
          <w:b/>
          <w:bCs/>
        </w:rPr>
        <w:t xml:space="preserve">UF-30</w:t>
      </w:r>
      <w:r>
        <w:rPr>
          <w:rFonts w:ascii="Arial" w:cs="Arial" w:eastAsia="Arial" w:hAnsi="Arial"/>
        </w:rPr>
        <w:t xml:space="preserve"> Aucun choix technique (modèle, résolution) n'est imposé à l'utilisateur dans le MVP : la qualité standard est 480p.</w:t>
      </w:r>
    </w:p>
    <w:p>
      <w:pPr>
        <w:pStyle w:val="ListParagraph"/>
        <w:numPr>
          <w:ilvl w:val="0"/>
          <w:numId w:val="2"/>
        </w:numPr>
      </w:pPr>
      <w:r>
        <w:rPr>
          <w:rFonts w:ascii="Arial" w:cs="Arial" w:eastAsia="Arial" w:hAnsi="Arial"/>
          <w:b/>
          <w:bCs/>
        </w:rPr>
        <w:t xml:space="preserve">UF-31</w:t>
      </w:r>
      <w:r>
        <w:rPr>
          <w:rFonts w:ascii="Arial" w:cs="Arial" w:eastAsia="Arial" w:hAnsi="Arial"/>
        </w:rPr>
        <w:t xml:space="preserve"> Si le solde est insuffisant, l'application propose directement le pack le plus adapté.</w:t>
      </w:r>
    </w:p>
    <w:p>
      <w:pPr>
        <w:pStyle w:val="ListParagraph"/>
        <w:numPr>
          <w:ilvl w:val="0"/>
          <w:numId w:val="2"/>
        </w:numPr>
      </w:pPr>
      <w:r>
        <w:rPr>
          <w:rFonts w:ascii="Arial" w:cs="Arial" w:eastAsia="Arial" w:hAnsi="Arial"/>
          <w:b/>
          <w:bCs/>
        </w:rPr>
        <w:t xml:space="preserve">UF-32</w:t>
      </w:r>
      <w:r>
        <w:rPr>
          <w:rFonts w:ascii="Arial" w:cs="Arial" w:eastAsia="Arial" w:hAnsi="Arial"/>
        </w:rPr>
        <w:t xml:space="preserve"> Après confirmation, l'utilisateur peut quitter l'application ; il est notifié quand la vidéo est prête (notification web push et in-app ; WhatsApp en phase 2).</w:t>
      </w:r>
    </w:p>
    <w:p>
      <w:pPr>
        <w:pStyle w:val="ListParagraph"/>
        <w:numPr>
          <w:ilvl w:val="0"/>
          <w:numId w:val="2"/>
        </w:numPr>
      </w:pPr>
      <w:r>
        <w:rPr>
          <w:rFonts w:ascii="Arial" w:cs="Arial" w:eastAsia="Arial" w:hAnsi="Arial"/>
          <w:b/>
          <w:bCs/>
        </w:rPr>
        <w:t xml:space="preserve">UF-33</w:t>
      </w:r>
      <w:r>
        <w:rPr>
          <w:rFonts w:ascii="Arial" w:cs="Arial" w:eastAsia="Arial" w:hAnsi="Arial"/>
        </w:rPr>
        <w:t xml:space="preserve"> Si la génération échoue, les crédits sont restitués automatiquement et l'utilisateur en est informé.</w:t>
      </w:r>
    </w:p>
    <w:p>
      <w:pPr>
        <w:pStyle w:val="ListParagraph"/>
        <w:numPr>
          <w:ilvl w:val="0"/>
          <w:numId w:val="2"/>
        </w:numPr>
      </w:pPr>
      <w:r>
        <w:rPr>
          <w:rFonts w:ascii="Arial" w:cs="Arial" w:eastAsia="Arial" w:hAnsi="Arial"/>
          <w:b/>
          <w:bCs/>
        </w:rPr>
        <w:t xml:space="preserve">UF-34</w:t>
      </w:r>
      <w:r>
        <w:rPr>
          <w:rFonts w:ascii="Arial" w:cs="Arial" w:eastAsia="Arial" w:hAnsi="Arial"/>
        </w:rPr>
        <w:t xml:space="preserve"> Si le service est momentanément indisponible (solde Higgsfield insuffisant ou maintenance), l'application l'indique avant le paiement de crédits et ne lance pas la génération.</w:t>
      </w:r>
    </w:p>
    <w:p>
      <w:pPr>
        <w:pStyle w:val="Heading2"/>
      </w:pPr>
      <w:r>
        <w:rPr>
          <w:rFonts w:ascii="Arial" w:cs="Arial" w:eastAsia="Arial" w:hAnsi="Arial"/>
        </w:rPr>
        <w:t xml:space="preserve">3.5 Création d'une image</w:t>
      </w:r>
    </w:p>
    <w:p>
      <w:pPr>
        <w:pStyle w:val="ListParagraph"/>
        <w:numPr>
          <w:ilvl w:val="0"/>
          <w:numId w:val="2"/>
        </w:numPr>
      </w:pPr>
      <w:r>
        <w:rPr>
          <w:rFonts w:ascii="Arial" w:cs="Arial" w:eastAsia="Arial" w:hAnsi="Arial"/>
          <w:b/>
          <w:bCs/>
        </w:rPr>
        <w:t xml:space="preserve">UF-40</w:t>
      </w:r>
      <w:r>
        <w:rPr>
          <w:rFonts w:ascii="Arial" w:cs="Arial" w:eastAsia="Arial" w:hAnsi="Arial"/>
        </w:rPr>
        <w:t xml:space="preserve"> Génération d'images portrait/mode (modèle Soul 2) à partir d'un preset ou d'une description.</w:t>
      </w:r>
    </w:p>
    <w:p>
      <w:pPr>
        <w:pStyle w:val="ListParagraph"/>
        <w:numPr>
          <w:ilvl w:val="0"/>
          <w:numId w:val="2"/>
        </w:numPr>
      </w:pPr>
      <w:r>
        <w:rPr>
          <w:rFonts w:ascii="Arial" w:cs="Arial" w:eastAsia="Arial" w:hAnsi="Arial"/>
          <w:b/>
          <w:bCs/>
        </w:rPr>
        <w:t xml:space="preserve">UF-41</w:t>
      </w:r>
      <w:r>
        <w:rPr>
          <w:rFonts w:ascii="Arial" w:cs="Arial" w:eastAsia="Arial" w:hAnsi="Arial"/>
        </w:rPr>
        <w:t xml:space="preserve"> Coût fixe par image, affiché avant confirmation.</w:t>
      </w:r>
    </w:p>
    <w:p>
      <w:pPr>
        <w:pStyle w:val="Heading2"/>
      </w:pPr>
      <w:r>
        <w:rPr>
          <w:rFonts w:ascii="Arial" w:cs="Arial" w:eastAsia="Arial" w:hAnsi="Arial"/>
        </w:rPr>
        <w:t xml:space="preserve">3.6 Mes créations</w:t>
      </w:r>
    </w:p>
    <w:p>
      <w:pPr>
        <w:pStyle w:val="ListParagraph"/>
        <w:numPr>
          <w:ilvl w:val="0"/>
          <w:numId w:val="2"/>
        </w:numPr>
      </w:pPr>
      <w:r>
        <w:rPr>
          <w:rFonts w:ascii="Arial" w:cs="Arial" w:eastAsia="Arial" w:hAnsi="Arial"/>
          <w:b/>
          <w:bCs/>
        </w:rPr>
        <w:t xml:space="preserve">UF-50</w:t>
      </w:r>
      <w:r>
        <w:rPr>
          <w:rFonts w:ascii="Arial" w:cs="Arial" w:eastAsia="Arial" w:hAnsi="Arial"/>
        </w:rPr>
        <w:t xml:space="preserve"> Galerie des créations avec aperçu, date, preset utilisé et crédits consommés.</w:t>
      </w:r>
    </w:p>
    <w:p>
      <w:pPr>
        <w:pStyle w:val="ListParagraph"/>
        <w:numPr>
          <w:ilvl w:val="0"/>
          <w:numId w:val="2"/>
        </w:numPr>
      </w:pPr>
      <w:r>
        <w:rPr>
          <w:rFonts w:ascii="Arial" w:cs="Arial" w:eastAsia="Arial" w:hAnsi="Arial"/>
          <w:b/>
          <w:bCs/>
        </w:rPr>
        <w:t xml:space="preserve">UF-51</w:t>
      </w:r>
      <w:r>
        <w:rPr>
          <w:rFonts w:ascii="Arial" w:cs="Arial" w:eastAsia="Arial" w:hAnsi="Arial"/>
        </w:rPr>
        <w:t xml:space="preserve"> Lecture, téléchargement (MP4/JPG) et partage direct (WhatsApp, lien de partage).</w:t>
      </w:r>
    </w:p>
    <w:p>
      <w:pPr>
        <w:pStyle w:val="ListParagraph"/>
        <w:numPr>
          <w:ilvl w:val="0"/>
          <w:numId w:val="2"/>
        </w:numPr>
      </w:pPr>
      <w:r>
        <w:rPr>
          <w:rFonts w:ascii="Arial" w:cs="Arial" w:eastAsia="Arial" w:hAnsi="Arial"/>
          <w:b/>
          <w:bCs/>
        </w:rPr>
        <w:t xml:space="preserve">UF-52</w:t>
      </w:r>
      <w:r>
        <w:rPr>
          <w:rFonts w:ascii="Arial" w:cs="Arial" w:eastAsia="Arial" w:hAnsi="Arial"/>
        </w:rPr>
        <w:t xml:space="preserve"> Suppression d'une création par l'utilisateur.</w:t>
      </w:r>
    </w:p>
    <w:p>
      <w:pPr>
        <w:pStyle w:val="ListParagraph"/>
        <w:numPr>
          <w:ilvl w:val="0"/>
          <w:numId w:val="2"/>
        </w:numPr>
      </w:pPr>
      <w:r>
        <w:rPr>
          <w:rFonts w:ascii="Arial" w:cs="Arial" w:eastAsia="Arial" w:hAnsi="Arial"/>
          <w:b/>
          <w:bCs/>
        </w:rPr>
        <w:t xml:space="preserve">UF-53</w:t>
      </w:r>
      <w:r>
        <w:rPr>
          <w:rFonts w:ascii="Arial" w:cs="Arial" w:eastAsia="Arial" w:hAnsi="Arial"/>
        </w:rPr>
        <w:t xml:space="preserve"> Signalement d'un problème sur une création (résultat raté, contenu inapproprié).</w:t>
      </w:r>
    </w:p>
    <w:p>
      <w:pPr>
        <w:pStyle w:val="ListParagraph"/>
        <w:numPr>
          <w:ilvl w:val="0"/>
          <w:numId w:val="2"/>
        </w:numPr>
      </w:pPr>
      <w:r>
        <w:rPr>
          <w:rFonts w:ascii="Arial" w:cs="Arial" w:eastAsia="Arial" w:hAnsi="Arial"/>
          <w:b/>
          <w:bCs/>
        </w:rPr>
        <w:t xml:space="preserve">UF-54</w:t>
      </w:r>
      <w:r>
        <w:rPr>
          <w:rFonts w:ascii="Arial" w:cs="Arial" w:eastAsia="Arial" w:hAnsi="Arial"/>
        </w:rPr>
        <w:t xml:space="preserve"> Toutes les vidéos générées portent un filigrane discret de la plateforme.</w:t>
      </w:r>
    </w:p>
    <w:p>
      <w:pPr>
        <w:pStyle w:val="ListParagraph"/>
        <w:numPr>
          <w:ilvl w:val="0"/>
          <w:numId w:val="2"/>
        </w:numPr>
      </w:pPr>
      <w:r>
        <w:rPr>
          <w:rFonts w:ascii="Arial" w:cs="Arial" w:eastAsia="Arial" w:hAnsi="Arial"/>
          <w:b/>
          <w:bCs/>
        </w:rPr>
        <w:t xml:space="preserve">UF-55</w:t>
      </w:r>
      <w:r>
        <w:rPr>
          <w:rFonts w:ascii="Arial" w:cs="Arial" w:eastAsia="Arial" w:hAnsi="Arial"/>
        </w:rPr>
        <w:t xml:space="preserve"> Chaque création affiche sa date de suppression automatique (90 jours) ; un rappel est envoyé 7 jours avant pour inviter l'utilisateur à la télécharger.</w:t>
      </w:r>
    </w:p>
    <w:p>
      <w:pPr>
        <w:pStyle w:val="Heading2"/>
      </w:pPr>
      <w:r>
        <w:rPr>
          <w:rFonts w:ascii="Arial" w:cs="Arial" w:eastAsia="Arial" w:hAnsi="Arial"/>
        </w:rPr>
        <w:t xml:space="preserve">3.7 Compte</w:t>
      </w:r>
    </w:p>
    <w:p>
      <w:pPr>
        <w:pStyle w:val="ListParagraph"/>
        <w:numPr>
          <w:ilvl w:val="0"/>
          <w:numId w:val="2"/>
        </w:numPr>
      </w:pPr>
      <w:r>
        <w:rPr>
          <w:rFonts w:ascii="Arial" w:cs="Arial" w:eastAsia="Arial" w:hAnsi="Arial"/>
          <w:b/>
          <w:bCs/>
        </w:rPr>
        <w:t xml:space="preserve">UF-60</w:t>
      </w:r>
      <w:r>
        <w:rPr>
          <w:rFonts w:ascii="Arial" w:cs="Arial" w:eastAsia="Arial" w:hAnsi="Arial"/>
        </w:rPr>
        <w:t xml:space="preserve"> Profil : prénom, nom, adresse e-mail, numéro de téléphone mobile money (modifiable), mode de connexion (Google, e-mail ou les deux), changement de mot de passe.</w:t>
      </w:r>
    </w:p>
    <w:p>
      <w:pPr>
        <w:pStyle w:val="ListParagraph"/>
        <w:numPr>
          <w:ilvl w:val="0"/>
          <w:numId w:val="2"/>
        </w:numPr>
      </w:pPr>
      <w:r>
        <w:rPr>
          <w:rFonts w:ascii="Arial" w:cs="Arial" w:eastAsia="Arial" w:hAnsi="Arial"/>
          <w:b/>
          <w:bCs/>
        </w:rPr>
        <w:t xml:space="preserve">UF-61</w:t>
      </w:r>
      <w:r>
        <w:rPr>
          <w:rFonts w:ascii="Arial" w:cs="Arial" w:eastAsia="Arial" w:hAnsi="Arial"/>
        </w:rPr>
        <w:t xml:space="preserve"> Historique complet des mouvements de crédits (achats, bonus, consommations, remboursements, expirations).</w:t>
      </w:r>
    </w:p>
    <w:p>
      <w:pPr>
        <w:pStyle w:val="ListParagraph"/>
        <w:numPr>
          <w:ilvl w:val="0"/>
          <w:numId w:val="2"/>
        </w:numPr>
      </w:pPr>
      <w:r>
        <w:rPr>
          <w:rFonts w:ascii="Arial" w:cs="Arial" w:eastAsia="Arial" w:hAnsi="Arial"/>
          <w:b/>
          <w:bCs/>
        </w:rPr>
        <w:t xml:space="preserve">UF-62</w:t>
      </w:r>
      <w:r>
        <w:rPr>
          <w:rFonts w:ascii="Arial" w:cs="Arial" w:eastAsia="Arial" w:hAnsi="Arial"/>
        </w:rPr>
        <w:t xml:space="preserve"> Suppression du compte sur demande.</w:t>
      </w:r>
    </w:p>
    <w:p>
      <w:pPr>
        <w:pStyle w:val="Heading2"/>
      </w:pPr>
      <w:r>
        <w:rPr>
          <w:rFonts w:ascii="Arial" w:cs="Arial" w:eastAsia="Arial" w:hAnsi="Arial"/>
        </w:rPr>
        <w:t xml:space="preserve">3.8 Pages publiques</w:t>
      </w:r>
    </w:p>
    <w:p>
      <w:pPr>
        <w:pStyle w:val="ListParagraph"/>
        <w:numPr>
          <w:ilvl w:val="0"/>
          <w:numId w:val="2"/>
        </w:numPr>
      </w:pPr>
      <w:r>
        <w:rPr>
          <w:rFonts w:ascii="Arial" w:cs="Arial" w:eastAsia="Arial" w:hAnsi="Arial"/>
          <w:b/>
          <w:bCs/>
        </w:rPr>
        <w:t xml:space="preserve">UF-70</w:t>
      </w:r>
      <w:r>
        <w:rPr>
          <w:rFonts w:ascii="Arial" w:cs="Arial" w:eastAsia="Arial" w:hAnsi="Arial"/>
        </w:rPr>
        <w:t xml:space="preserve"> Page d'accueil présentant le service avec des exemples vidéo locaux.</w:t>
      </w:r>
    </w:p>
    <w:p>
      <w:pPr>
        <w:pStyle w:val="ListParagraph"/>
        <w:numPr>
          <w:ilvl w:val="0"/>
          <w:numId w:val="2"/>
        </w:numPr>
      </w:pPr>
      <w:r>
        <w:rPr>
          <w:rFonts w:ascii="Arial" w:cs="Arial" w:eastAsia="Arial" w:hAnsi="Arial"/>
          <w:b/>
          <w:bCs/>
        </w:rPr>
        <w:t xml:space="preserve">UF-71</w:t>
      </w:r>
      <w:r>
        <w:rPr>
          <w:rFonts w:ascii="Arial" w:cs="Arial" w:eastAsia="Arial" w:hAnsi="Arial"/>
        </w:rPr>
        <w:t xml:space="preserve"> Page tarifs (packs et coûts par génération).</w:t>
      </w:r>
    </w:p>
    <w:p>
      <w:pPr>
        <w:pStyle w:val="ListParagraph"/>
        <w:numPr>
          <w:ilvl w:val="0"/>
          <w:numId w:val="2"/>
        </w:numPr>
      </w:pPr>
      <w:r>
        <w:rPr>
          <w:rFonts w:ascii="Arial" w:cs="Arial" w:eastAsia="Arial" w:hAnsi="Arial"/>
          <w:b/>
          <w:bCs/>
        </w:rPr>
        <w:t xml:space="preserve">UF-72</w:t>
      </w:r>
      <w:r>
        <w:rPr>
          <w:rFonts w:ascii="Arial" w:cs="Arial" w:eastAsia="Arial" w:hAnsi="Arial"/>
        </w:rPr>
        <w:t xml:space="preserve"> CGU, charte d'utilisation, politique de confidentialité, page contact (lien WhatsApp).</w:t>
      </w:r>
    </w:p>
    <w:p>
      <w:pPr>
        <w:pStyle w:val="ListParagraph"/>
        <w:numPr>
          <w:ilvl w:val="0"/>
          <w:numId w:val="2"/>
        </w:numPr>
      </w:pPr>
      <w:r>
        <w:rPr>
          <w:rFonts w:ascii="Arial" w:cs="Arial" w:eastAsia="Arial" w:hAnsi="Arial"/>
          <w:b/>
          <w:bCs/>
        </w:rPr>
        <w:t xml:space="preserve">UF-73</w:t>
      </w:r>
      <w:r>
        <w:rPr>
          <w:rFonts w:ascii="Arial" w:cs="Arial" w:eastAsia="Arial" w:hAnsi="Arial"/>
        </w:rPr>
        <w:t xml:space="preserve"> Signalement public d'un contenu abusif (formulaire accessible sans compte).</w:t>
      </w:r>
    </w:p>
    <w:p>
      <w:r>
        <w:br w:type="page"/>
      </w:r>
    </w:p>
    <w:p>
      <w:pPr>
        <w:pStyle w:val="Heading1"/>
      </w:pPr>
      <w:r>
        <w:rPr>
          <w:rFonts w:ascii="Arial" w:cs="Arial" w:eastAsia="Arial" w:hAnsi="Arial"/>
        </w:rPr>
        <w:t xml:space="preserve">4. Espace admin</w:t>
      </w:r>
    </w:p>
    <w:p>
      <w:pPr>
        <w:spacing w:after="120"/>
      </w:pPr>
      <w:r>
        <w:rPr>
          <w:rFonts w:ascii="Arial" w:cs="Arial" w:eastAsia="Arial" w:hAnsi="Arial"/>
        </w:rPr>
        <w:t xml:space="preserve">L'espace admin regroupe tout ce qui sert à piloter la plateforme : le suivi au quotidien, la modération, le support, le catalogue, les finances et les paramètres. Il est accessible uniquement au rôle ADMIN, à l'adresse </w:t>
      </w:r>
      <w:r>
        <w:rPr>
          <w:rFonts w:ascii="Consolas" w:cs="Consolas" w:eastAsia="Consolas" w:hAnsi="Consolas"/>
          <w:color w:val="9F1239"/>
          <w:sz w:val="19"/>
          <w:szCs w:val="19"/>
        </w:rPr>
        <w:t xml:space="preserve">/admin</w:t>
      </w:r>
      <w:r>
        <w:rPr>
          <w:rFonts w:ascii="Arial" w:cs="Arial" w:eastAsia="Arial" w:hAnsi="Arial"/>
        </w:rPr>
        <w:t xml:space="preserve">. Sa page d'accueil est un tableau de bord qui montre d'un coup d'œil si tout va bien.</w:t>
      </w:r>
    </w:p>
    <w:p>
      <w:pPr>
        <w:pStyle w:val="Heading2"/>
      </w:pPr>
      <w:r>
        <w:rPr>
          <w:rFonts w:ascii="Arial" w:cs="Arial" w:eastAsia="Arial" w:hAnsi="Arial"/>
        </w:rPr>
        <w:t xml:space="preserve">4.1 Tableau de bord</w:t>
      </w:r>
    </w:p>
    <w:p>
      <w:pPr>
        <w:pStyle w:val="ListParagraph"/>
        <w:numPr>
          <w:ilvl w:val="0"/>
          <w:numId w:val="2"/>
        </w:numPr>
      </w:pPr>
      <w:r>
        <w:rPr>
          <w:rFonts w:ascii="Arial" w:cs="Arial" w:eastAsia="Arial" w:hAnsi="Arial"/>
          <w:b/>
          <w:bCs/>
        </w:rPr>
        <w:t xml:space="preserve">AD-01</w:t>
      </w:r>
      <w:r>
        <w:rPr>
          <w:rFonts w:ascii="Arial" w:cs="Arial" w:eastAsia="Arial" w:hAnsi="Arial"/>
        </w:rPr>
        <w:t xml:space="preserve"> Indicateurs du jour, de la semaine et du mois : inscriptions, achats, chiffre d'affaires, générations lancées, réussies et échouées, crédits consommés.</w:t>
      </w:r>
    </w:p>
    <w:p>
      <w:pPr>
        <w:pStyle w:val="ListParagraph"/>
        <w:numPr>
          <w:ilvl w:val="0"/>
          <w:numId w:val="2"/>
        </w:numPr>
      </w:pPr>
      <w:r>
        <w:rPr>
          <w:rFonts w:ascii="Arial" w:cs="Arial" w:eastAsia="Arial" w:hAnsi="Arial"/>
          <w:b/>
          <w:bCs/>
        </w:rPr>
        <w:t xml:space="preserve">AD-02</w:t>
      </w:r>
      <w:r>
        <w:rPr>
          <w:rFonts w:ascii="Arial" w:cs="Arial" w:eastAsia="Arial" w:hAnsi="Arial"/>
        </w:rPr>
        <w:t xml:space="preserve"> </w:t>
      </w:r>
      <w:r>
        <w:rPr>
          <w:rFonts w:ascii="Arial" w:cs="Arial" w:eastAsia="Arial" w:hAnsi="Arial"/>
          <w:b/>
          <w:bCs/>
        </w:rPr>
        <w:t xml:space="preserve">Solde Higgsfield estimé</w:t>
      </w:r>
      <w:r>
        <w:rPr>
          <w:rFonts w:ascii="Arial" w:cs="Arial" w:eastAsia="Arial" w:hAnsi="Arial"/>
        </w:rPr>
        <w:t xml:space="preserve"> en dollars et en jours de consommation restants, avec alerte visuelle sous le seuil configuré.</w:t>
      </w:r>
    </w:p>
    <w:p>
      <w:pPr>
        <w:pStyle w:val="ListParagraph"/>
        <w:numPr>
          <w:ilvl w:val="0"/>
          <w:numId w:val="2"/>
        </w:numPr>
      </w:pPr>
      <w:r>
        <w:rPr>
          <w:rFonts w:ascii="Arial" w:cs="Arial" w:eastAsia="Arial" w:hAnsi="Arial"/>
          <w:b/>
          <w:bCs/>
        </w:rPr>
        <w:t xml:space="preserve">AD-03</w:t>
      </w:r>
      <w:r>
        <w:rPr>
          <w:rFonts w:ascii="Arial" w:cs="Arial" w:eastAsia="Arial" w:hAnsi="Arial"/>
        </w:rPr>
        <w:t xml:space="preserve"> File des générations en cours : utilisateur, preset, durée, statut, temps écoulé.</w:t>
      </w:r>
    </w:p>
    <w:p>
      <w:pPr>
        <w:pStyle w:val="ListParagraph"/>
        <w:numPr>
          <w:ilvl w:val="0"/>
          <w:numId w:val="2"/>
        </w:numPr>
      </w:pPr>
      <w:r>
        <w:rPr>
          <w:rFonts w:ascii="Arial" w:cs="Arial" w:eastAsia="Arial" w:hAnsi="Arial"/>
          <w:b/>
          <w:bCs/>
        </w:rPr>
        <w:t xml:space="preserve">AD-04</w:t>
      </w:r>
      <w:r>
        <w:rPr>
          <w:rFonts w:ascii="Arial" w:cs="Arial" w:eastAsia="Arial" w:hAnsi="Arial"/>
        </w:rPr>
        <w:t xml:space="preserve"> Taux d'échec des générations sur les dernières 24 heures, avec alerte au-delà du seuil configuré.</w:t>
      </w:r>
    </w:p>
    <w:p>
      <w:pPr>
        <w:pStyle w:val="ListParagraph"/>
        <w:numPr>
          <w:ilvl w:val="0"/>
          <w:numId w:val="2"/>
        </w:numPr>
      </w:pPr>
      <w:r>
        <w:rPr>
          <w:rFonts w:ascii="Arial" w:cs="Arial" w:eastAsia="Arial" w:hAnsi="Arial"/>
          <w:b/>
          <w:bCs/>
        </w:rPr>
        <w:t xml:space="preserve">AD-05</w:t>
      </w:r>
      <w:r>
        <w:rPr>
          <w:rFonts w:ascii="Arial" w:cs="Arial" w:eastAsia="Arial" w:hAnsi="Arial"/>
        </w:rPr>
        <w:t xml:space="preserve"> Paiements en attente depuis plus de 10 minutes.</w:t>
      </w:r>
    </w:p>
    <w:p>
      <w:pPr>
        <w:pStyle w:val="ListParagraph"/>
        <w:numPr>
          <w:ilvl w:val="0"/>
          <w:numId w:val="2"/>
        </w:numPr>
      </w:pPr>
      <w:r>
        <w:rPr>
          <w:rFonts w:ascii="Arial" w:cs="Arial" w:eastAsia="Arial" w:hAnsi="Arial"/>
          <w:b/>
          <w:bCs/>
        </w:rPr>
        <w:t xml:space="preserve">AD-06</w:t>
      </w:r>
      <w:r>
        <w:rPr>
          <w:rFonts w:ascii="Arial" w:cs="Arial" w:eastAsia="Arial" w:hAnsi="Arial"/>
        </w:rPr>
        <w:t xml:space="preserve"> Signalements non traités, avec leur ancienneté.</w:t>
      </w:r>
    </w:p>
    <w:p>
      <w:pPr>
        <w:pStyle w:val="Heading2"/>
      </w:pPr>
      <w:r>
        <w:rPr>
          <w:rFonts w:ascii="Arial" w:cs="Arial" w:eastAsia="Arial" w:hAnsi="Arial"/>
        </w:rPr>
        <w:t xml:space="preserve">4.2 Modération</w:t>
      </w:r>
    </w:p>
    <w:p>
      <w:pPr>
        <w:pStyle w:val="ListParagraph"/>
        <w:numPr>
          <w:ilvl w:val="0"/>
          <w:numId w:val="2"/>
        </w:numPr>
      </w:pPr>
      <w:r>
        <w:rPr>
          <w:rFonts w:ascii="Arial" w:cs="Arial" w:eastAsia="Arial" w:hAnsi="Arial"/>
          <w:b/>
          <w:bCs/>
        </w:rPr>
        <w:t xml:space="preserve">AD-10</w:t>
      </w:r>
      <w:r>
        <w:rPr>
          <w:rFonts w:ascii="Arial" w:cs="Arial" w:eastAsia="Arial" w:hAnsi="Arial"/>
        </w:rPr>
        <w:t xml:space="preserve"> Liste des créations récentes avec aperçu, filtrable (date, utilisateur, preset, statut, signalée ou non).</w:t>
      </w:r>
    </w:p>
    <w:p>
      <w:pPr>
        <w:pStyle w:val="ListParagraph"/>
        <w:numPr>
          <w:ilvl w:val="0"/>
          <w:numId w:val="2"/>
        </w:numPr>
      </w:pPr>
      <w:r>
        <w:rPr>
          <w:rFonts w:ascii="Arial" w:cs="Arial" w:eastAsia="Arial" w:hAnsi="Arial"/>
          <w:b/>
          <w:bCs/>
        </w:rPr>
        <w:t xml:space="preserve">AD-11</w:t>
      </w:r>
      <w:r>
        <w:rPr>
          <w:rFonts w:ascii="Arial" w:cs="Arial" w:eastAsia="Arial" w:hAnsi="Arial"/>
        </w:rPr>
        <w:t xml:space="preserve"> File des signalements (utilisateurs et public) avec statut : nouveau, en cours, traité, rejeté.</w:t>
      </w:r>
    </w:p>
    <w:p>
      <w:pPr>
        <w:pStyle w:val="ListParagraph"/>
        <w:numPr>
          <w:ilvl w:val="0"/>
          <w:numId w:val="2"/>
        </w:numPr>
      </w:pPr>
      <w:r>
        <w:rPr>
          <w:rFonts w:ascii="Arial" w:cs="Arial" w:eastAsia="Arial" w:hAnsi="Arial"/>
          <w:b/>
          <w:bCs/>
        </w:rPr>
        <w:t xml:space="preserve">AD-12</w:t>
      </w:r>
      <w:r>
        <w:rPr>
          <w:rFonts w:ascii="Arial" w:cs="Arial" w:eastAsia="Arial" w:hAnsi="Arial"/>
        </w:rPr>
        <w:t xml:space="preserve"> Actions sur une création : masquer, supprimer définitivement, marquer comme vérifiée.</w:t>
      </w:r>
    </w:p>
    <w:p>
      <w:pPr>
        <w:pStyle w:val="ListParagraph"/>
        <w:numPr>
          <w:ilvl w:val="0"/>
          <w:numId w:val="2"/>
        </w:numPr>
      </w:pPr>
      <w:r>
        <w:rPr>
          <w:rFonts w:ascii="Arial" w:cs="Arial" w:eastAsia="Arial" w:hAnsi="Arial"/>
          <w:b/>
          <w:bCs/>
        </w:rPr>
        <w:t xml:space="preserve">AD-13</w:t>
      </w:r>
      <w:r>
        <w:rPr>
          <w:rFonts w:ascii="Arial" w:cs="Arial" w:eastAsia="Arial" w:hAnsi="Arial"/>
        </w:rPr>
        <w:t xml:space="preserve"> Actions sur un utilisateur : avertir, suspendre temporairement, bannir, réactiver.</w:t>
      </w:r>
    </w:p>
    <w:p>
      <w:pPr>
        <w:pStyle w:val="ListParagraph"/>
        <w:numPr>
          <w:ilvl w:val="0"/>
          <w:numId w:val="2"/>
        </w:numPr>
      </w:pPr>
      <w:r>
        <w:rPr>
          <w:rFonts w:ascii="Arial" w:cs="Arial" w:eastAsia="Arial" w:hAnsi="Arial"/>
          <w:b/>
          <w:bCs/>
        </w:rPr>
        <w:t xml:space="preserve">AD-14</w:t>
      </w:r>
      <w:r>
        <w:rPr>
          <w:rFonts w:ascii="Arial" w:cs="Arial" w:eastAsia="Arial" w:hAnsi="Arial"/>
        </w:rPr>
        <w:t xml:space="preserve"> Chaque action de modération est enregistrée dans le journal d'audit avec son motif.</w:t>
      </w:r>
    </w:p>
    <w:p>
      <w:pPr>
        <w:pStyle w:val="Heading2"/>
      </w:pPr>
      <w:r>
        <w:rPr>
          <w:rFonts w:ascii="Arial" w:cs="Arial" w:eastAsia="Arial" w:hAnsi="Arial"/>
        </w:rPr>
        <w:t xml:space="preserve">4.3 Utilisateurs et support</w:t>
      </w:r>
    </w:p>
    <w:p>
      <w:pPr>
        <w:pStyle w:val="ListParagraph"/>
        <w:numPr>
          <w:ilvl w:val="0"/>
          <w:numId w:val="2"/>
        </w:numPr>
      </w:pPr>
      <w:r>
        <w:rPr>
          <w:rFonts w:ascii="Arial" w:cs="Arial" w:eastAsia="Arial" w:hAnsi="Arial"/>
          <w:b/>
          <w:bCs/>
        </w:rPr>
        <w:t xml:space="preserve">AD-20</w:t>
      </w:r>
      <w:r>
        <w:rPr>
          <w:rFonts w:ascii="Arial" w:cs="Arial" w:eastAsia="Arial" w:hAnsi="Arial"/>
        </w:rPr>
        <w:t xml:space="preserve"> Liste et recherche des utilisateurs, avec filtres (statut, date d'inscription, dépenses).</w:t>
      </w:r>
    </w:p>
    <w:p>
      <w:pPr>
        <w:pStyle w:val="ListParagraph"/>
        <w:numPr>
          <w:ilvl w:val="0"/>
          <w:numId w:val="2"/>
        </w:numPr>
      </w:pPr>
      <w:r>
        <w:rPr>
          <w:rFonts w:ascii="Arial" w:cs="Arial" w:eastAsia="Arial" w:hAnsi="Arial"/>
          <w:b/>
          <w:bCs/>
        </w:rPr>
        <w:t xml:space="preserve">AD-21</w:t>
      </w:r>
      <w:r>
        <w:rPr>
          <w:rFonts w:ascii="Arial" w:cs="Arial" w:eastAsia="Arial" w:hAnsi="Arial"/>
        </w:rPr>
        <w:t xml:space="preserve"> Fiche utilisateur : informations, solde, historique des achats, des générations et des signalements.</w:t>
      </w:r>
    </w:p>
    <w:p>
      <w:pPr>
        <w:pStyle w:val="ListParagraph"/>
        <w:numPr>
          <w:ilvl w:val="0"/>
          <w:numId w:val="2"/>
        </w:numPr>
      </w:pPr>
      <w:r>
        <w:rPr>
          <w:rFonts w:ascii="Arial" w:cs="Arial" w:eastAsia="Arial" w:hAnsi="Arial"/>
          <w:b/>
          <w:bCs/>
        </w:rPr>
        <w:t xml:space="preserve">AD-22</w:t>
      </w:r>
      <w:r>
        <w:rPr>
          <w:rFonts w:ascii="Arial" w:cs="Arial" w:eastAsia="Arial" w:hAnsi="Arial"/>
        </w:rPr>
        <w:t xml:space="preserve"> Vérification manuelle d'un paiement auprès d'OpenPay (relance de l'API de statut) en cas de réclamation.</w:t>
      </w:r>
    </w:p>
    <w:p>
      <w:pPr>
        <w:pStyle w:val="ListParagraph"/>
        <w:numPr>
          <w:ilvl w:val="0"/>
          <w:numId w:val="2"/>
        </w:numPr>
      </w:pPr>
      <w:r>
        <w:rPr>
          <w:rFonts w:ascii="Arial" w:cs="Arial" w:eastAsia="Arial" w:hAnsi="Arial"/>
          <w:b/>
          <w:bCs/>
        </w:rPr>
        <w:t xml:space="preserve">AD-23</w:t>
      </w:r>
      <w:r>
        <w:rPr>
          <w:rFonts w:ascii="Arial" w:cs="Arial" w:eastAsia="Arial" w:hAnsi="Arial"/>
        </w:rPr>
        <w:t xml:space="preserve"> Ajustement de crédits (geste commercial ou correction), avec motif obligatoire.</w:t>
      </w:r>
    </w:p>
    <w:p>
      <w:pPr>
        <w:pStyle w:val="ListParagraph"/>
        <w:numPr>
          <w:ilvl w:val="0"/>
          <w:numId w:val="2"/>
        </w:numPr>
      </w:pPr>
      <w:r>
        <w:rPr>
          <w:rFonts w:ascii="Arial" w:cs="Arial" w:eastAsia="Arial" w:hAnsi="Arial"/>
          <w:b/>
          <w:bCs/>
        </w:rPr>
        <w:t xml:space="preserve">AD-24</w:t>
      </w:r>
      <w:r>
        <w:rPr>
          <w:rFonts w:ascii="Arial" w:cs="Arial" w:eastAsia="Arial" w:hAnsi="Arial"/>
        </w:rPr>
        <w:t xml:space="preserve"> Création d'un autre compte ADMIN (optionnel, pour un futur collaborateur).</w:t>
      </w:r>
    </w:p>
    <w:p>
      <w:pPr>
        <w:pStyle w:val="Heading2"/>
      </w:pPr>
      <w:r>
        <w:rPr>
          <w:rFonts w:ascii="Arial" w:cs="Arial" w:eastAsia="Arial" w:hAnsi="Arial"/>
        </w:rPr>
        <w:t xml:space="preserve">4.4 Catalogue et tarifs</w:t>
      </w:r>
    </w:p>
    <w:p>
      <w:pPr>
        <w:pStyle w:val="ListParagraph"/>
        <w:numPr>
          <w:ilvl w:val="0"/>
          <w:numId w:val="2"/>
        </w:numPr>
      </w:pPr>
      <w:r>
        <w:rPr>
          <w:rFonts w:ascii="Arial" w:cs="Arial" w:eastAsia="Arial" w:hAnsi="Arial"/>
          <w:b/>
          <w:bCs/>
        </w:rPr>
        <w:t xml:space="preserve">AD-30</w:t>
      </w:r>
      <w:r>
        <w:rPr>
          <w:rFonts w:ascii="Arial" w:cs="Arial" w:eastAsia="Arial" w:hAnsi="Arial"/>
        </w:rPr>
        <w:t xml:space="preserve"> Paramétrage de la valeur d'un crédit en FCFA.</w:t>
      </w:r>
    </w:p>
    <w:p>
      <w:pPr>
        <w:pStyle w:val="ListParagraph"/>
        <w:numPr>
          <w:ilvl w:val="0"/>
          <w:numId w:val="2"/>
        </w:numPr>
      </w:pPr>
      <w:r>
        <w:rPr>
          <w:rFonts w:ascii="Arial" w:cs="Arial" w:eastAsia="Arial" w:hAnsi="Arial"/>
          <w:b/>
          <w:bCs/>
        </w:rPr>
        <w:t xml:space="preserve">AD-31</w:t>
      </w:r>
      <w:r>
        <w:rPr>
          <w:rFonts w:ascii="Arial" w:cs="Arial" w:eastAsia="Arial" w:hAnsi="Arial"/>
        </w:rPr>
        <w:t xml:space="preserve"> Gestion des produits de génération : nom, modèle Higgsfield, résolution, unité de facturation (seconde ou image), crédits par unité, coût fournisseur en dollars, durée minimale et maximale, activé ou non.</w:t>
      </w:r>
    </w:p>
    <w:p>
      <w:pPr>
        <w:pStyle w:val="ListParagraph"/>
        <w:numPr>
          <w:ilvl w:val="0"/>
          <w:numId w:val="2"/>
        </w:numPr>
      </w:pPr>
      <w:r>
        <w:rPr>
          <w:rFonts w:ascii="Arial" w:cs="Arial" w:eastAsia="Arial" w:hAnsi="Arial"/>
          <w:b/>
          <w:bCs/>
        </w:rPr>
        <w:t xml:space="preserve">AD-32</w:t>
      </w:r>
      <w:r>
        <w:rPr>
          <w:rFonts w:ascii="Arial" w:cs="Arial" w:eastAsia="Arial" w:hAnsi="Arial"/>
        </w:rPr>
        <w:t xml:space="preserve"> Calcul et affichage automatiques de la marge brute de chaque produit pour chaque pack, avec alerte si elle passe sous le seuil configuré (15 % par défaut).</w:t>
      </w:r>
    </w:p>
    <w:p>
      <w:pPr>
        <w:pStyle w:val="ListParagraph"/>
        <w:numPr>
          <w:ilvl w:val="0"/>
          <w:numId w:val="2"/>
        </w:numPr>
      </w:pPr>
      <w:r>
        <w:rPr>
          <w:rFonts w:ascii="Arial" w:cs="Arial" w:eastAsia="Arial" w:hAnsi="Arial"/>
          <w:b/>
          <w:bCs/>
        </w:rPr>
        <w:t xml:space="preserve">AD-33</w:t>
      </w:r>
      <w:r>
        <w:rPr>
          <w:rFonts w:ascii="Arial" w:cs="Arial" w:eastAsia="Arial" w:hAnsi="Arial"/>
        </w:rPr>
        <w:t xml:space="preserve"> Gestion des packs de crédits : nom, prix, crédits, bonus, ordre d'affichage, mis en avant ou non, actif ou non.</w:t>
      </w:r>
    </w:p>
    <w:p>
      <w:pPr>
        <w:pStyle w:val="ListParagraph"/>
        <w:numPr>
          <w:ilvl w:val="0"/>
          <w:numId w:val="2"/>
        </w:numPr>
      </w:pPr>
      <w:r>
        <w:rPr>
          <w:rFonts w:ascii="Arial" w:cs="Arial" w:eastAsia="Arial" w:hAnsi="Arial"/>
          <w:b/>
          <w:bCs/>
        </w:rPr>
        <w:t xml:space="preserve">AD-34</w:t>
      </w:r>
      <w:r>
        <w:rPr>
          <w:rFonts w:ascii="Arial" w:cs="Arial" w:eastAsia="Arial" w:hAnsi="Arial"/>
        </w:rPr>
        <w:t xml:space="preserve"> Paramétrage des crédits de bienvenue et de leur délai d'expiration.</w:t>
      </w:r>
    </w:p>
    <w:p>
      <w:pPr>
        <w:pStyle w:val="Heading2"/>
      </w:pPr>
      <w:r>
        <w:rPr>
          <w:rFonts w:ascii="Arial" w:cs="Arial" w:eastAsia="Arial" w:hAnsi="Arial"/>
        </w:rPr>
        <w:t xml:space="preserve">4.5 Presets</w:t>
      </w:r>
    </w:p>
    <w:p>
      <w:pPr>
        <w:pStyle w:val="ListParagraph"/>
        <w:numPr>
          <w:ilvl w:val="0"/>
          <w:numId w:val="2"/>
        </w:numPr>
      </w:pPr>
      <w:r>
        <w:rPr>
          <w:rFonts w:ascii="Arial" w:cs="Arial" w:eastAsia="Arial" w:hAnsi="Arial"/>
          <w:b/>
          <w:bCs/>
        </w:rPr>
        <w:t xml:space="preserve">AD-40</w:t>
      </w:r>
      <w:r>
        <w:rPr>
          <w:rFonts w:ascii="Arial" w:cs="Arial" w:eastAsia="Arial" w:hAnsi="Arial"/>
        </w:rPr>
        <w:t xml:space="preserve"> Création et modification de presets : nom, description, vignette, vidéo d'exemple, produit associé, type (mouvement, look, remplacement d'objet), fichiers fournis (vidéo, images de référence), texte de prompt prérempli, éléments demandés à l'utilisateur, catégorie (danse, pub, anniversaire, mode…), ordre et visibilité.</w:t>
      </w:r>
    </w:p>
    <w:p>
      <w:pPr>
        <w:pStyle w:val="ListParagraph"/>
        <w:numPr>
          <w:ilvl w:val="0"/>
          <w:numId w:val="2"/>
        </w:numPr>
      </w:pPr>
      <w:r>
        <w:rPr>
          <w:rFonts w:ascii="Arial" w:cs="Arial" w:eastAsia="Arial" w:hAnsi="Arial"/>
          <w:b/>
          <w:bCs/>
        </w:rPr>
        <w:t xml:space="preserve">AD-41</w:t>
      </w:r>
      <w:r>
        <w:rPr>
          <w:rFonts w:ascii="Arial" w:cs="Arial" w:eastAsia="Arial" w:hAnsi="Arial"/>
        </w:rPr>
        <w:t xml:space="preserve"> Test d'un preset depuis l'admin avant publication.</w:t>
      </w:r>
    </w:p>
    <w:p>
      <w:pPr>
        <w:pStyle w:val="Heading2"/>
      </w:pPr>
      <w:r>
        <w:rPr>
          <w:rFonts w:ascii="Arial" w:cs="Arial" w:eastAsia="Arial" w:hAnsi="Arial"/>
        </w:rPr>
        <w:t xml:space="preserve">4.6 Finances</w:t>
      </w:r>
    </w:p>
    <w:p>
      <w:pPr>
        <w:pStyle w:val="ListParagraph"/>
        <w:numPr>
          <w:ilvl w:val="0"/>
          <w:numId w:val="2"/>
        </w:numPr>
      </w:pPr>
      <w:r>
        <w:rPr>
          <w:rFonts w:ascii="Arial" w:cs="Arial" w:eastAsia="Arial" w:hAnsi="Arial"/>
          <w:b/>
          <w:bCs/>
        </w:rPr>
        <w:t xml:space="preserve">AD-50</w:t>
      </w:r>
      <w:r>
        <w:rPr>
          <w:rFonts w:ascii="Arial" w:cs="Arial" w:eastAsia="Arial" w:hAnsi="Arial"/>
        </w:rPr>
        <w:t xml:space="preserve"> Journal de tous les paiements OpenPay avec statut et référence.</w:t>
      </w:r>
    </w:p>
    <w:p>
      <w:pPr>
        <w:pStyle w:val="ListParagraph"/>
        <w:numPr>
          <w:ilvl w:val="0"/>
          <w:numId w:val="2"/>
        </w:numPr>
      </w:pPr>
      <w:r>
        <w:rPr>
          <w:rFonts w:ascii="Arial" w:cs="Arial" w:eastAsia="Arial" w:hAnsi="Arial"/>
          <w:b/>
          <w:bCs/>
        </w:rPr>
        <w:t xml:space="preserve">AD-51</w:t>
      </w:r>
      <w:r>
        <w:rPr>
          <w:rFonts w:ascii="Arial" w:cs="Arial" w:eastAsia="Arial" w:hAnsi="Arial"/>
        </w:rPr>
        <w:t xml:space="preserve"> Synthèse financière par période : encaissements, crédits vendus, crédits consommés, crédits en circulation (dette envers les clients), coût Higgsfield estimé, marge brute estimée.</w:t>
      </w:r>
    </w:p>
    <w:p>
      <w:pPr>
        <w:pStyle w:val="ListParagraph"/>
        <w:numPr>
          <w:ilvl w:val="0"/>
          <w:numId w:val="2"/>
        </w:numPr>
      </w:pPr>
      <w:r>
        <w:rPr>
          <w:rFonts w:ascii="Arial" w:cs="Arial" w:eastAsia="Arial" w:hAnsi="Arial"/>
          <w:b/>
          <w:bCs/>
        </w:rPr>
        <w:t xml:space="preserve">AD-52</w:t>
      </w:r>
      <w:r>
        <w:rPr>
          <w:rFonts w:ascii="Arial" w:cs="Arial" w:eastAsia="Arial" w:hAnsi="Arial"/>
        </w:rPr>
        <w:t xml:space="preserve"> Saisie manuelle des recharges Higgsfield (date, montant en dollars, montant en FCFA, taux appliqué) pour suivre le solde estimé et le coût réel.</w:t>
      </w:r>
    </w:p>
    <w:p>
      <w:pPr>
        <w:pStyle w:val="ListParagraph"/>
        <w:numPr>
          <w:ilvl w:val="0"/>
          <w:numId w:val="2"/>
        </w:numPr>
      </w:pPr>
      <w:r>
        <w:rPr>
          <w:rFonts w:ascii="Arial" w:cs="Arial" w:eastAsia="Arial" w:hAnsi="Arial"/>
          <w:b/>
          <w:bCs/>
        </w:rPr>
        <w:t xml:space="preserve">AD-53</w:t>
      </w:r>
      <w:r>
        <w:rPr>
          <w:rFonts w:ascii="Arial" w:cs="Arial" w:eastAsia="Arial" w:hAnsi="Arial"/>
        </w:rPr>
        <w:t xml:space="preserve"> Saisie des retraits OpenPay (montant, commission) pour suivre la trésorerie.</w:t>
      </w:r>
    </w:p>
    <w:p>
      <w:pPr>
        <w:pStyle w:val="ListParagraph"/>
        <w:numPr>
          <w:ilvl w:val="0"/>
          <w:numId w:val="2"/>
        </w:numPr>
      </w:pPr>
      <w:r>
        <w:rPr>
          <w:rFonts w:ascii="Arial" w:cs="Arial" w:eastAsia="Arial" w:hAnsi="Arial"/>
          <w:b/>
          <w:bCs/>
        </w:rPr>
        <w:t xml:space="preserve">AD-54</w:t>
      </w:r>
      <w:r>
        <w:rPr>
          <w:rFonts w:ascii="Arial" w:cs="Arial" w:eastAsia="Arial" w:hAnsi="Arial"/>
        </w:rPr>
        <w:t xml:space="preserve"> Export CSV de toutes les données financières.</w:t>
      </w:r>
    </w:p>
    <w:p>
      <w:pPr>
        <w:pStyle w:val="Heading2"/>
      </w:pPr>
      <w:r>
        <w:rPr>
          <w:rFonts w:ascii="Arial" w:cs="Arial" w:eastAsia="Arial" w:hAnsi="Arial"/>
        </w:rPr>
        <w:t xml:space="preserve">4.7 Paramètres et audit</w:t>
      </w:r>
    </w:p>
    <w:p>
      <w:pPr>
        <w:pStyle w:val="ListParagraph"/>
        <w:numPr>
          <w:ilvl w:val="0"/>
          <w:numId w:val="2"/>
        </w:numPr>
      </w:pPr>
      <w:r>
        <w:rPr>
          <w:rFonts w:ascii="Arial" w:cs="Arial" w:eastAsia="Arial" w:hAnsi="Arial"/>
          <w:b/>
          <w:bCs/>
        </w:rPr>
        <w:t xml:space="preserve">AD-60</w:t>
      </w:r>
      <w:r>
        <w:rPr>
          <w:rFonts w:ascii="Arial" w:cs="Arial" w:eastAsia="Arial" w:hAnsi="Arial"/>
        </w:rPr>
        <w:t xml:space="preserve"> Paramètres opérationnels : seuil d'alerte du solde Higgsfield, seuil d'alerte d'échecs, nombre maximal de générations simultanées, durées de conservation des fichiers, mode maintenance (désactive les nouvelles générations avec message personnalisable).</w:t>
      </w:r>
    </w:p>
    <w:p>
      <w:pPr>
        <w:pStyle w:val="ListParagraph"/>
        <w:numPr>
          <w:ilvl w:val="0"/>
          <w:numId w:val="2"/>
        </w:numPr>
      </w:pPr>
      <w:r>
        <w:rPr>
          <w:rFonts w:ascii="Arial" w:cs="Arial" w:eastAsia="Arial" w:hAnsi="Arial"/>
          <w:b/>
          <w:bCs/>
        </w:rPr>
        <w:t xml:space="preserve">AD-61</w:t>
      </w:r>
      <w:r>
        <w:rPr>
          <w:rFonts w:ascii="Arial" w:cs="Arial" w:eastAsia="Arial" w:hAnsi="Arial"/>
        </w:rPr>
        <w:t xml:space="preserve"> Paramètres des fournisseurs : clés API, URL de callback, identifiants Google OAuth, fournisseur d'e-mail. Les clés ne sont jamais réaffichées en clair après saisie ; toute modification exige de ressaisir le mot de passe.</w:t>
      </w:r>
    </w:p>
    <w:p>
      <w:pPr>
        <w:pStyle w:val="ListParagraph"/>
        <w:numPr>
          <w:ilvl w:val="0"/>
          <w:numId w:val="2"/>
        </w:numPr>
      </w:pPr>
      <w:r>
        <w:rPr>
          <w:rFonts w:ascii="Arial" w:cs="Arial" w:eastAsia="Arial" w:hAnsi="Arial"/>
          <w:b/>
          <w:bCs/>
        </w:rPr>
        <w:t xml:space="preserve">AD-62</w:t>
      </w:r>
      <w:r>
        <w:rPr>
          <w:rFonts w:ascii="Arial" w:cs="Arial" w:eastAsia="Arial" w:hAnsi="Arial"/>
        </w:rPr>
        <w:t xml:space="preserve"> Textes légaux (CGU, charte, confidentialité) modifiables, versionnés ; une nouvelle version majeure exige une nouvelle acceptation.</w:t>
      </w:r>
    </w:p>
    <w:p>
      <w:pPr>
        <w:pStyle w:val="ListParagraph"/>
        <w:numPr>
          <w:ilvl w:val="0"/>
          <w:numId w:val="2"/>
        </w:numPr>
      </w:pPr>
      <w:r>
        <w:rPr>
          <w:rFonts w:ascii="Arial" w:cs="Arial" w:eastAsia="Arial" w:hAnsi="Arial"/>
          <w:b/>
          <w:bCs/>
        </w:rPr>
        <w:t xml:space="preserve">AD-63</w:t>
      </w:r>
      <w:r>
        <w:rPr>
          <w:rFonts w:ascii="Arial" w:cs="Arial" w:eastAsia="Arial" w:hAnsi="Arial"/>
        </w:rPr>
        <w:t xml:space="preserve"> Journal d'audit consultable et filtrable de toutes les actions effectuées dans l'espace admin.</w:t>
      </w:r>
    </w:p>
    <w:p>
      <w:r>
        <w:br w:type="page"/>
      </w:r>
    </w:p>
    <w:p>
      <w:pPr>
        <w:pStyle w:val="Heading1"/>
      </w:pPr>
      <w:r>
        <w:rPr>
          <w:rFonts w:ascii="Arial" w:cs="Arial" w:eastAsia="Arial" w:hAnsi="Arial"/>
        </w:rPr>
        <w:t xml:space="preserve">5. Règles de gestion</w:t>
      </w:r>
    </w:p>
    <w:p>
      <w:pPr>
        <w:pStyle w:val="Heading2"/>
      </w:pPr>
      <w:r>
        <w:rPr>
          <w:rFonts w:ascii="Arial" w:cs="Arial" w:eastAsia="Arial" w:hAnsi="Arial"/>
        </w:rPr>
        <w:t xml:space="preserve">5.1 Crédits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Règle</w:t>
            </w:r>
          </w:p>
        </w:tc>
        <w:tc>
          <w:tcPr>
            <w:tcW w:type="dxa" w:w="803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RG-01</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1 crédit = 25 FCFA (paramétrable). Les crédits ne sont ni remboursables en argent, ni transférables entre comptes.</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sz w:val="19"/>
                <w:szCs w:val="19"/>
              </w:rPr>
              <w:t xml:space="preserve">RG-02</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Le solde d'un utilisateur est la somme de ses mouvements de crédits. Un mouvement n'est jamais modifié ni supprimé ; une correction se fait par un nouveau mouvement.</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RG-03</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Types de mouvements : achat, bonus, bienvenue, réservation, débit définitif, remboursement, ajustement, expiration.</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sz w:val="19"/>
                <w:szCs w:val="19"/>
              </w:rPr>
              <w:t xml:space="preserve">RG-04</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Un achat n'est crédité qu'après confirmation du statut </w:t>
            </w:r>
            <w:r>
              <w:rPr>
                <w:rFonts w:ascii="Consolas" w:cs="Consolas" w:eastAsia="Consolas" w:hAnsi="Consolas"/>
                <w:color w:val="9F1239"/>
                <w:sz w:val="19"/>
                <w:szCs w:val="19"/>
              </w:rPr>
              <w:t xml:space="preserve">success</w:t>
            </w:r>
            <w:r>
              <w:rPr>
                <w:rFonts w:ascii="Arial" w:cs="Arial" w:eastAsia="Arial" w:hAnsi="Arial"/>
                <w:sz w:val="19"/>
                <w:szCs w:val="19"/>
              </w:rPr>
              <w:t xml:space="preserve"> par l'API de statut OpenPay. Le callback OpenPay n'étant pas signé, il ne fait que déclencher cette vérification.</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RG-05</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Un même paiement OpenPay (référence) ne peut créditer un compte qu'une seule fois.</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sz w:val="19"/>
                <w:szCs w:val="19"/>
              </w:rPr>
              <w:t xml:space="preserve">RG-06</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Au lancement d'une génération, les crédits sont réservés. Ils sont définitivement débités si la génération réussit, et restitués si elle échoue ou est annulée.</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RG-07</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Une génération ne démarre que si le solde disponible (hors crédits réservés) couvre son coût total.</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sz w:val="19"/>
                <w:szCs w:val="19"/>
              </w:rPr>
              <w:t xml:space="preserve">RG-08</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Les crédits expirent 12 mois après leur achat (premier acheté, premier consommé). Les crédits de bienvenue expirent après 30 jours (paramétrable).</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RG-09</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Les crédits de bienvenue sont attribués une seule fois par compte, après vérification de l'adresse e-mail. Les adresses jetables (domaines temporaires) sont refusées à l'inscription, et au-delà de 3 comptes créés depuis la même adresse IP en 24 heures, les nouveaux comptes ne reçoivent pas de crédits de bienvenue. Le montant reste faible (coût ≈ 8 FCFA) pour limiter l'intérêt des abus.</w:t>
            </w:r>
          </w:p>
        </w:tc>
      </w:tr>
    </w:tbl>
    <w:p>
      <w:pPr>
        <w:spacing w:after="120"/>
      </w:pPr>
    </w:p>
    <w:p>
      <w:pPr>
        <w:pStyle w:val="Heading2"/>
      </w:pPr>
      <w:r>
        <w:rPr>
          <w:rFonts w:ascii="Arial" w:cs="Arial" w:eastAsia="Arial" w:hAnsi="Arial"/>
        </w:rPr>
        <w:t xml:space="preserve">5.2 Tarifs de lancement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2"/>
        <w:gridCol w:w="1638"/>
        <w:gridCol w:w="1638"/>
        <w:gridCol w:w="1638"/>
        <w:gridCol w:w="1642"/>
      </w:tblGrid>
      <w:tr>
        <w:trPr>
          <w:tblHeader/>
        </w:trPr>
        <w:tc>
          <w:tcPr>
            <w:tcW w:type="dxa" w:w="308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Produit</w:t>
            </w:r>
          </w:p>
        </w:tc>
        <w:tc>
          <w:tcPr>
            <w:tcW w:type="dxa" w:w="1638"/>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1638"/>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Unité</w:t>
            </w:r>
          </w:p>
        </w:tc>
        <w:tc>
          <w:tcPr>
            <w:tcW w:type="dxa" w:w="1638"/>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Crédits</w:t>
            </w:r>
          </w:p>
        </w:tc>
        <w:tc>
          <w:tcPr>
            <w:tcW w:type="dxa" w:w="164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Exemple (10 s)</w:t>
            </w:r>
          </w:p>
        </w:tc>
      </w:tr>
      <w:tr>
        <w:trPr>
          <w:tblHeader w:val="off"/>
        </w:trPr>
        <w:tc>
          <w:tcPr>
            <w:tcW w:type="dxa" w:w="308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Vidéo Light 480p (Genjutsu Light)</w:t>
            </w:r>
          </w:p>
        </w:tc>
        <w:tc>
          <w:tcPr>
            <w:tcW w:type="dxa" w:w="1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MVP</w:t>
            </w:r>
          </w:p>
        </w:tc>
        <w:tc>
          <w:tcPr>
            <w:tcW w:type="dxa" w:w="1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seconde</w:t>
            </w:r>
          </w:p>
        </w:tc>
        <w:tc>
          <w:tcPr>
            <w:tcW w:type="dxa" w:w="1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4</w:t>
            </w:r>
          </w:p>
        </w:tc>
        <w:tc>
          <w:tcPr>
            <w:tcW w:type="dxa" w:w="16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40 crédits = 1 000 FCFA</w:t>
            </w:r>
          </w:p>
        </w:tc>
      </w:tr>
      <w:tr>
        <w:trPr>
          <w:tblHeader w:val="off"/>
        </w:trPr>
        <w:tc>
          <w:tcPr>
            <w:tcW w:type="dxa" w:w="308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Image portrait (Soul 2)</w:t>
            </w:r>
          </w:p>
        </w:tc>
        <w:tc>
          <w:tcPr>
            <w:tcW w:type="dxa" w:w="1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MVP</w:t>
            </w:r>
          </w:p>
        </w:tc>
        <w:tc>
          <w:tcPr>
            <w:tcW w:type="dxa" w:w="1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image</w:t>
            </w:r>
          </w:p>
        </w:tc>
        <w:tc>
          <w:tcPr>
            <w:tcW w:type="dxa" w:w="1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2</w:t>
            </w:r>
          </w:p>
        </w:tc>
        <w:tc>
          <w:tcPr>
            <w:tcW w:type="dxa" w:w="164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50 FCFA</w:t>
            </w:r>
          </w:p>
        </w:tc>
      </w:tr>
      <w:tr>
        <w:trPr>
          <w:tblHeader w:val="off"/>
        </w:trPr>
        <w:tc>
          <w:tcPr>
            <w:tcW w:type="dxa" w:w="308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Vidéo Light 720p</w:t>
            </w:r>
          </w:p>
        </w:tc>
        <w:tc>
          <w:tcPr>
            <w:tcW w:type="dxa" w:w="1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Phase 2</w:t>
            </w:r>
          </w:p>
        </w:tc>
        <w:tc>
          <w:tcPr>
            <w:tcW w:type="dxa" w:w="1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seconde</w:t>
            </w:r>
          </w:p>
        </w:tc>
        <w:tc>
          <w:tcPr>
            <w:tcW w:type="dxa" w:w="1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8</w:t>
            </w:r>
          </w:p>
        </w:tc>
        <w:tc>
          <w:tcPr>
            <w:tcW w:type="dxa" w:w="16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2 000 FCFA</w:t>
            </w:r>
          </w:p>
        </w:tc>
      </w:tr>
      <w:tr>
        <w:trPr>
          <w:tblHeader w:val="off"/>
        </w:trPr>
        <w:tc>
          <w:tcPr>
            <w:tcW w:type="dxa" w:w="308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Vidéo Pro 480p (Genjutsu)</w:t>
            </w:r>
          </w:p>
        </w:tc>
        <w:tc>
          <w:tcPr>
            <w:tcW w:type="dxa" w:w="1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Phase 2</w:t>
            </w:r>
          </w:p>
        </w:tc>
        <w:tc>
          <w:tcPr>
            <w:tcW w:type="dxa" w:w="1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seconde</w:t>
            </w:r>
          </w:p>
        </w:tc>
        <w:tc>
          <w:tcPr>
            <w:tcW w:type="dxa" w:w="1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13</w:t>
            </w:r>
          </w:p>
        </w:tc>
        <w:tc>
          <w:tcPr>
            <w:tcW w:type="dxa" w:w="164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3 250 FCFA</w:t>
            </w:r>
          </w:p>
        </w:tc>
      </w:tr>
      <w:tr>
        <w:trPr>
          <w:tblHeader w:val="off"/>
        </w:trPr>
        <w:tc>
          <w:tcPr>
            <w:tcW w:type="dxa" w:w="308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Vidéo Pro 720p (Genjutsu)</w:t>
            </w:r>
          </w:p>
        </w:tc>
        <w:tc>
          <w:tcPr>
            <w:tcW w:type="dxa" w:w="1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Phase 2</w:t>
            </w:r>
          </w:p>
        </w:tc>
        <w:tc>
          <w:tcPr>
            <w:tcW w:type="dxa" w:w="1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seconde</w:t>
            </w:r>
          </w:p>
        </w:tc>
        <w:tc>
          <w:tcPr>
            <w:tcW w:type="dxa" w:w="1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28</w:t>
            </w:r>
          </w:p>
        </w:tc>
        <w:tc>
          <w:tcPr>
            <w:tcW w:type="dxa" w:w="164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7 000 FCFA</w:t>
            </w:r>
          </w:p>
        </w:tc>
      </w:tr>
      <w:tr>
        <w:trPr>
          <w:tblHeader w:val="off"/>
        </w:trPr>
        <w:tc>
          <w:tcPr>
            <w:tcW w:type="dxa" w:w="308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Affiche avec texte (Ideogram)</w:t>
            </w:r>
          </w:p>
        </w:tc>
        <w:tc>
          <w:tcPr>
            <w:tcW w:type="dxa" w:w="1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Phase 2</w:t>
            </w:r>
          </w:p>
        </w:tc>
        <w:tc>
          <w:tcPr>
            <w:tcW w:type="dxa" w:w="1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image</w:t>
            </w:r>
          </w:p>
        </w:tc>
        <w:tc>
          <w:tcPr>
            <w:tcW w:type="dxa" w:w="1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4</w:t>
            </w:r>
          </w:p>
        </w:tc>
        <w:tc>
          <w:tcPr>
            <w:tcW w:type="dxa" w:w="164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100 FCFA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Pack</w:t>
            </w:r>
          </w:p>
        </w:tc>
        <w:tc>
          <w:tcPr>
            <w:tcW w:type="dxa" w:w="2409"/>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Prix</w:t>
            </w:r>
          </w:p>
        </w:tc>
        <w:tc>
          <w:tcPr>
            <w:tcW w:type="dxa" w:w="2409"/>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Crédits</w:t>
            </w:r>
          </w:p>
        </w:tc>
        <w:tc>
          <w:tcPr>
            <w:tcW w:type="dxa" w:w="2411"/>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Bonus</w:t>
            </w:r>
          </w:p>
        </w:tc>
      </w:tr>
      <w:tr>
        <w:trPr>
          <w:tblHeader w:val="off"/>
        </w:trPr>
        <w:tc>
          <w:tcPr>
            <w:tcW w:type="dxa" w:w="240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Mini</w:t>
            </w:r>
          </w:p>
        </w:tc>
        <w:tc>
          <w:tcPr>
            <w:tcW w:type="dxa" w:w="240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500 FCFA</w:t>
            </w:r>
          </w:p>
        </w:tc>
        <w:tc>
          <w:tcPr>
            <w:tcW w:type="dxa" w:w="240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20</w:t>
            </w:r>
          </w:p>
        </w:tc>
        <w:tc>
          <w:tcPr>
            <w:tcW w:type="dxa" w:w="241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w:t>
            </w:r>
          </w:p>
        </w:tc>
      </w:tr>
      <w:tr>
        <w:trPr>
          <w:tblHeader w:val="off"/>
        </w:trPr>
        <w:tc>
          <w:tcPr>
            <w:tcW w:type="dxa" w:w="240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Découverte</w:t>
            </w:r>
          </w:p>
        </w:tc>
        <w:tc>
          <w:tcPr>
            <w:tcW w:type="dxa" w:w="240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1 000 FCFA</w:t>
            </w:r>
          </w:p>
        </w:tc>
        <w:tc>
          <w:tcPr>
            <w:tcW w:type="dxa" w:w="240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40</w:t>
            </w:r>
          </w:p>
        </w:tc>
        <w:tc>
          <w:tcPr>
            <w:tcW w:type="dxa" w:w="241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w:t>
            </w:r>
          </w:p>
        </w:tc>
      </w:tr>
      <w:tr>
        <w:trPr>
          <w:tblHeader w:val="off"/>
        </w:trPr>
        <w:tc>
          <w:tcPr>
            <w:tcW w:type="dxa" w:w="240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Créateur</w:t>
            </w:r>
          </w:p>
        </w:tc>
        <w:tc>
          <w:tcPr>
            <w:tcW w:type="dxa" w:w="240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2 500 FCFA</w:t>
            </w:r>
          </w:p>
        </w:tc>
        <w:tc>
          <w:tcPr>
            <w:tcW w:type="dxa" w:w="240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103</w:t>
            </w:r>
          </w:p>
        </w:tc>
        <w:tc>
          <w:tcPr>
            <w:tcW w:type="dxa" w:w="241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+3 %</w:t>
            </w:r>
          </w:p>
        </w:tc>
      </w:tr>
      <w:tr>
        <w:trPr>
          <w:tblHeader w:val="off"/>
        </w:trPr>
        <w:tc>
          <w:tcPr>
            <w:tcW w:type="dxa" w:w="240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Pro</w:t>
            </w:r>
          </w:p>
        </w:tc>
        <w:tc>
          <w:tcPr>
            <w:tcW w:type="dxa" w:w="240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5 000 FCFA</w:t>
            </w:r>
          </w:p>
        </w:tc>
        <w:tc>
          <w:tcPr>
            <w:tcW w:type="dxa" w:w="240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210</w:t>
            </w:r>
          </w:p>
        </w:tc>
        <w:tc>
          <w:tcPr>
            <w:tcW w:type="dxa" w:w="241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+5 %</w:t>
            </w:r>
          </w:p>
        </w:tc>
      </w:tr>
      <w:tr>
        <w:trPr>
          <w:tblHeader w:val="off"/>
        </w:trPr>
        <w:tc>
          <w:tcPr>
            <w:tcW w:type="dxa" w:w="240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Business</w:t>
            </w:r>
          </w:p>
        </w:tc>
        <w:tc>
          <w:tcPr>
            <w:tcW w:type="dxa" w:w="240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10 000 FCFA</w:t>
            </w:r>
          </w:p>
        </w:tc>
        <w:tc>
          <w:tcPr>
            <w:tcW w:type="dxa" w:w="240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432</w:t>
            </w:r>
          </w:p>
        </w:tc>
        <w:tc>
          <w:tcPr>
            <w:tcW w:type="dxa" w:w="2411"/>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+8 %</w:t>
            </w:r>
          </w:p>
        </w:tc>
      </w:tr>
      <w:tr>
        <w:trPr>
          <w:tblHeader w:val="off"/>
        </w:trPr>
        <w:tc>
          <w:tcPr>
            <w:tcW w:type="dxa" w:w="240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Agence</w:t>
            </w:r>
          </w:p>
        </w:tc>
        <w:tc>
          <w:tcPr>
            <w:tcW w:type="dxa" w:w="240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25 000 FCFA</w:t>
            </w:r>
          </w:p>
        </w:tc>
        <w:tc>
          <w:tcPr>
            <w:tcW w:type="dxa" w:w="240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1 100</w:t>
            </w:r>
          </w:p>
        </w:tc>
        <w:tc>
          <w:tcPr>
            <w:tcW w:type="dxa" w:w="2411"/>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+10 %</w:t>
            </w:r>
          </w:p>
        </w:tc>
      </w:tr>
    </w:tbl>
    <w:p>
      <w:pPr>
        <w:spacing w:after="120"/>
      </w:pPr>
    </w:p>
    <w:p>
      <w:pPr>
        <w:pStyle w:val="Heading2"/>
      </w:pPr>
      <w:r>
        <w:rPr>
          <w:rFonts w:ascii="Arial" w:cs="Arial" w:eastAsia="Arial" w:hAnsi="Arial"/>
        </w:rPr>
        <w:t xml:space="preserve">5.3 Générations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Règle</w:t>
            </w:r>
          </w:p>
        </w:tc>
        <w:tc>
          <w:tcPr>
            <w:tcW w:type="dxa" w:w="803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RG-20</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Vidéo source : 4 à 15 secondes, MP4 ou MOV, 50 Mo maximum après compression. La durée facturée est arrondie à la seconde supérieure.</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sz w:val="19"/>
                <w:szCs w:val="19"/>
              </w:rPr>
              <w:t xml:space="preserve">RG-21</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Photos de référence : 1 à 4 images JPG/PNG/WebP, 10 Mo maximum chacune.</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RG-22</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Une génération passe par les statuts : en attente → envoyée → en cours → terminée / échouée / annulée.</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sz w:val="19"/>
                <w:szCs w:val="19"/>
              </w:rPr>
              <w:t xml:space="preserve">RG-23</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Une génération sans réponse du fournisseur après 30 minutes est vérifiée ; sans résultat après 60 minutes, elle est déclarée échouée et remboursée.</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RG-24</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Le résultat est copié sur le stockage de la plateforme dès sa réception (Higgsfield ne le garde que 7 jours minimum).</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sz w:val="19"/>
                <w:szCs w:val="19"/>
              </w:rPr>
              <w:t xml:space="preserve">RG-25</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Un utilisateur ne peut avoir plus de 2 générations en cours simultanément (paramétrable).</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RG-26</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Les vidéos et photos envoyées par l'utilisateur sont supprimées 7 jours après la génération. Les vidéos générées sont conservées 90 jours ; l'utilisateur reçoit un rappel 7 jours avant la suppression pour les télécharger. Ces durées sont paramétrables dans l'admin.</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sz w:val="19"/>
                <w:szCs w:val="19"/>
              </w:rPr>
              <w:t xml:space="preserve">RG-27</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Les traces (utilisateur, horodatage, consentement, identifiants des fichiers, adresse IP) sont conservées sans les fichiers après leur suppression.</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RG-28</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Un fichier lié à un signalement en cours est gelé (exclu de la purge) jusqu'à la clôture du signalement.</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sz w:val="19"/>
                <w:szCs w:val="19"/>
              </w:rPr>
              <w:t xml:space="preserve">RG-29</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Tous les fichiers sont privés et stockés sur Cloudflare R2 ; ils ne sont accessibles que par des URL signées à durée limitée. L'envoi se fait directement du téléphone vers R2, en plusieurs morceaux avec reprise en cas de coupure.</w:t>
            </w:r>
          </w:p>
        </w:tc>
      </w:tr>
    </w:tbl>
    <w:p>
      <w:pPr>
        <w:spacing w:after="120"/>
      </w:pPr>
    </w:p>
    <w:p>
      <w:pPr>
        <w:pStyle w:val="Heading2"/>
      </w:pPr>
      <w:r>
        <w:rPr>
          <w:rFonts w:ascii="Arial" w:cs="Arial" w:eastAsia="Arial" w:hAnsi="Arial"/>
        </w:rPr>
        <w:t xml:space="preserve">5.4 Usage responsable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Règle</w:t>
            </w:r>
          </w:p>
        </w:tc>
        <w:tc>
          <w:tcPr>
            <w:tcW w:type="dxa" w:w="8032"/>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RG-30</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Sont interdits : contenu sexuel, contenu impliquant des mineurs, usurpation d'identité, contenu politique trompeur, harcèlement, incitation à la haine ou à la violence, arnaques.</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sz w:val="19"/>
                <w:szCs w:val="19"/>
              </w:rPr>
              <w:t xml:space="preserve">RG-31</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Le consentement est obligatoire à chaque génération et horodaté.</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RG-32</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Toutes les vidéos générées portent un filigrane.</w:t>
            </w:r>
          </w:p>
        </w:tc>
      </w:tr>
      <w:tr>
        <w:trPr>
          <w:tblHeader w:val="off"/>
        </w:trPr>
        <w:tc>
          <w:tcPr>
            <w:tcW w:type="dxa" w:w="160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sz w:val="19"/>
                <w:szCs w:val="19"/>
              </w:rPr>
              <w:t xml:space="preserve">RG-33</w:t>
            </w:r>
          </w:p>
        </w:tc>
        <w:tc>
          <w:tcPr>
            <w:tcW w:type="dxa" w:w="8032"/>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Tout contenu signalé est examiné sous 24 heures. Un contenu manifestement illicite est masqué immédiatement.</w:t>
            </w:r>
          </w:p>
        </w:tc>
      </w:tr>
      <w:tr>
        <w:trPr>
          <w:tblHeader w:val="off"/>
        </w:trPr>
        <w:tc>
          <w:tcPr>
            <w:tcW w:type="dxa" w:w="160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sz w:val="19"/>
                <w:szCs w:val="19"/>
              </w:rPr>
              <w:t xml:space="preserve">RG-34</w:t>
            </w:r>
          </w:p>
        </w:tc>
        <w:tc>
          <w:tcPr>
            <w:tcW w:type="dxa" w:w="8032"/>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Les traces (utilisateur, fichiers, horodatage, adresse IP) sont conservées pour pouvoir répondre à une réquisition légale.</w:t>
            </w:r>
          </w:p>
        </w:tc>
      </w:tr>
    </w:tbl>
    <w:p>
      <w:pPr>
        <w:spacing w:after="120"/>
      </w:pPr>
    </w:p>
    <w:p>
      <w:r>
        <w:br w:type="page"/>
      </w:r>
    </w:p>
    <w:p>
      <w:pPr>
        <w:pStyle w:val="Heading1"/>
      </w:pPr>
      <w:r>
        <w:rPr>
          <w:rFonts w:ascii="Arial" w:cs="Arial" w:eastAsia="Arial" w:hAnsi="Arial"/>
        </w:rPr>
        <w:t xml:space="preserve">6. Exigences non fonctionnelles</w:t>
      </w:r>
    </w:p>
    <w:p>
      <w:pPr>
        <w:pStyle w:val="Heading2"/>
      </w:pPr>
      <w:r>
        <w:rPr>
          <w:rFonts w:ascii="Arial" w:cs="Arial" w:eastAsia="Arial" w:hAnsi="Arial"/>
        </w:rPr>
        <w:t xml:space="preserve">6.1 Ergonomie</w:t>
      </w:r>
    </w:p>
    <w:p>
      <w:pPr>
        <w:pStyle w:val="ListParagraph"/>
        <w:numPr>
          <w:ilvl w:val="0"/>
          <w:numId w:val="2"/>
        </w:numPr>
      </w:pPr>
      <w:r>
        <w:rPr>
          <w:rFonts w:ascii="Arial" w:cs="Arial" w:eastAsia="Arial" w:hAnsi="Arial"/>
        </w:rPr>
        <w:t xml:space="preserve">Interface entièrement en français, vocabulaire simple, sans jargon technique.</w:t>
      </w:r>
    </w:p>
    <w:p>
      <w:pPr>
        <w:pStyle w:val="ListParagraph"/>
        <w:numPr>
          <w:ilvl w:val="0"/>
          <w:numId w:val="2"/>
        </w:numPr>
      </w:pPr>
      <w:r>
        <w:rPr>
          <w:rFonts w:ascii="Arial" w:cs="Arial" w:eastAsia="Arial" w:hAnsi="Arial"/>
        </w:rPr>
        <w:t xml:space="preserve">Conception « mobile d'abord » : utilisable confortablement sur un smartphone Android d'entrée de gamme.</w:t>
      </w:r>
    </w:p>
    <w:p>
      <w:pPr>
        <w:pStyle w:val="ListParagraph"/>
        <w:numPr>
          <w:ilvl w:val="0"/>
          <w:numId w:val="2"/>
        </w:numPr>
      </w:pPr>
      <w:r>
        <w:rPr>
          <w:rFonts w:ascii="Arial" w:cs="Arial" w:eastAsia="Arial" w:hAnsi="Arial"/>
        </w:rPr>
        <w:t xml:space="preserve">Application web progressive (PWA) installable sur l'écran d'accueil.</w:t>
      </w:r>
    </w:p>
    <w:p>
      <w:pPr>
        <w:pStyle w:val="ListParagraph"/>
        <w:numPr>
          <w:ilvl w:val="0"/>
          <w:numId w:val="2"/>
        </w:numPr>
      </w:pPr>
      <w:r>
        <w:rPr>
          <w:rFonts w:ascii="Arial" w:cs="Arial" w:eastAsia="Arial" w:hAnsi="Arial"/>
        </w:rPr>
        <w:t xml:space="preserve">Parcours de création en 3 étapes maximum ; chaque étape tient sur un écran.</w:t>
      </w:r>
    </w:p>
    <w:p>
      <w:pPr>
        <w:pStyle w:val="ListParagraph"/>
        <w:numPr>
          <w:ilvl w:val="0"/>
          <w:numId w:val="2"/>
        </w:numPr>
      </w:pPr>
      <w:r>
        <w:rPr>
          <w:rFonts w:ascii="Arial" w:cs="Arial" w:eastAsia="Arial" w:hAnsi="Arial"/>
        </w:rPr>
        <w:t xml:space="preserve">Prix toujours affiché en crédits et en FCFA avant toute action payante.</w:t>
      </w:r>
    </w:p>
    <w:p>
      <w:pPr>
        <w:pStyle w:val="Heading2"/>
      </w:pPr>
      <w:r>
        <w:rPr>
          <w:rFonts w:ascii="Arial" w:cs="Arial" w:eastAsia="Arial" w:hAnsi="Arial"/>
        </w:rPr>
        <w:t xml:space="preserve">6.2 Performance et sobriété en données</w:t>
      </w:r>
    </w:p>
    <w:p>
      <w:pPr>
        <w:pStyle w:val="ListParagraph"/>
        <w:numPr>
          <w:ilvl w:val="0"/>
          <w:numId w:val="2"/>
        </w:numPr>
      </w:pPr>
      <w:r>
        <w:rPr>
          <w:rFonts w:ascii="Arial" w:cs="Arial" w:eastAsia="Arial" w:hAnsi="Arial"/>
        </w:rPr>
        <w:t xml:space="preserve">Page d'accueil utilisable en moins de 3 secondes sur une connexion 3G.</w:t>
      </w:r>
    </w:p>
    <w:p>
      <w:pPr>
        <w:pStyle w:val="ListParagraph"/>
        <w:numPr>
          <w:ilvl w:val="0"/>
          <w:numId w:val="2"/>
        </w:numPr>
      </w:pPr>
      <w:r>
        <w:rPr>
          <w:rFonts w:ascii="Arial" w:cs="Arial" w:eastAsia="Arial" w:hAnsi="Arial"/>
        </w:rPr>
        <w:t xml:space="preserve">Compression des vidéos côté client avant l'envoi ; reprise de l'envoi en cas de coupure.</w:t>
      </w:r>
    </w:p>
    <w:p>
      <w:pPr>
        <w:pStyle w:val="ListParagraph"/>
        <w:numPr>
          <w:ilvl w:val="0"/>
          <w:numId w:val="2"/>
        </w:numPr>
      </w:pPr>
      <w:r>
        <w:rPr>
          <w:rFonts w:ascii="Arial" w:cs="Arial" w:eastAsia="Arial" w:hAnsi="Arial"/>
        </w:rPr>
        <w:t xml:space="preserve">Aperçus en basse résolution ; le fichier complet n'est téléchargé qu'à la demande.</w:t>
      </w:r>
    </w:p>
    <w:p>
      <w:pPr>
        <w:pStyle w:val="Heading2"/>
      </w:pPr>
      <w:r>
        <w:rPr>
          <w:rFonts w:ascii="Arial" w:cs="Arial" w:eastAsia="Arial" w:hAnsi="Arial"/>
        </w:rPr>
        <w:t xml:space="preserve">6.3 Sécurité</w:t>
      </w:r>
    </w:p>
    <w:p>
      <w:pPr>
        <w:pStyle w:val="ListParagraph"/>
        <w:numPr>
          <w:ilvl w:val="0"/>
          <w:numId w:val="2"/>
        </w:numPr>
      </w:pPr>
      <w:r>
        <w:rPr>
          <w:rFonts w:ascii="Arial" w:cs="Arial" w:eastAsia="Arial" w:hAnsi="Arial"/>
        </w:rPr>
        <w:t xml:space="preserve">Clés API exclusivement côté serveur, en variables d'environnement ou chiffrées en base.</w:t>
      </w:r>
    </w:p>
    <w:p>
      <w:pPr>
        <w:pStyle w:val="ListParagraph"/>
        <w:numPr>
          <w:ilvl w:val="0"/>
          <w:numId w:val="2"/>
        </w:numPr>
      </w:pPr>
      <w:r>
        <w:rPr>
          <w:rFonts w:ascii="Arial" w:cs="Arial" w:eastAsia="Arial" w:hAnsi="Arial"/>
        </w:rPr>
        <w:t xml:space="preserve">Mots de passe hachés (Argon2 ou bcrypt), sessions sécurisées, protection CSRF, limitation de débit.</w:t>
      </w:r>
    </w:p>
    <w:p>
      <w:pPr>
        <w:pStyle w:val="ListParagraph"/>
        <w:numPr>
          <w:ilvl w:val="0"/>
          <w:numId w:val="2"/>
        </w:numPr>
      </w:pPr>
      <w:r>
        <w:rPr>
          <w:rFonts w:ascii="Arial" w:cs="Arial" w:eastAsia="Arial" w:hAnsi="Arial"/>
        </w:rPr>
        <w:t xml:space="preserve">Contrôle d'accès par rôle (USER, ADMIN) vérifié côté serveur sur chaque route.</w:t>
      </w:r>
    </w:p>
    <w:p>
      <w:pPr>
        <w:pStyle w:val="ListParagraph"/>
        <w:numPr>
          <w:ilvl w:val="0"/>
          <w:numId w:val="2"/>
        </w:numPr>
      </w:pPr>
      <w:r>
        <w:rPr>
          <w:rFonts w:ascii="Arial" w:cs="Arial" w:eastAsia="Arial" w:hAnsi="Arial"/>
        </w:rPr>
        <w:t xml:space="preserve">Validation stricte des fichiers envoyés (type réel, taille, durée).</w:t>
      </w:r>
    </w:p>
    <w:p>
      <w:pPr>
        <w:pStyle w:val="ListParagraph"/>
        <w:numPr>
          <w:ilvl w:val="0"/>
          <w:numId w:val="2"/>
        </w:numPr>
      </w:pPr>
      <w:r>
        <w:rPr>
          <w:rFonts w:ascii="Arial" w:cs="Arial" w:eastAsia="Arial" w:hAnsi="Arial"/>
        </w:rPr>
        <w:t xml:space="preserve">Fichiers privés servis par URL signée à durée limitée.</w:t>
      </w:r>
    </w:p>
    <w:p>
      <w:pPr>
        <w:pStyle w:val="ListParagraph"/>
        <w:numPr>
          <w:ilvl w:val="0"/>
          <w:numId w:val="2"/>
        </w:numPr>
      </w:pPr>
      <w:r>
        <w:rPr>
          <w:rFonts w:ascii="Arial" w:cs="Arial" w:eastAsia="Arial" w:hAnsi="Arial"/>
        </w:rPr>
        <w:t xml:space="preserve">Journal d'audit de toutes les actions de l'espace admin.</w:t>
      </w:r>
    </w:p>
    <w:p>
      <w:pPr>
        <w:pStyle w:val="Heading2"/>
      </w:pPr>
      <w:r>
        <w:rPr>
          <w:rFonts w:ascii="Arial" w:cs="Arial" w:eastAsia="Arial" w:hAnsi="Arial"/>
        </w:rPr>
        <w:t xml:space="preserve">6.4 Préparation à l'international</w:t>
      </w:r>
    </w:p>
    <w:p>
      <w:pPr>
        <w:spacing w:after="120"/>
      </w:pPr>
      <w:r>
        <w:rPr>
          <w:rFonts w:ascii="Arial" w:cs="Arial" w:eastAsia="Arial" w:hAnsi="Arial"/>
        </w:rPr>
        <w:t xml:space="preserve">Le MVP ne vise que le Congo-Brazzaville, mais il doit être conçu pour s'ouvrir à d'autres pays sans refonte :</w:t>
      </w:r>
    </w:p>
    <w:p>
      <w:pPr>
        <w:pStyle w:val="ListParagraph"/>
        <w:numPr>
          <w:ilvl w:val="0"/>
          <w:numId w:val="2"/>
        </w:numPr>
      </w:pPr>
      <w:r>
        <w:rPr>
          <w:rFonts w:ascii="Arial" w:cs="Arial" w:eastAsia="Arial" w:hAnsi="Arial"/>
        </w:rPr>
        <w:t xml:space="preserve">chaque pack et chaque paiement porte un </w:t>
      </w:r>
      <w:r>
        <w:rPr>
          <w:rFonts w:ascii="Arial" w:cs="Arial" w:eastAsia="Arial" w:hAnsi="Arial"/>
          <w:b/>
          <w:bCs/>
        </w:rPr>
        <w:t xml:space="preserve">pays</w:t>
      </w:r>
      <w:r>
        <w:rPr>
          <w:rFonts w:ascii="Arial" w:cs="Arial" w:eastAsia="Arial" w:hAnsi="Arial"/>
        </w:rPr>
        <w:t xml:space="preserve"> et une </w:t>
      </w:r>
      <w:r>
        <w:rPr>
          <w:rFonts w:ascii="Arial" w:cs="Arial" w:eastAsia="Arial" w:hAnsi="Arial"/>
          <w:b/>
          <w:bCs/>
        </w:rPr>
        <w:t xml:space="preserve">devise</w:t>
      </w:r>
      <w:r>
        <w:rPr>
          <w:rFonts w:ascii="Arial" w:cs="Arial" w:eastAsia="Arial" w:hAnsi="Arial"/>
        </w:rPr>
        <w:t xml:space="preserve"> (XAF au lancement) ;</w:t>
      </w:r>
    </w:p>
    <w:p>
      <w:pPr>
        <w:pStyle w:val="ListParagraph"/>
        <w:numPr>
          <w:ilvl w:val="0"/>
          <w:numId w:val="2"/>
        </w:numPr>
      </w:pPr>
      <w:r>
        <w:rPr>
          <w:rFonts w:ascii="Arial" w:cs="Arial" w:eastAsia="Arial" w:hAnsi="Arial"/>
        </w:rPr>
        <w:t xml:space="preserve">la valeur du crédit est définie </w:t>
      </w:r>
      <w:r>
        <w:rPr>
          <w:rFonts w:ascii="Arial" w:cs="Arial" w:eastAsia="Arial" w:hAnsi="Arial"/>
          <w:b/>
          <w:bCs/>
        </w:rPr>
        <w:t xml:space="preserve">par devise</w:t>
      </w:r>
      <w:r>
        <w:rPr>
          <w:rFonts w:ascii="Arial" w:cs="Arial" w:eastAsia="Arial" w:hAnsi="Arial"/>
        </w:rPr>
        <w:t xml:space="preserve"> ; un crédit consomme la même quantité de génération partout ;</w:t>
      </w:r>
    </w:p>
    <w:p>
      <w:pPr>
        <w:pStyle w:val="ListParagraph"/>
        <w:numPr>
          <w:ilvl w:val="0"/>
          <w:numId w:val="2"/>
        </w:numPr>
      </w:pPr>
      <w:r>
        <w:rPr>
          <w:rFonts w:ascii="Arial" w:cs="Arial" w:eastAsia="Arial" w:hAnsi="Arial"/>
        </w:rPr>
        <w:t xml:space="preserve">les paiements passent par une interface de fournisseur qui permet d'ajouter un agrégateur par pays ;</w:t>
      </w:r>
    </w:p>
    <w:p>
      <w:pPr>
        <w:pStyle w:val="ListParagraph"/>
        <w:numPr>
          <w:ilvl w:val="0"/>
          <w:numId w:val="2"/>
        </w:numPr>
      </w:pPr>
      <w:r>
        <w:rPr>
          <w:rFonts w:ascii="Arial" w:cs="Arial" w:eastAsia="Arial" w:hAnsi="Arial"/>
        </w:rPr>
        <w:t xml:space="preserve">les numéros de téléphone sont stockés au format international ;</w:t>
      </w:r>
    </w:p>
    <w:p>
      <w:pPr>
        <w:pStyle w:val="ListParagraph"/>
        <w:numPr>
          <w:ilvl w:val="0"/>
          <w:numId w:val="2"/>
        </w:numPr>
      </w:pPr>
      <w:r>
        <w:rPr>
          <w:rFonts w:ascii="Arial" w:cs="Arial" w:eastAsia="Arial" w:hAnsi="Arial"/>
        </w:rPr>
        <w:t xml:space="preserve">les textes de l'interface sont regroupés dans des fichiers de traduction (français au lancement).</w:t>
      </w:r>
    </w:p>
    <w:p>
      <w:pPr>
        <w:pStyle w:val="Heading2"/>
      </w:pPr>
      <w:r>
        <w:rPr>
          <w:rFonts w:ascii="Arial" w:cs="Arial" w:eastAsia="Arial" w:hAnsi="Arial"/>
        </w:rPr>
        <w:t xml:space="preserve">6.5 Fiabilité</w:t>
      </w:r>
    </w:p>
    <w:p>
      <w:pPr>
        <w:pStyle w:val="ListParagraph"/>
        <w:numPr>
          <w:ilvl w:val="0"/>
          <w:numId w:val="2"/>
        </w:numPr>
      </w:pPr>
      <w:r>
        <w:rPr>
          <w:rFonts w:ascii="Arial" w:cs="Arial" w:eastAsia="Arial" w:hAnsi="Arial"/>
        </w:rPr>
        <w:t xml:space="preserve">Toutes les opérations de crédit sont transactionnelles et idempotentes.</w:t>
      </w:r>
    </w:p>
    <w:p>
      <w:pPr>
        <w:pStyle w:val="ListParagraph"/>
        <w:numPr>
          <w:ilvl w:val="0"/>
          <w:numId w:val="2"/>
        </w:numPr>
      </w:pPr>
      <w:r>
        <w:rPr>
          <w:rFonts w:ascii="Arial" w:cs="Arial" w:eastAsia="Arial" w:hAnsi="Arial"/>
        </w:rPr>
        <w:t xml:space="preserve">Les traitements asynchrones (paiements, générations) passent par une file de tâches avec reprise automatique.</w:t>
      </w:r>
    </w:p>
    <w:p>
      <w:pPr>
        <w:pStyle w:val="ListParagraph"/>
        <w:numPr>
          <w:ilvl w:val="0"/>
          <w:numId w:val="2"/>
        </w:numPr>
      </w:pPr>
      <w:r>
        <w:rPr>
          <w:rFonts w:ascii="Arial" w:cs="Arial" w:eastAsia="Arial" w:hAnsi="Arial"/>
        </w:rPr>
        <w:t xml:space="preserve">Sauvegarde quotidienne de la base de données, conservée 30 jours.</w:t>
      </w:r>
    </w:p>
    <w:p>
      <w:pPr>
        <w:pStyle w:val="ListParagraph"/>
        <w:numPr>
          <w:ilvl w:val="0"/>
          <w:numId w:val="2"/>
        </w:numPr>
      </w:pPr>
      <w:r>
        <w:rPr>
          <w:rFonts w:ascii="Arial" w:cs="Arial" w:eastAsia="Arial" w:hAnsi="Arial"/>
        </w:rPr>
        <w:t xml:space="preserve">Surveillance de la disponibilité du service et alerte en cas d'arrêt.</w:t>
      </w:r>
    </w:p>
    <w:p>
      <w:pPr>
        <w:pStyle w:val="Heading2"/>
      </w:pPr>
      <w:r>
        <w:rPr>
          <w:rFonts w:ascii="Arial" w:cs="Arial" w:eastAsia="Arial" w:hAnsi="Arial"/>
        </w:rPr>
        <w:t xml:space="preserve">6.6 Conformité</w:t>
      </w:r>
    </w:p>
    <w:p>
      <w:pPr>
        <w:pStyle w:val="ListParagraph"/>
        <w:numPr>
          <w:ilvl w:val="0"/>
          <w:numId w:val="2"/>
        </w:numPr>
      </w:pPr>
      <w:r>
        <w:rPr>
          <w:rFonts w:ascii="Arial" w:cs="Arial" w:eastAsia="Arial" w:hAnsi="Arial"/>
        </w:rPr>
        <w:t xml:space="preserve">Mentions légales, CGU, charte et politique de confidentialité accessibles depuis chaque page.</w:t>
      </w:r>
    </w:p>
    <w:p>
      <w:pPr>
        <w:pStyle w:val="ListParagraph"/>
        <w:numPr>
          <w:ilvl w:val="0"/>
          <w:numId w:val="2"/>
        </w:numPr>
      </w:pPr>
      <w:r>
        <w:rPr>
          <w:rFonts w:ascii="Arial" w:cs="Arial" w:eastAsia="Arial" w:hAnsi="Arial"/>
        </w:rPr>
        <w:t xml:space="preserve">Données personnelles limitées au nécessaire ; suppression du compte sur demande.</w:t>
      </w:r>
    </w:p>
    <w:p>
      <w:pPr>
        <w:pStyle w:val="ListParagraph"/>
        <w:numPr>
          <w:ilvl w:val="0"/>
          <w:numId w:val="2"/>
        </w:numPr>
      </w:pPr>
      <w:r>
        <w:rPr>
          <w:rFonts w:ascii="Arial" w:cs="Arial" w:eastAsia="Arial" w:hAnsi="Arial"/>
        </w:rPr>
        <w:t xml:space="preserve">La politique de confidentialité indique ce qui est stocké, la durée de conservation (7 jours pour les fichiers envoyés, 90 jours pour les vidéos générées), le lieu de stockage (Cloudflare R2) et l'envoi des fichiers à Higgsfield pour la génération.</w:t>
      </w:r>
    </w:p>
    <w:p>
      <w:pPr>
        <w:pStyle w:val="ListParagraph"/>
        <w:numPr>
          <w:ilvl w:val="0"/>
          <w:numId w:val="2"/>
        </w:numPr>
      </w:pPr>
      <w:r>
        <w:rPr>
          <w:rFonts w:ascii="Arial" w:cs="Arial" w:eastAsia="Arial" w:hAnsi="Arial"/>
        </w:rPr>
        <w:t xml:space="preserve">Respect des conditions d'utilisation de Higgsfield et d'OpenPay.</w:t>
      </w:r>
    </w:p>
    <w:p>
      <w:r>
        <w:br w:type="page"/>
      </w:r>
    </w:p>
    <w:p>
      <w:pPr>
        <w:pStyle w:val="Heading1"/>
      </w:pPr>
      <w:r>
        <w:rPr>
          <w:rFonts w:ascii="Arial" w:cs="Arial" w:eastAsia="Arial" w:hAnsi="Arial"/>
        </w:rPr>
        <w:t xml:space="preserve">7. Contraintes et hypothèses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40"/>
        <w:gridCol w:w="5698"/>
      </w:tblGrid>
      <w:tr>
        <w:trPr>
          <w:tblHeader/>
        </w:trPr>
        <w:tc>
          <w:tcPr>
            <w:tcW w:type="dxa" w:w="3940"/>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Contrainte / hypothèse</w:t>
            </w:r>
          </w:p>
        </w:tc>
        <w:tc>
          <w:tcPr>
            <w:tcW w:type="dxa" w:w="5698"/>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Conséquence</w:t>
            </w:r>
          </w:p>
        </w:tc>
      </w:tr>
      <w:tr>
        <w:trPr>
          <w:tblHeader w:val="off"/>
        </w:trPr>
        <w:tc>
          <w:tcPr>
            <w:tcW w:type="dxa" w:w="39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Recharge Higgsfield manuelle par carte Visa au lancement</w:t>
            </w:r>
          </w:p>
        </w:tc>
        <w:tc>
          <w:tcPr>
            <w:tcW w:type="dxa" w:w="569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Le solde Higgsfield est suivi par estimation dans l'admin ; alertes indispensables</w:t>
            </w:r>
          </w:p>
        </w:tc>
      </w:tr>
      <w:tr>
        <w:trPr>
          <w:tblHeader w:val="off"/>
        </w:trPr>
        <w:tc>
          <w:tcPr>
            <w:tcW w:type="dxa" w:w="394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Pas d'envoi de SMS au lancement (ni API MTN, ni Twilio)</w:t>
            </w:r>
          </w:p>
        </w:tc>
        <w:tc>
          <w:tcPr>
            <w:tcW w:type="dxa" w:w="569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Connexion par Google ou e-mail + mot de passe ; vérification par lien e-mail ; numéro de téléphone facultatif et non vérifié</w:t>
            </w:r>
          </w:p>
        </w:tc>
      </w:tr>
      <w:tr>
        <w:trPr>
          <w:tblHeader w:val="off"/>
        </w:trPr>
        <w:tc>
          <w:tcPr>
            <w:tcW w:type="dxa" w:w="39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Callbacks OpenPay non signés</w:t>
            </w:r>
          </w:p>
        </w:tc>
        <w:tc>
          <w:tcPr>
            <w:tcW w:type="dxa" w:w="569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Vérification systématique via l'API de statut avant tout crédit</w:t>
            </w:r>
          </w:p>
        </w:tc>
      </w:tr>
      <w:tr>
        <w:trPr>
          <w:tblHeader w:val="off"/>
        </w:trPr>
        <w:tc>
          <w:tcPr>
            <w:tcW w:type="dxa" w:w="394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Genjutsu Light : 4 à 15 s, facturé sortie + entrée</w:t>
            </w:r>
          </w:p>
        </w:tc>
        <w:tc>
          <w:tcPr>
            <w:tcW w:type="dxa" w:w="569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Durées bornées et coût calculé côté serveur</w:t>
            </w:r>
          </w:p>
        </w:tc>
      </w:tr>
      <w:tr>
        <w:trPr>
          <w:tblHeader w:val="off"/>
        </w:trPr>
        <w:tc>
          <w:tcPr>
            <w:tcW w:type="dxa" w:w="39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Prix fournisseurs susceptibles de changer</w:t>
            </w:r>
          </w:p>
        </w:tc>
        <w:tc>
          <w:tcPr>
            <w:tcW w:type="dxa" w:w="569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Coûts et crédits paramétrables dans l'admin, marge recalculée automatiquement</w:t>
            </w:r>
          </w:p>
        </w:tc>
      </w:tr>
      <w:tr>
        <w:trPr>
          <w:tblHeader w:val="off"/>
        </w:trPr>
        <w:tc>
          <w:tcPr>
            <w:tcW w:type="dxa" w:w="394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Budget de démarrage ≈ 56 000 à 73 000 FCFA</w:t>
            </w:r>
          </w:p>
        </w:tc>
        <w:tc>
          <w:tcPr>
            <w:tcW w:type="dxa" w:w="569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Application sur le VPS existant, fichiers sur Cloudflare R2 (offre gratuite jusqu'à 10 Go), pas de service payant non indispensable</w:t>
            </w:r>
          </w:p>
        </w:tc>
      </w:tr>
      <w:tr>
        <w:trPr>
          <w:tblHeader w:val="off"/>
        </w:trPr>
        <w:tc>
          <w:tcPr>
            <w:tcW w:type="dxa" w:w="394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Connexions mobiles lentes et coûteuses</w:t>
            </w:r>
          </w:p>
        </w:tc>
        <w:tc>
          <w:tcPr>
            <w:tcW w:type="dxa" w:w="569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Compression, 480p par défaut, aperçus légers</w:t>
            </w:r>
          </w:p>
        </w:tc>
      </w:tr>
    </w:tbl>
    <w:p>
      <w:pPr>
        <w:spacing w:after="120"/>
      </w:pPr>
    </w:p>
    <w:p>
      <w:r>
        <w:br w:type="page"/>
      </w:r>
    </w:p>
    <w:p>
      <w:pPr>
        <w:pStyle w:val="Heading1"/>
      </w:pPr>
      <w:r>
        <w:rPr>
          <w:rFonts w:ascii="Arial" w:cs="Arial" w:eastAsia="Arial" w:hAnsi="Arial"/>
        </w:rPr>
        <w:t xml:space="preserve">8. Livrables attendus</w:t>
      </w:r>
    </w:p>
    <w:p>
      <w:pPr>
        <w:pStyle w:val="ListParagraph"/>
        <w:numPr>
          <w:ilvl w:val="0"/>
          <w:numId w:val="5"/>
        </w:numPr>
      </w:pPr>
      <w:r>
        <w:rPr>
          <w:rFonts w:ascii="Arial" w:cs="Arial" w:eastAsia="Arial" w:hAnsi="Arial"/>
        </w:rPr>
        <w:t xml:space="preserve">Code source complet (monorepo) et documentation d'installation.</w:t>
      </w:r>
    </w:p>
    <w:p>
      <w:pPr>
        <w:pStyle w:val="ListParagraph"/>
        <w:numPr>
          <w:ilvl w:val="0"/>
          <w:numId w:val="5"/>
        </w:numPr>
      </w:pPr>
      <w:r>
        <w:rPr>
          <w:rFonts w:ascii="Arial" w:cs="Arial" w:eastAsia="Arial" w:hAnsi="Arial"/>
        </w:rPr>
        <w:t xml:space="preserve">Base de données initialisée : produits, packs, presets d'exemple, premier compte ADMIN.</w:t>
      </w:r>
    </w:p>
    <w:p>
      <w:pPr>
        <w:pStyle w:val="ListParagraph"/>
        <w:numPr>
          <w:ilvl w:val="0"/>
          <w:numId w:val="5"/>
        </w:numPr>
      </w:pPr>
      <w:r>
        <w:rPr>
          <w:rFonts w:ascii="Arial" w:cs="Arial" w:eastAsia="Arial" w:hAnsi="Arial"/>
        </w:rPr>
        <w:t xml:space="preserve">Espace utilisateur et espace admin fonctionnels.</w:t>
      </w:r>
    </w:p>
    <w:p>
      <w:pPr>
        <w:pStyle w:val="ListParagraph"/>
        <w:numPr>
          <w:ilvl w:val="0"/>
          <w:numId w:val="5"/>
        </w:numPr>
      </w:pPr>
      <w:r>
        <w:rPr>
          <w:rFonts w:ascii="Arial" w:cs="Arial" w:eastAsia="Arial" w:hAnsi="Arial"/>
        </w:rPr>
        <w:t xml:space="preserve">Intégrations OpenPay et Higgsfield testées (mode simulation compris).</w:t>
      </w:r>
    </w:p>
    <w:p>
      <w:pPr>
        <w:pStyle w:val="ListParagraph"/>
        <w:numPr>
          <w:ilvl w:val="0"/>
          <w:numId w:val="5"/>
        </w:numPr>
      </w:pPr>
      <w:r>
        <w:rPr>
          <w:rFonts w:ascii="Arial" w:cs="Arial" w:eastAsia="Arial" w:hAnsi="Arial"/>
        </w:rPr>
        <w:t xml:space="preserve">Déploiement sur le VPS (Docker), avec sauvegardes et surveillance.</w:t>
      </w:r>
    </w:p>
    <w:p>
      <w:pPr>
        <w:pStyle w:val="ListParagraph"/>
        <w:numPr>
          <w:ilvl w:val="0"/>
          <w:numId w:val="5"/>
        </w:numPr>
      </w:pPr>
      <w:r>
        <w:rPr>
          <w:rFonts w:ascii="Arial" w:cs="Arial" w:eastAsia="Arial" w:hAnsi="Arial"/>
        </w:rPr>
        <w:t xml:space="preserve">Textes légaux de base à faire relire.</w:t>
      </w:r>
    </w:p>
    <w:p>
      <w:r>
        <w:br w:type="page"/>
      </w:r>
    </w:p>
    <w:p>
      <w:pPr>
        <w:pStyle w:val="Heading1"/>
      </w:pPr>
      <w:r>
        <w:rPr>
          <w:rFonts w:ascii="Arial" w:cs="Arial" w:eastAsia="Arial" w:hAnsi="Arial"/>
        </w:rPr>
        <w:t xml:space="preserve">9. Critères de recette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9"/>
        <w:gridCol w:w="5489"/>
      </w:tblGrid>
      <w:tr>
        <w:trPr>
          <w:tblHeader/>
        </w:trPr>
        <w:tc>
          <w:tcPr>
            <w:tcW w:type="dxa" w:w="4149"/>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Scénario</w:t>
            </w:r>
          </w:p>
        </w:tc>
        <w:tc>
          <w:tcPr>
            <w:tcW w:type="dxa" w:w="5489"/>
            <w:tcBorders>
              <w:top w:val="single" w:color="CBD5E1" w:sz="4"/>
              <w:left w:val="single" w:color="CBD5E1" w:sz="4"/>
              <w:bottom w:val="single" w:color="CBD5E1" w:sz="4"/>
              <w:right w:val="single" w:color="CBD5E1" w:sz="4"/>
            </w:tcBorders>
            <w:shd w:fill="1F2937" w:color="auto" w:val="clear"/>
            <w:tcMar>
              <w:top w:type="dxa" w:w="60"/>
              <w:left w:type="dxa" w:w="100"/>
              <w:bottom w:type="dxa" w:w="60"/>
              <w:right w:type="dxa" w:w="100"/>
            </w:tcMar>
          </w:tcPr>
          <w:p>
            <w:r>
              <w:rPr>
                <w:rFonts w:ascii="Arial" w:cs="Arial" w:eastAsia="Arial" w:hAnsi="Arial"/>
                <w:b/>
                <w:bCs/>
                <w:color w:val="FFFFFF"/>
                <w:sz w:val="19"/>
                <w:szCs w:val="19"/>
              </w:rPr>
              <w:t xml:space="preserve">Résultat attendu</w:t>
            </w:r>
          </w:p>
        </w:tc>
      </w:tr>
      <w:tr>
        <w:trPr>
          <w:tblHeader w:val="off"/>
        </w:trPr>
        <w:tc>
          <w:tcPr>
            <w:tcW w:type="dxa" w:w="414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Achat d'un pack avec paiement réussi</w:t>
            </w:r>
          </w:p>
        </w:tc>
        <w:tc>
          <w:tcPr>
            <w:tcW w:type="dxa" w:w="548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Crédits ajoutés une seule fois, même si le callback arrive plusieurs fois</w:t>
            </w:r>
          </w:p>
        </w:tc>
      </w:tr>
      <w:tr>
        <w:trPr>
          <w:tblHeader w:val="off"/>
        </w:trPr>
        <w:tc>
          <w:tcPr>
            <w:tcW w:type="dxa" w:w="414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Achat avec paiement échoué ou annulé</w:t>
            </w:r>
          </w:p>
        </w:tc>
        <w:tc>
          <w:tcPr>
            <w:tcW w:type="dxa" w:w="548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Aucun crédit ajouté, message clair à l'utilisateur</w:t>
            </w:r>
          </w:p>
        </w:tc>
      </w:tr>
      <w:tr>
        <w:trPr>
          <w:tblHeader w:val="off"/>
        </w:trPr>
        <w:tc>
          <w:tcPr>
            <w:tcW w:type="dxa" w:w="414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Callback falsifié (statut </w:t>
            </w:r>
            <w:r>
              <w:rPr>
                <w:rFonts w:ascii="Consolas" w:cs="Consolas" w:eastAsia="Consolas" w:hAnsi="Consolas"/>
                <w:color w:val="9F1239"/>
                <w:sz w:val="19"/>
                <w:szCs w:val="19"/>
              </w:rPr>
              <w:t xml:space="preserve">success</w:t>
            </w:r>
            <w:r>
              <w:rPr>
                <w:rFonts w:ascii="Arial" w:cs="Arial" w:eastAsia="Arial" w:hAnsi="Arial"/>
                <w:sz w:val="19"/>
                <w:szCs w:val="19"/>
              </w:rPr>
              <w:t xml:space="preserve"> inventé)</w:t>
            </w:r>
          </w:p>
        </w:tc>
        <w:tc>
          <w:tcPr>
            <w:tcW w:type="dxa" w:w="548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Aucun crédit ajouté, car l'API de statut ne confirme pas</w:t>
            </w:r>
          </w:p>
        </w:tc>
      </w:tr>
      <w:tr>
        <w:trPr>
          <w:tblHeader w:val="off"/>
        </w:trPr>
        <w:tc>
          <w:tcPr>
            <w:tcW w:type="dxa" w:w="414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Génération réussie</w:t>
            </w:r>
          </w:p>
        </w:tc>
        <w:tc>
          <w:tcPr>
            <w:tcW w:type="dxa" w:w="548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Crédits débités, vidéo copiée sur le stockage, utilisateur notifié</w:t>
            </w:r>
          </w:p>
        </w:tc>
      </w:tr>
      <w:tr>
        <w:trPr>
          <w:tblHeader w:val="off"/>
        </w:trPr>
        <w:tc>
          <w:tcPr>
            <w:tcW w:type="dxa" w:w="414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Génération échouée</w:t>
            </w:r>
          </w:p>
        </w:tc>
        <w:tc>
          <w:tcPr>
            <w:tcW w:type="dxa" w:w="548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Crédits intégralement restitués, utilisateur notifié</w:t>
            </w:r>
          </w:p>
        </w:tc>
      </w:tr>
      <w:tr>
        <w:trPr>
          <w:tblHeader w:val="off"/>
        </w:trPr>
        <w:tc>
          <w:tcPr>
            <w:tcW w:type="dxa" w:w="414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Deux générations lancées simultanément avec un solde pour une seule</w:t>
            </w:r>
          </w:p>
        </w:tc>
        <w:tc>
          <w:tcPr>
            <w:tcW w:type="dxa" w:w="548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Une seule génération acceptée</w:t>
            </w:r>
          </w:p>
        </w:tc>
      </w:tr>
      <w:tr>
        <w:trPr>
          <w:tblHeader w:val="off"/>
        </w:trPr>
        <w:tc>
          <w:tcPr>
            <w:tcW w:type="dxa" w:w="414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Mode maintenance activé</w:t>
            </w:r>
          </w:p>
        </w:tc>
        <w:tc>
          <w:tcPr>
            <w:tcW w:type="dxa" w:w="548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Aucune nouvelle génération possible, message affiché</w:t>
            </w:r>
          </w:p>
        </w:tc>
      </w:tr>
      <w:tr>
        <w:trPr>
          <w:tblHeader w:val="off"/>
        </w:trPr>
        <w:tc>
          <w:tcPr>
            <w:tcW w:type="dxa" w:w="414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Utilisateur (USER) tente d'accéder à </w:t>
            </w:r>
            <w:r>
              <w:rPr>
                <w:rFonts w:ascii="Consolas" w:cs="Consolas" w:eastAsia="Consolas" w:hAnsi="Consolas"/>
                <w:color w:val="9F1239"/>
                <w:sz w:val="19"/>
                <w:szCs w:val="19"/>
              </w:rPr>
              <w:t xml:space="preserve">/admin</w:t>
            </w:r>
            <w:r>
              <w:rPr>
                <w:rFonts w:ascii="Arial" w:cs="Arial" w:eastAsia="Arial" w:hAnsi="Arial"/>
                <w:sz w:val="19"/>
                <w:szCs w:val="19"/>
              </w:rPr>
              <w:t xml:space="preserve"> ou à une route admin de l'API</w:t>
            </w:r>
          </w:p>
        </w:tc>
        <w:tc>
          <w:tcPr>
            <w:tcW w:type="dxa" w:w="548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Accès refusé</w:t>
            </w:r>
          </w:p>
        </w:tc>
      </w:tr>
      <w:tr>
        <w:trPr>
          <w:tblHeader w:val="off"/>
        </w:trPr>
        <w:tc>
          <w:tcPr>
            <w:tcW w:type="dxa" w:w="414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Prix fournisseur modifié dans l'admin</w:t>
            </w:r>
          </w:p>
        </w:tc>
        <w:tc>
          <w:tcPr>
            <w:tcW w:type="dxa" w:w="548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Marges recalculées, alerte si un produit passe sous 15 %</w:t>
            </w:r>
          </w:p>
        </w:tc>
      </w:tr>
      <w:tr>
        <w:trPr>
          <w:tblHeader w:val="off"/>
        </w:trPr>
        <w:tc>
          <w:tcPr>
            <w:tcW w:type="dxa" w:w="414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Fichiers d'une génération vieille de 8 jours</w:t>
            </w:r>
          </w:p>
        </w:tc>
        <w:tc>
          <w:tcPr>
            <w:tcW w:type="dxa" w:w="548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Vidéo et photos envoyées supprimées de R2, vidéo générée toujours disponible</w:t>
            </w:r>
          </w:p>
        </w:tc>
      </w:tr>
      <w:tr>
        <w:trPr>
          <w:tblHeader w:val="off"/>
        </w:trPr>
        <w:tc>
          <w:tcPr>
            <w:tcW w:type="dxa" w:w="414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Création vieille de 83 jours</w:t>
            </w:r>
          </w:p>
        </w:tc>
        <w:tc>
          <w:tcPr>
            <w:tcW w:type="dxa" w:w="548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Rappel de suppression envoyé ; suppression effective au 90e jour</w:t>
            </w:r>
          </w:p>
        </w:tc>
      </w:tr>
      <w:tr>
        <w:trPr>
          <w:tblHeader w:val="off"/>
        </w:trPr>
        <w:tc>
          <w:tcPr>
            <w:tcW w:type="dxa" w:w="414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Accès direct à un fichier sans URL signée valide</w:t>
            </w:r>
          </w:p>
        </w:tc>
        <w:tc>
          <w:tcPr>
            <w:tcW w:type="dxa" w:w="548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Accès refusé</w:t>
            </w:r>
          </w:p>
        </w:tc>
      </w:tr>
      <w:tr>
        <w:trPr>
          <w:tblHeader w:val="off"/>
        </w:trPr>
        <w:tc>
          <w:tcPr>
            <w:tcW w:type="dxa" w:w="414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Inscription par e-mail sans cliquer sur le lien de vérification</w:t>
            </w:r>
          </w:p>
        </w:tc>
        <w:tc>
          <w:tcPr>
            <w:tcW w:type="dxa" w:w="548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Achat et génération impossibles, crédits de bienvenue non attribués</w:t>
            </w:r>
          </w:p>
        </w:tc>
      </w:tr>
      <w:tr>
        <w:trPr>
          <w:tblHeader w:val="off"/>
        </w:trPr>
        <w:tc>
          <w:tcPr>
            <w:tcW w:type="dxa" w:w="414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Inscription avec Google</w:t>
            </w:r>
          </w:p>
        </w:tc>
        <w:tc>
          <w:tcPr>
            <w:tcW w:type="dxa" w:w="548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sz w:val="19"/>
                <w:szCs w:val="19"/>
              </w:rPr>
              <w:t xml:space="preserve">Compte créé, adresse vérifiée, CGU à accepter, crédits de bienvenue attribués</w:t>
            </w:r>
          </w:p>
        </w:tc>
      </w:tr>
      <w:tr>
        <w:trPr>
          <w:tblHeader w:val="off"/>
        </w:trPr>
        <w:tc>
          <w:tcPr>
            <w:tcW w:type="dxa" w:w="414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Inscription avec une adresse jetable</w:t>
            </w:r>
          </w:p>
        </w:tc>
        <w:tc>
          <w:tcPr>
            <w:tcW w:type="dxa" w:w="5489"/>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sz w:val="19"/>
                <w:szCs w:val="19"/>
              </w:rPr>
              <w:t xml:space="preserve">Inscription refusée avec un message clair</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Yamboka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lvl w:ilvl="1" w:tentative="1">
      <w:start w:val="1"/>
      <w:numFmt w:val="lowerLetter"/>
      <w:lvlText w:val="%2)"/>
      <w:lvlJc w:val="left"/>
      <w:pPr>
        <w:ind w:left="1080" w:hanging="300"/>
      </w:pPr>
    </w:lvl>
  </w:abstractNum>
  <w:abstractNum w:abstractNumId="4"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0F766E"/>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1F2937"/>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33415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2026-10-22T08:56:27.738Z</dcterms:created>
  <dcterms:modified xsi:type="dcterms:W3CDTF">2026-10-22T08:56:27.744Z</dcterms:modified>
</cp:coreProperties>
</file>

<file path=docProps/custom.xml><?xml version="1.0" encoding="utf-8"?>
<Properties xmlns="http://schemas.openxmlformats.org/officeDocument/2006/custom-properties" xmlns:vt="http://schemas.openxmlformats.org/officeDocument/2006/docPropsVTypes"/>
</file>