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r>
        <w:rPr>
          <w:rFonts w:ascii="Arial" w:cs="Arial" w:eastAsia="Arial" w:hAnsi="Arial"/>
          <w:b/>
          <w:bCs/>
          <w:color w:val="0F766E"/>
          <w:sz w:val="56"/>
          <w:szCs w:val="56"/>
        </w:rPr>
        <w:t xml:space="preserve">Business model et business plan</w:t>
      </w:r>
    </w:p>
    <w:p>
      <w:pPr>
        <w:spacing w:after="600" w:before="200"/>
      </w:pPr>
      <w:r>
        <w:rPr>
          <w:rFonts w:ascii="Arial" w:cs="Arial" w:eastAsia="Arial" w:hAnsi="Arial"/>
          <w:color w:val="1F2937"/>
          <w:sz w:val="30"/>
          <w:szCs w:val="30"/>
        </w:rPr>
        <w:t xml:space="preserve">Rendre la création vidéo par IA accessible aux Congolais, payable en mobile money</w:t>
      </w:r>
    </w:p>
    <w:p>
      <w:pPr>
        <w:pBdr>
          <w:bottom w:val="single" w:color="0F766E" w:sz="12" w:space="1"/>
        </w:pBdr>
      </w:pPr>
    </w:p>
    <w:p>
      <w:pPr>
        <w:spacing w:before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Projet :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Yamboka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Porteur :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Riche Isaac Makso — Brazzaville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Version :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1.4 — 22 octobre 2026 (nom Yamboka et vision internationale ; connexion Google et e-mail ; deux espaces ; stockage R2)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Annexe chiffrée :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business_model_ia_video_openpay.xlsx (toutes les hypothèses sont modifiables)</w:t>
      </w:r>
    </w:p>
    <w:p>
      <w:r>
        <w:br w:type="page"/>
      </w:r>
    </w:p>
    <w:p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Résumé</w:t>
      </w:r>
    </w:p>
    <w:p>
      <w:pPr>
        <w:spacing w:after="120"/>
      </w:pPr>
      <w:r>
        <w:rPr>
          <w:rFonts w:ascii="Arial" w:cs="Arial" w:eastAsia="Arial" w:hAnsi="Arial"/>
        </w:rPr>
        <w:t xml:space="preserve">Yamboka est une plateforme web, en français, qui permet de créer des vidéos et des images par IA en payant en MTN Mobile Money ou Airtel Money, à partir de 500 FCFA. La génération est assurée par l'API Higgsfield (modèle Genjutsu) ; l'encaissement par l'agrégateur congolais OpenPay.</w:t>
      </w:r>
    </w:p>
    <w:p>
      <w:pPr>
        <w:spacing w:after="120"/>
      </w:pPr>
      <w:r>
        <w:rPr>
          <w:rFonts w:ascii="Arial" w:cs="Arial" w:eastAsia="Arial" w:hAnsi="Arial"/>
        </w:rPr>
        <w:t xml:space="preserve">Le nom </w:t>
      </w:r>
      <w:r>
        <w:rPr>
          <w:rFonts w:ascii="Arial" w:cs="Arial" w:eastAsia="Arial" w:hAnsi="Arial"/>
          <w:b/>
          <w:bCs/>
        </w:rPr>
        <w:t xml:space="preserve">Yamboka</w:t>
      </w:r>
      <w:r>
        <w:rPr>
          <w:rFonts w:ascii="Arial" w:cs="Arial" w:eastAsia="Arial" w:hAnsi="Arial"/>
        </w:rPr>
        <w:t xml:space="preserve"> vient du lingala « ya mboka », « du pays, de chez nous » : un outil né à Brazzaville, pensé pour toute l'Afrique du mobile money.</w:t>
      </w:r>
    </w:p>
    <w:p>
      <w:pPr>
        <w:spacing w:after="120"/>
      </w:pPr>
      <w:r>
        <w:rPr>
          <w:rFonts w:ascii="Arial" w:cs="Arial" w:eastAsia="Arial" w:hAnsi="Arial"/>
        </w:rPr>
        <w:t xml:space="preserve">Le modèle est celui des </w:t>
      </w:r>
      <w:r>
        <w:rPr>
          <w:rFonts w:ascii="Arial" w:cs="Arial" w:eastAsia="Arial" w:hAnsi="Arial"/>
          <w:b/>
          <w:bCs/>
        </w:rPr>
        <w:t xml:space="preserve">crédits prépayés</w:t>
      </w:r>
      <w:r>
        <w:rPr>
          <w:rFonts w:ascii="Arial" w:cs="Arial" w:eastAsia="Arial" w:hAnsi="Arial"/>
        </w:rPr>
        <w:t xml:space="preserve"> : le client paie avant de générer. La plateforme ne prend donc aucun risque d'impayé, et ce sont les clients qui financent le solde fournisseur.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1"/>
        <w:gridCol w:w="4807"/>
      </w:tblGrid>
      <w:tr>
        <w:trPr>
          <w:tblHeader/>
        </w:trPr>
        <w:tc>
          <w:tcPr>
            <w:tcW w:type="dxa" w:w="4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4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4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Prix d'une vidéo de 10 s (480p)</w:t>
            </w:r>
          </w:p>
        </w:tc>
        <w:tc>
          <w:tcPr>
            <w:tcW w:type="dxa" w:w="4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1 000 FCFA</w:t>
            </w:r>
          </w:p>
        </w:tc>
      </w:tr>
      <w:tr>
        <w:trPr>
          <w:tblHeader w:val="off"/>
        </w:trPr>
        <w:tc>
          <w:tcPr>
            <w:tcW w:type="dxa" w:w="4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Marge brute par vente</w:t>
            </w:r>
          </w:p>
        </w:tc>
        <w:tc>
          <w:tcPr>
            <w:tcW w:type="dxa" w:w="4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 à 27 % sur les vidéos, 72 à 87 % sur les images</w:t>
            </w:r>
          </w:p>
        </w:tc>
      </w:tr>
      <w:tr>
        <w:trPr>
          <w:tblHeader w:val="off"/>
        </w:trPr>
        <w:tc>
          <w:tcPr>
            <w:tcW w:type="dxa" w:w="4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Budget de démarrage</w:t>
            </w:r>
          </w:p>
        </w:tc>
        <w:tc>
          <w:tcPr>
            <w:tcW w:type="dxa" w:w="4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72 700 FCFA, dont 30 000 FCFA récupérés par les ventes</w:t>
            </w:r>
          </w:p>
        </w:tc>
      </w:tr>
      <w:tr>
        <w:trPr>
          <w:tblHeader w:val="off"/>
        </w:trPr>
        <w:tc>
          <w:tcPr>
            <w:tcW w:type="dxa" w:w="4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 mort (scénario réaliste)</w:t>
            </w:r>
          </w:p>
        </w:tc>
        <w:tc>
          <w:tcPr>
            <w:tcW w:type="dxa" w:w="4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330 ventes par mois</w:t>
            </w:r>
          </w:p>
        </w:tc>
      </w:tr>
      <w:tr>
        <w:trPr>
          <w:tblHeader w:val="off"/>
        </w:trPr>
        <w:tc>
          <w:tcPr>
            <w:tcW w:type="dxa" w:w="4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Résultat mensuel en régime de croisière (réaliste)</w:t>
            </w:r>
          </w:p>
        </w:tc>
        <w:tc>
          <w:tcPr>
            <w:tcW w:type="dxa" w:w="4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212 000 FCFA, hors rémunération du fondateur</w:t>
            </w:r>
          </w:p>
        </w:tc>
      </w:tr>
      <w:tr>
        <w:trPr>
          <w:tblHeader w:val="off"/>
        </w:trPr>
        <w:tc>
          <w:tcPr>
            <w:tcW w:type="dxa" w:w="4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Retour sur investissement (réaliste)</w:t>
            </w:r>
          </w:p>
        </w:tc>
        <w:tc>
          <w:tcPr>
            <w:tcW w:type="dxa" w:w="4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4e mois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L'objectif n'est pas de maximiser la marge unitaire, mais de toucher un grand nombre de personnes avec des prix abordables.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Le problème et l'opportunité</w:t>
      </w:r>
    </w:p>
    <w:p>
      <w:pPr>
        <w:pStyle w:val="Heading2"/>
      </w:pPr>
      <w:r>
        <w:rPr>
          <w:rFonts w:ascii="Arial" w:cs="Arial" w:eastAsia="Arial" w:hAnsi="Arial"/>
        </w:rPr>
        <w:t xml:space="preserve">2.1 Le problème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Les outils de vidéo IA se paient en dollars, par carte bancaire internationale, que la plupart des Congolais n'ont pas.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Ils sont en anglais, conçus pour des professionnels, et vendus par abonnement mensuel.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Les créateurs, commerçants et organisateurs d'événements congolais n'ont donc pas accès à ces outils, alors que le contenu vidéo court domine WhatsApp, TikTok et Facebook.</w:t>
      </w:r>
    </w:p>
    <w:p>
      <w:pPr>
        <w:pStyle w:val="Heading2"/>
      </w:pPr>
      <w:r>
        <w:rPr>
          <w:rFonts w:ascii="Arial" w:cs="Arial" w:eastAsia="Arial" w:hAnsi="Arial"/>
        </w:rPr>
        <w:t xml:space="preserve">2.2 L'opportunité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 mobile money est le moyen de paiement numérique dominant au Congo.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OpenPay permet d'encaisser MTN et Airtel sans frais à l'encaissement, via une seule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Higgsfield a ouvert en septembre 2026 une API à l'usage, sans abonnement, qui rend possible la revente à l'unité.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Genjutsu Light, sorti le 20 octobre 2026, rend la vidéo IA assez bon marché pour un prix public autour de 1 000 FCFA.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Proposition de valeur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516"/>
        <w:gridCol w:w="4114"/>
      </w:tblGrid>
      <w:tr>
        <w:trPr>
          <w:tblHeader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</w:t>
            </w:r>
          </w:p>
        </w:tc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Yamboka apporte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Jeunes et créateurs de contenu</w:t>
            </w:r>
          </w:p>
        </w:tc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 de carte bancaire, outils en anglais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Vidéos virales en 3 clics, payées en mobile money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Commerçants, restaurants, boutiques</w:t>
            </w:r>
          </w:p>
        </w:tc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 de budget pour un vidéaste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Pubs courtes à partir d'une simple vidéo de téléphone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Organisateurs d'événements, églises, associations</w:t>
            </w:r>
          </w:p>
        </w:tc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Contenus de promotion coûteux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Vidéos et visuels personnalisés à petit prix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Agences et community managers</w:t>
            </w:r>
          </w:p>
        </w:tc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lente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Packs volumineux, coût prévisible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Les différenciateurs : paiement local, petits montants, français, presets adaptés aux usages congolais, simplicité extrême.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Business model</w:t>
      </w:r>
    </w:p>
    <w:p>
      <w:pPr>
        <w:pStyle w:val="Heading2"/>
      </w:pPr>
      <w:r>
        <w:rPr>
          <w:rFonts w:ascii="Arial" w:cs="Arial" w:eastAsia="Arial" w:hAnsi="Arial"/>
        </w:rPr>
        <w:t xml:space="preserve">4.1 Sources de revenus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Vente de packs de crédits</w:t>
      </w:r>
      <w:r>
        <w:rPr>
          <w:rFonts w:ascii="Arial" w:cs="Arial" w:eastAsia="Arial" w:hAnsi="Arial"/>
        </w:rPr>
        <w:t xml:space="preserve"> (source principale).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Phase 2 : offres entreprises (packs volumineux, factures), parrainage, presets sponsorisés.</w:t>
      </w:r>
    </w:p>
    <w:p>
      <w:pPr>
        <w:pStyle w:val="Heading2"/>
      </w:pPr>
      <w:r>
        <w:rPr>
          <w:rFonts w:ascii="Arial" w:cs="Arial" w:eastAsia="Arial" w:hAnsi="Arial"/>
        </w:rPr>
        <w:t xml:space="preserve">4.2 Le crédit</w:t>
      </w:r>
    </w:p>
    <w:p>
      <w:pPr>
        <w:spacing w:after="120"/>
      </w:pPr>
      <w:r>
        <w:rPr>
          <w:rFonts w:ascii="Arial" w:cs="Arial" w:eastAsia="Arial" w:hAnsi="Arial"/>
        </w:rPr>
        <w:t xml:space="preserve">1 crédit = 25 FCFA. Les crédits sont consommés à la seconde pour les vidéos et à l'unité pour les images.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7"/>
        <w:gridCol w:w="1482"/>
        <w:gridCol w:w="1482"/>
        <w:gridCol w:w="1482"/>
        <w:gridCol w:w="2315"/>
      </w:tblGrid>
      <w:tr>
        <w:trPr>
          <w:tblHeader/>
        </w:trPr>
        <w:tc>
          <w:tcPr>
            <w:tcW w:type="dxa" w:w="2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Produit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Crédits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Prix public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Coût réel*</w:t>
            </w:r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Marge brute (pack Découverte)</w:t>
            </w:r>
          </w:p>
        </w:tc>
      </w:tr>
      <w:tr>
        <w:trPr>
          <w:tblHeader w:val="off"/>
        </w:trPr>
        <w:tc>
          <w:tcPr>
            <w:tcW w:type="dxa" w:w="2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Vidéo Light 480p, 10 s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1 000 FCFA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700 FCFA</w:t>
            </w:r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250 FCFA (25 %)</w:t>
            </w:r>
          </w:p>
        </w:tc>
      </w:tr>
      <w:tr>
        <w:trPr>
          <w:tblHeader w:val="off"/>
        </w:trPr>
        <w:tc>
          <w:tcPr>
            <w:tcW w:type="dxa" w:w="2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portrait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FCFA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4 FCFA</w:t>
            </w:r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44 FCFA (87 %)</w:t>
            </w:r>
          </w:p>
        </w:tc>
      </w:tr>
      <w:tr>
        <w:trPr>
          <w:tblHeader w:val="off"/>
        </w:trPr>
        <w:tc>
          <w:tcPr>
            <w:tcW w:type="dxa" w:w="2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Vidéo Light 720p, 10 s (phase 2)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2 000 FCFA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1 400 FCFA</w:t>
            </w:r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500 FCFA (25 %)</w:t>
            </w:r>
          </w:p>
        </w:tc>
      </w:tr>
      <w:tr>
        <w:trPr>
          <w:tblHeader w:val="off"/>
        </w:trPr>
        <w:tc>
          <w:tcPr>
            <w:tcW w:type="dxa" w:w="2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Vidéo Pro 480p, 10 s (phase 2)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130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3 250 FCFA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2 230 FCFA</w:t>
            </w:r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860 FCFA (26 %)</w:t>
            </w:r>
          </w:p>
        </w:tc>
      </w:tr>
      <w:tr>
        <w:trPr>
          <w:tblHeader w:val="off"/>
        </w:trPr>
        <w:tc>
          <w:tcPr>
            <w:tcW w:type="dxa" w:w="2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Vidéo Pro 720p, 10 s (phase 2)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280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7 000 FCFA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4 770 FCFA</w:t>
            </w:r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1 880 FCFA (27 %)</w:t>
            </w:r>
          </w:p>
        </w:tc>
      </w:tr>
      <w:tr>
        <w:trPr>
          <w:tblHeader w:val="off"/>
        </w:trPr>
        <w:tc>
          <w:tcPr>
            <w:tcW w:type="dxa" w:w="2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Affiche avec texte (phase 2)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FCFA</w:t>
            </w:r>
          </w:p>
        </w:tc>
        <w:tc>
          <w:tcPr>
            <w:tcW w:type="dxa" w:w="14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21 FCFA</w:t>
            </w:r>
          </w:p>
        </w:tc>
        <w:tc>
          <w:tcPr>
            <w:tcW w:type="dxa" w:w="2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74 FCFA (74 %)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*Coût réel = prix catalogue Higgsfield × taux effectif (575 FCFA/$ + 6 % de frais de change et de carte) + 15 % de régénérations et tests. La marge déduit aussi la commission OpenPay de 5 %.</w:t>
      </w:r>
    </w:p>
    <w:p>
      <w:pPr>
        <w:pStyle w:val="Heading2"/>
      </w:pPr>
      <w:r>
        <w:rPr>
          <w:rFonts w:ascii="Arial" w:cs="Arial" w:eastAsia="Arial" w:hAnsi="Arial"/>
        </w:rPr>
        <w:t xml:space="preserve">4.3 Les packs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7"/>
        <w:gridCol w:w="1787"/>
        <w:gridCol w:w="1787"/>
        <w:gridCol w:w="1787"/>
        <w:gridCol w:w="2490"/>
      </w:tblGrid>
      <w:tr>
        <w:trPr>
          <w:tblHeader/>
        </w:trPr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Prix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Crédits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Bonus</w:t>
            </w:r>
          </w:p>
        </w:tc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Équivalent</w:t>
            </w:r>
          </w:p>
        </w:tc>
      </w:tr>
      <w:tr>
        <w:trPr>
          <w:tblHeader w:val="off"/>
        </w:trPr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 FCFA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vidéo de 5 s</w:t>
            </w:r>
          </w:p>
        </w:tc>
      </w:tr>
      <w:tr>
        <w:trPr>
          <w:tblHeader w:val="off"/>
        </w:trPr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1 000 FCFA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vidéo de 10 s</w:t>
            </w:r>
          </w:p>
        </w:tc>
      </w:tr>
      <w:tr>
        <w:trPr>
          <w:tblHeader w:val="off"/>
        </w:trPr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Créateur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2 500 FCFA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103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+3 %</w:t>
            </w:r>
          </w:p>
        </w:tc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vidéos de 10 s + 11 images</w:t>
            </w:r>
          </w:p>
        </w:tc>
      </w:tr>
      <w:tr>
        <w:trPr>
          <w:tblHeader w:val="off"/>
        </w:trPr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5 000 FCFA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210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+5 %</w:t>
            </w:r>
          </w:p>
        </w:tc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vidéos de 10 s</w:t>
            </w:r>
          </w:p>
        </w:tc>
      </w:tr>
      <w:tr>
        <w:trPr>
          <w:tblHeader w:val="off"/>
        </w:trPr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10 000 FCFA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432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+8 %</w:t>
            </w:r>
          </w:p>
        </w:tc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vidéos de 10 s</w:t>
            </w:r>
          </w:p>
        </w:tc>
      </w:tr>
      <w:tr>
        <w:trPr>
          <w:tblHeader w:val="off"/>
        </w:trPr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Agence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25 000 FCFA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1 100</w:t>
            </w:r>
          </w:p>
        </w:tc>
        <w:tc>
          <w:tcPr>
            <w:tcW w:type="dxa" w:w="17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+10 %</w:t>
            </w:r>
          </w:p>
        </w:tc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 vidéos de 10 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Les bonus sont plafonnés à 10 % : avec le plus gros pack, la marge la plus faible reste à </w:t>
      </w:r>
      <w:r>
        <w:rPr>
          <w:rFonts w:ascii="Arial" w:cs="Arial" w:eastAsia="Arial" w:hAnsi="Arial"/>
          <w:b/>
          <w:bCs/>
        </w:rPr>
        <w:t xml:space="preserve">18 %</w:t>
      </w:r>
      <w:r>
        <w:rPr>
          <w:rFonts w:ascii="Arial" w:cs="Arial" w:eastAsia="Arial" w:hAnsi="Arial"/>
        </w:rPr>
        <w:t xml:space="preserve">. La plateforme ne vend donc jamais à perte.</w:t>
      </w:r>
    </w:p>
    <w:p>
      <w:pPr>
        <w:pStyle w:val="Heading2"/>
      </w:pPr>
      <w:r>
        <w:rPr>
          <w:rFonts w:ascii="Arial" w:cs="Arial" w:eastAsia="Arial" w:hAnsi="Arial"/>
        </w:rPr>
        <w:t xml:space="preserve">4.4 Structure de coûts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1"/>
        <w:gridCol w:w="1902"/>
        <w:gridCol w:w="5005"/>
      </w:tblGrid>
      <w:tr>
        <w:trPr>
          <w:tblHeader/>
        </w:trPr>
        <w:tc>
          <w:tcPr>
            <w:tcW w:type="dxa" w:w="2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Coût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5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Montant</w:t>
            </w:r>
          </w:p>
        </w:tc>
      </w:tr>
      <w:tr>
        <w:trPr>
          <w:tblHeader w:val="off"/>
        </w:trPr>
        <w:tc>
          <w:tcPr>
            <w:tcW w:type="dxa" w:w="2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Higgsfield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Variable, en dollars</w:t>
            </w:r>
          </w:p>
        </w:tc>
        <w:tc>
          <w:tcPr>
            <w:tcW w:type="dxa" w:w="5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70 FCFA par seconde de vidéo Light 480p</w:t>
            </w:r>
          </w:p>
        </w:tc>
      </w:tr>
      <w:tr>
        <w:trPr>
          <w:tblHeader w:val="off"/>
        </w:trPr>
        <w:tc>
          <w:tcPr>
            <w:tcW w:type="dxa" w:w="2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Commission OpenPay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Variable, au retrait</w:t>
            </w:r>
          </w:p>
        </w:tc>
        <w:tc>
          <w:tcPr>
            <w:tcW w:type="dxa" w:w="5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à 6 % (5 % retenu)</w:t>
            </w:r>
          </w:p>
        </w:tc>
      </w:tr>
      <w:tr>
        <w:trPr>
          <w:tblHeader w:val="off"/>
        </w:trPr>
        <w:tc>
          <w:tcPr>
            <w:tcW w:type="dxa" w:w="2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Frais de change et de carte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</w:t>
            </w:r>
          </w:p>
        </w:tc>
        <w:tc>
          <w:tcPr>
            <w:tcW w:type="dxa" w:w="5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6 % (à vérifier auprès de la banque)</w:t>
            </w:r>
          </w:p>
        </w:tc>
      </w:tr>
      <w:tr>
        <w:trPr>
          <w:tblHeader w:val="off"/>
        </w:trPr>
        <w:tc>
          <w:tcPr>
            <w:tcW w:type="dxa" w:w="2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Clé API OpenPay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</w:t>
            </w:r>
          </w:p>
        </w:tc>
        <w:tc>
          <w:tcPr>
            <w:tcW w:type="dxa" w:w="5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5 000 FCFA / an</w:t>
            </w:r>
          </w:p>
        </w:tc>
      </w:tr>
      <w:tr>
        <w:trPr>
          <w:tblHeader w:val="off"/>
        </w:trPr>
        <w:tc>
          <w:tcPr>
            <w:tcW w:type="dxa" w:w="2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Domaine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</w:t>
            </w:r>
          </w:p>
        </w:tc>
        <w:tc>
          <w:tcPr>
            <w:tcW w:type="dxa" w:w="5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10 $ / an</w:t>
            </w:r>
          </w:p>
        </w:tc>
      </w:tr>
      <w:tr>
        <w:trPr>
          <w:tblHeader w:val="off"/>
        </w:trPr>
        <w:tc>
          <w:tcPr>
            <w:tcW w:type="dxa" w:w="2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Hébergement de l'application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</w:t>
            </w:r>
          </w:p>
        </w:tc>
        <w:tc>
          <w:tcPr>
            <w:tcW w:type="dxa" w:w="5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VPS déjà payé</w:t>
            </w:r>
          </w:p>
        </w:tc>
      </w:tr>
      <w:tr>
        <w:trPr>
          <w:tblHeader w:val="off"/>
        </w:trPr>
        <w:tc>
          <w:tcPr>
            <w:tcW w:type="dxa" w:w="2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Stockage des fichiers (Cloudflare R2)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</w:t>
            </w:r>
          </w:p>
        </w:tc>
        <w:tc>
          <w:tcPr>
            <w:tcW w:type="dxa" w:w="5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jusqu'à 10 Go, puis ≈ 0,015 $/Go par mois (≈ 12 Go après 12 mois dans le scénario réaliste)</w:t>
            </w:r>
          </w:p>
        </w:tc>
      </w:tr>
      <w:tr>
        <w:trPr>
          <w:tblHeader w:val="off"/>
        </w:trPr>
        <w:tc>
          <w:tcPr>
            <w:tcW w:type="dxa" w:w="2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Fixe, pilotable</w:t>
            </w:r>
          </w:p>
        </w:tc>
        <w:tc>
          <w:tcPr>
            <w:tcW w:type="dxa" w:w="5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25 000 à 100 000 FCFA / mois selon le scénario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Marché et cibles</w:t>
      </w:r>
    </w:p>
    <w:p>
      <w:pPr>
        <w:pStyle w:val="Heading2"/>
      </w:pPr>
      <w:r>
        <w:rPr>
          <w:rFonts w:ascii="Arial" w:cs="Arial" w:eastAsia="Arial" w:hAnsi="Arial"/>
        </w:rPr>
        <w:t xml:space="preserve">5.1 Cibles prioritaires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Créateurs de contenu et jeunes urbains</w:t>
      </w:r>
      <w:r>
        <w:rPr>
          <w:rFonts w:ascii="Arial" w:cs="Arial" w:eastAsia="Arial" w:hAnsi="Arial"/>
        </w:rPr>
        <w:t xml:space="preserve"> de Brazzaville et Pointe-Noire, actifs sur TikTok et WhatsApp.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Petits commerces</w:t>
      </w:r>
      <w:r>
        <w:rPr>
          <w:rFonts w:ascii="Arial" w:cs="Arial" w:eastAsia="Arial" w:hAnsi="Arial"/>
        </w:rPr>
        <w:t xml:space="preserve"> : boutiques de mode, restaurants, salons de coiffure, vendeurs en ligne.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Événementiel</w:t>
      </w:r>
      <w:r>
        <w:rPr>
          <w:rFonts w:ascii="Arial" w:cs="Arial" w:eastAsia="Arial" w:hAnsi="Arial"/>
        </w:rPr>
        <w:t xml:space="preserve"> : anniversaires, mariages, concerts, églises, associations.</w:t>
      </w:r>
    </w:p>
    <w:p>
      <w:pPr>
        <w:pStyle w:val="Heading2"/>
      </w:pPr>
      <w:r>
        <w:rPr>
          <w:rFonts w:ascii="Arial" w:cs="Arial" w:eastAsia="Arial" w:hAnsi="Arial"/>
        </w:rPr>
        <w:t xml:space="preserve">5.2 Concurrence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2"/>
        <w:gridCol w:w="5546"/>
      </w:tblGrid>
      <w:tr>
        <w:trPr>
          <w:tblHeader/>
        </w:trPr>
        <w:tc>
          <w:tcPr>
            <w:tcW w:type="dxa" w:w="4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5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Limite pour le client congolais</w:t>
            </w:r>
          </w:p>
        </w:tc>
      </w:tr>
      <w:tr>
        <w:trPr>
          <w:tblHeader w:val="off"/>
        </w:trPr>
        <w:tc>
          <w:tcPr>
            <w:tcW w:type="dxa" w:w="4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Higgsfield, Kling, Runway (sites officiels)</w:t>
            </w:r>
          </w:p>
        </w:tc>
        <w:tc>
          <w:tcPr>
            <w:tcW w:type="dxa" w:w="5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Carte bancaire internationale, anglais, abonnement</w:t>
            </w:r>
          </w:p>
        </w:tc>
      </w:tr>
      <w:tr>
        <w:trPr>
          <w:tblHeader w:val="off"/>
        </w:trPr>
        <w:tc>
          <w:tcPr>
            <w:tcW w:type="dxa" w:w="4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Applications mobiles de filtres (CapCut, etc.)</w:t>
            </w:r>
          </w:p>
        </w:tc>
        <w:tc>
          <w:tcPr>
            <w:tcW w:type="dxa" w:w="5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Effets génériques, pas de transfert de mouvement réaliste</w:t>
            </w:r>
          </w:p>
        </w:tc>
      </w:tr>
      <w:tr>
        <w:trPr>
          <w:tblHeader w:val="off"/>
        </w:trPr>
        <w:tc>
          <w:tcPr>
            <w:tcW w:type="dxa" w:w="4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Vidéastes et graphistes locaux</w:t>
            </w:r>
          </w:p>
        </w:tc>
        <w:tc>
          <w:tcPr>
            <w:tcW w:type="dxa" w:w="5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Plus chers et plus lents pour un contenu court</w:t>
            </w:r>
          </w:p>
        </w:tc>
      </w:tr>
      <w:tr>
        <w:trPr>
          <w:tblHeader w:val="off"/>
        </w:trPr>
        <w:tc>
          <w:tcPr>
            <w:tcW w:type="dxa" w:w="4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Revendeurs informels (comptes partagés)</w:t>
            </w:r>
          </w:p>
        </w:tc>
        <w:tc>
          <w:tcPr>
            <w:tcW w:type="dxa" w:w="5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 fiables, pas de service, risque de fraude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L'avantage de Yamboka est l'accès (paiement local) et la simplicité, pas la technologie. Il doit donc être défendu par la qualité des presets, la marque et la communauté.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Stratégie de lancement</w:t>
      </w:r>
    </w:p>
    <w:p>
      <w:pPr>
        <w:pStyle w:val="Heading2"/>
      </w:pPr>
      <w:r>
        <w:rPr>
          <w:rFonts w:ascii="Arial" w:cs="Arial" w:eastAsia="Arial" w:hAnsi="Arial"/>
        </w:rPr>
        <w:t xml:space="preserve">6.1 Phase 0 — Validation manuelle (2 semaines, en parallèle du développement)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Recharger 10 000 FCFA sur Higgsfield.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Produire 5 vidéos de démonstration locales (danse, pub de boutique, anniversaire).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Les publier sur WhatsApp (statut, groupes) et TikTok.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Vendre les premières vidéos à la main, via des liens de paiement OpenPay, en générant depuis le playground Higgsfield.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Critère de décision :</w:t>
      </w:r>
      <w:r>
        <w:rPr>
          <w:rFonts w:ascii="Arial" w:cs="Arial" w:eastAsia="Arial" w:hAnsi="Arial"/>
        </w:rPr>
        <w:t xml:space="preserve"> 20 clients payants en 2 semaines, dont au moins 5 qui reviennent. Si ce seuil n'est pas atteint, revoir l'offre (prix, presets, cible) avant d'investir davantage.</w:t>
      </w:r>
    </w:p>
    <w:p>
      <w:pPr>
        <w:pStyle w:val="Heading2"/>
      </w:pPr>
      <w:r>
        <w:rPr>
          <w:rFonts w:ascii="Arial" w:cs="Arial" w:eastAsia="Arial" w:hAnsi="Arial"/>
        </w:rPr>
        <w:t xml:space="preserve">6.2 Phase 1 — Lancement du MVP (mois 1 à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Mise en ligne de la plateforme (vidéo Light 480p et images).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Crédits de bienvenue (2 images) pour faire tester sans risque.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Contenus quotidiens sur TikTok et WhatsApp montrant des créations réelles (avec accord des clients).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Démarchage direct de 20 commerces pour des pubs.</w:t>
      </w:r>
    </w:p>
    <w:p>
      <w:pPr>
        <w:pStyle w:val="Heading2"/>
      </w:pPr>
      <w:r>
        <w:rPr>
          <w:rFonts w:ascii="Arial" w:cs="Arial" w:eastAsia="Arial" w:hAnsi="Arial"/>
        </w:rPr>
        <w:t xml:space="preserve">6.3 Phase 2 — Croissance (mois 4 à 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720p, vidéos Pro et affiches avec texte.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Parrainage : crédits offerts au parrain et au filleul après le premier achat.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Offres entreprises et agences.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Notifications WhatsApp.</w:t>
      </w:r>
    </w:p>
    <w:p>
      <w:pPr>
        <w:pStyle w:val="Heading2"/>
      </w:pPr>
      <w:r>
        <w:rPr>
          <w:rFonts w:ascii="Arial" w:cs="Arial" w:eastAsia="Arial" w:hAnsi="Arial"/>
        </w:rPr>
        <w:t xml:space="preserve">6.4 Phase 3 — Expansion africaine (après 12 mois, si le Congo est rentable)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Vision :</w:t>
      </w:r>
      <w:r>
        <w:rPr>
          <w:rFonts w:ascii="Arial" w:cs="Arial" w:eastAsia="Arial" w:hAnsi="Arial"/>
        </w:rPr>
        <w:t xml:space="preserve"> permettre à toute personne en Afrique de payer ses crédits avec le mobile money de son pays.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5"/>
        <w:gridCol w:w="3219"/>
        <w:gridCol w:w="2434"/>
        <w:gridCol w:w="3020"/>
      </w:tblGrid>
      <w:tr>
        <w:trPr>
          <w:tblHeader/>
        </w:trPr>
        <w:tc>
          <w:tcPr>
            <w:tcW w:type="dxa" w:w="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Pays visés</w:t>
            </w:r>
          </w:p>
        </w:tc>
        <w:tc>
          <w:tcPr>
            <w:tcW w:type="dxa" w:w="24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  <w:tc>
          <w:tcPr>
            <w:tcW w:type="dxa" w:w="3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 pour démarrer</w:t>
            </w:r>
          </w:p>
        </w:tc>
      </w:tr>
      <w:tr>
        <w:trPr>
          <w:tblHeader w:val="off"/>
        </w:trPr>
        <w:tc>
          <w:tcPr>
            <w:tcW w:type="dxa" w:w="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Pays de la zone CEMAC (Gabon, Cameroun…)</w:t>
            </w:r>
          </w:p>
        </w:tc>
        <w:tc>
          <w:tcPr>
            <w:tcW w:type="dxa" w:w="24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Même devise (XAF), proximité, langue française</w:t>
            </w:r>
          </w:p>
        </w:tc>
        <w:tc>
          <w:tcPr>
            <w:tcW w:type="dxa" w:w="3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Rentabilité au Congo pendant 3 mois consécutifs</w:t>
            </w:r>
          </w:p>
        </w:tc>
      </w:tr>
      <w:tr>
        <w:trPr>
          <w:tblHeader w:val="off"/>
        </w:trPr>
        <w:tc>
          <w:tcPr>
            <w:tcW w:type="dxa" w:w="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Afrique de l'Ouest francophone (zone XOF : Côte d'Ivoire, Sénégal…)</w:t>
            </w:r>
          </w:p>
        </w:tc>
        <w:tc>
          <w:tcPr>
            <w:tcW w:type="dxa" w:w="24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Grands marchés du mobile money, langue française</w:t>
            </w:r>
          </w:p>
        </w:tc>
        <w:tc>
          <w:tcPr>
            <w:tcW w:type="dxa" w:w="3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Agrégateur de paiement local intégré et testé</w:t>
            </w:r>
          </w:p>
        </w:tc>
      </w:tr>
      <w:tr>
        <w:trPr>
          <w:tblHeader w:val="off"/>
        </w:trPr>
        <w:tc>
          <w:tcPr>
            <w:tcW w:type="dxa" w:w="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Afrique anglophone (Ghana, Kenya, Nigeria…)</w:t>
            </w:r>
          </w:p>
        </w:tc>
        <w:tc>
          <w:tcPr>
            <w:tcW w:type="dxa" w:w="24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Très grands marchés</w:t>
            </w:r>
          </w:p>
        </w:tc>
        <w:tc>
          <w:tcPr>
            <w:tcW w:type="dxa" w:w="3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 en anglais, prix par pays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Ce que l'expansion demande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un agrégateur de mobile money par pays ou par zone,</w:t>
      </w:r>
      <w:r>
        <w:rPr>
          <w:rFonts w:ascii="Arial" w:cs="Arial" w:eastAsia="Arial" w:hAnsi="Arial"/>
        </w:rPr>
        <w:t xml:space="preserve"> OpenPay ne couvrant que le Congo 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des prix par pays,</w:t>
      </w:r>
      <w:r>
        <w:rPr>
          <w:rFonts w:ascii="Arial" w:cs="Arial" w:eastAsia="Arial" w:hAnsi="Arial"/>
        </w:rPr>
        <w:t xml:space="preserve"> adaptés au pouvoir d'achat, avec une marge minimale contrôlée dans l'admin 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la conformité locale</w:t>
      </w:r>
      <w:r>
        <w:rPr>
          <w:rFonts w:ascii="Arial" w:cs="Arial" w:eastAsia="Arial" w:hAnsi="Arial"/>
        </w:rPr>
        <w:t xml:space="preserve"> (statut de l'entreprise, fiscalité, protection des données) 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des presets locaux</w:t>
      </w:r>
      <w:r>
        <w:rPr>
          <w:rFonts w:ascii="Arial" w:cs="Arial" w:eastAsia="Arial" w:hAnsi="Arial"/>
        </w:rPr>
        <w:t xml:space="preserve"> pour chaque marché (danses, fêtes, styles vestimentaires).</w:t>
      </w:r>
    </w:p>
    <w:p>
      <w:pPr>
        <w:spacing w:after="120"/>
      </w:pPr>
      <w:r>
        <w:rPr>
          <w:rFonts w:ascii="Arial" w:cs="Arial" w:eastAsia="Arial" w:hAnsi="Arial"/>
        </w:rPr>
        <w:t xml:space="preserve">L'application est conçue dès le MVP pour cette ouverture : chaque pack et chaque paiement porte un pays et une devise, et le fournisseur de paiement est remplaçable par pays. L'origine de la marque reste un argument : « Né à Brazzaville ».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Prévisions financières</w:t>
      </w:r>
    </w:p>
    <w:p>
      <w:pPr>
        <w:pStyle w:val="Heading2"/>
      </w:pPr>
      <w:r>
        <w:rPr>
          <w:rFonts w:ascii="Arial" w:cs="Arial" w:eastAsia="Arial" w:hAnsi="Arial"/>
        </w:rPr>
        <w:t xml:space="preserve">7.1 Scénarios mensuels en régime de croisière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4"/>
        <w:gridCol w:w="2057"/>
        <w:gridCol w:w="2057"/>
        <w:gridCol w:w="2060"/>
      </w:tblGrid>
      <w:tr>
        <w:trPr>
          <w:tblHeader/>
        </w:trPr>
        <w:tc>
          <w:tcPr>
            <w:tcW w:type="dxa" w:w="3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Pessimiste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Réaliste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Optimiste</w:t>
            </w:r>
          </w:p>
        </w:tc>
      </w:tr>
      <w:tr>
        <w:trPr>
          <w:tblHeader w:val="off"/>
        </w:trPr>
        <w:tc>
          <w:tcPr>
            <w:tcW w:type="dxa" w:w="3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Vidéos vendues par mois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141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605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1 810</w:t>
            </w:r>
          </w:p>
        </w:tc>
      </w:tr>
      <w:tr>
        <w:trPr>
          <w:tblHeader w:val="off"/>
        </w:trPr>
        <w:tc>
          <w:tcPr>
            <w:tcW w:type="dxa" w:w="3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Ventes totales (vidéos + images)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281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1 405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4 410</w:t>
            </w:r>
          </w:p>
        </w:tc>
      </w:tr>
      <w:tr>
        <w:trPr>
          <w:tblHeader w:val="off"/>
        </w:trPr>
        <w:tc>
          <w:tcPr>
            <w:tcW w:type="dxa" w:w="3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Chiffre d'affaires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216 000 FCFA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985 000 FCFA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2 930 000 FCFA</w:t>
            </w:r>
          </w:p>
        </w:tc>
      </w:tr>
      <w:tr>
        <w:trPr>
          <w:tblHeader w:val="off"/>
        </w:trPr>
        <w:tc>
          <w:tcPr>
            <w:tcW w:type="dxa" w:w="3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Marge brute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59 700 FCFA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277 700 FCFA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832 500 FCFA</w:t>
            </w:r>
          </w:p>
        </w:tc>
      </w:tr>
      <w:tr>
        <w:trPr>
          <w:tblHeader w:val="off"/>
        </w:trPr>
        <w:tc>
          <w:tcPr>
            <w:tcW w:type="dxa" w:w="3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Charges fixes (dont marketing)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37 900 FCFA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65 400 FCFA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125 400 FCFA</w:t>
            </w:r>
          </w:p>
        </w:tc>
      </w:tr>
      <w:tr>
        <w:trPr>
          <w:tblHeader w:val="off"/>
        </w:trPr>
        <w:tc>
          <w:tcPr>
            <w:tcW w:type="dxa" w:w="3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Résultat net mensuel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21 700 FCFA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212 300 FCFA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707 100 FCFA</w:t>
            </w:r>
          </w:p>
        </w:tc>
      </w:tr>
      <w:tr>
        <w:trPr>
          <w:tblHeader w:val="off"/>
        </w:trPr>
        <w:tc>
          <w:tcPr>
            <w:tcW w:type="dxa" w:w="3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Marge nette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10 %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22 %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24 %</w:t>
            </w:r>
          </w:p>
        </w:tc>
      </w:tr>
      <w:tr>
        <w:trPr>
          <w:tblHeader w:val="off"/>
        </w:trPr>
        <w:tc>
          <w:tcPr>
            <w:tcW w:type="dxa" w:w="3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Dépense Higgsfield par mois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240 $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1 080 $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3 200 $</w:t>
            </w:r>
          </w:p>
        </w:tc>
      </w:tr>
      <w:tr>
        <w:trPr>
          <w:tblHeader w:val="off"/>
        </w:trPr>
        <w:tc>
          <w:tcPr>
            <w:tcW w:type="dxa" w:w="34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 mort (ventes / mois)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179</w:t>
            </w:r>
          </w:p>
        </w:tc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331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665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Résultats avant impôts et hors rémunération du fondateur.</w:t>
      </w:r>
    </w:p>
    <w:p>
      <w:pPr>
        <w:pStyle w:val="Heading2"/>
      </w:pPr>
      <w:r>
        <w:rPr>
          <w:rFonts w:ascii="Arial" w:cs="Arial" w:eastAsia="Arial" w:hAnsi="Arial"/>
        </w:rPr>
        <w:t xml:space="preserve">7.2 Projection sur 12 mois (scénario réaliste, montée en charge progressive)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180"/>
        <w:gridCol w:w="1180"/>
        <w:gridCol w:w="1180"/>
        <w:gridCol w:w="1180"/>
        <w:gridCol w:w="1180"/>
        <w:gridCol w:w="1180"/>
        <w:gridCol w:w="1182"/>
      </w:tblGrid>
      <w:tr>
        <w:trPr>
          <w:tblHeader/>
        </w:trPr>
        <w:tc>
          <w:tcPr>
            <w:tcW w:type="dxa" w:w="1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Mois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1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Volume atteint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10 %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20 %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35 %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50 %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80 %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100 %</w:t>
            </w:r>
          </w:p>
        </w:tc>
        <w:tc>
          <w:tcPr>
            <w:tcW w:type="dxa" w:w="1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100 %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Chiffre d'affaires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98 500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197 000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344 750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492 500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788 000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985 000</w:t>
            </w:r>
          </w:p>
        </w:tc>
        <w:tc>
          <w:tcPr>
            <w:tcW w:type="dxa" w:w="1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985 000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Résultat du mois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-37 600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-9 900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31 800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73 500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156 800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212 300</w:t>
            </w:r>
          </w:p>
        </w:tc>
        <w:tc>
          <w:tcPr>
            <w:tcW w:type="dxa" w:w="1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212 300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Trésorerie cumulée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-80 300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-90 200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-58 400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15 000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286 900</w:t>
            </w:r>
          </w:p>
        </w:tc>
        <w:tc>
          <w:tcPr>
            <w:tcW w:type="dxa" w:w="1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683 800</w:t>
            </w:r>
          </w:p>
        </w:tc>
        <w:tc>
          <w:tcPr>
            <w:tcW w:type="dxa" w:w="1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1 533 100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Montants en FCFA. Trésorerie cumulée après déduction des dépenses de démarrage non récupérables.</w:t>
      </w:r>
    </w:p>
    <w:p>
      <w:pPr>
        <w:spacing w:after="120"/>
      </w:pPr>
      <w:r>
        <w:rPr>
          <w:rFonts w:ascii="Arial" w:cs="Arial" w:eastAsia="Arial" w:hAnsi="Arial"/>
        </w:rPr>
        <w:t xml:space="preserve">Dans ce scénario, l'investissement est récupéré au </w:t>
      </w:r>
      <w:r>
        <w:rPr>
          <w:rFonts w:ascii="Arial" w:cs="Arial" w:eastAsia="Arial" w:hAnsi="Arial"/>
          <w:b/>
          <w:bCs/>
        </w:rPr>
        <w:t xml:space="preserve">4e mois</w:t>
      </w:r>
      <w:r>
        <w:rPr>
          <w:rFonts w:ascii="Arial" w:cs="Arial" w:eastAsia="Arial" w:hAnsi="Arial"/>
        </w:rPr>
        <w:t xml:space="preserve"> et le résultat cumulé sur 12 mois atteint environ </w:t>
      </w:r>
      <w:r>
        <w:rPr>
          <w:rFonts w:ascii="Arial" w:cs="Arial" w:eastAsia="Arial" w:hAnsi="Arial"/>
          <w:b/>
          <w:bCs/>
        </w:rPr>
        <w:t xml:space="preserve">1,58 million FCFA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7.3 Budget de démarrage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1"/>
        <w:gridCol w:w="3177"/>
      </w:tblGrid>
      <w:tr>
        <w:trPr>
          <w:tblHeader/>
        </w:trPr>
        <w:tc>
          <w:tcPr>
            <w:tcW w:type="dxa" w:w="64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3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Montant</w:t>
            </w:r>
          </w:p>
        </w:tc>
      </w:tr>
      <w:tr>
        <w:trPr>
          <w:tblHeader w:val="off"/>
        </w:trPr>
        <w:tc>
          <w:tcPr>
            <w:tcW w:type="dxa" w:w="64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Clé API OpenPay (1 an)</w:t>
            </w:r>
          </w:p>
        </w:tc>
        <w:tc>
          <w:tcPr>
            <w:tcW w:type="dxa" w:w="3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5 000 FCFA</w:t>
            </w:r>
          </w:p>
        </w:tc>
      </w:tr>
      <w:tr>
        <w:trPr>
          <w:tblHeader w:val="off"/>
        </w:trPr>
        <w:tc>
          <w:tcPr>
            <w:tcW w:type="dxa" w:w="64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 de domaine (10 $)</w:t>
            </w:r>
          </w:p>
        </w:tc>
        <w:tc>
          <w:tcPr>
            <w:tcW w:type="dxa" w:w="3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6 100 FCFA</w:t>
            </w:r>
          </w:p>
        </w:tc>
      </w:tr>
      <w:tr>
        <w:trPr>
          <w:tblHeader w:val="off"/>
        </w:trPr>
        <w:tc>
          <w:tcPr>
            <w:tcW w:type="dxa" w:w="64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Première recharge Higgsfield (apport personnel)</w:t>
            </w:r>
          </w:p>
        </w:tc>
        <w:tc>
          <w:tcPr>
            <w:tcW w:type="dxa" w:w="3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30 000 FCFA</w:t>
            </w:r>
          </w:p>
        </w:tc>
      </w:tr>
      <w:tr>
        <w:trPr>
          <w:tblHeader w:val="off"/>
        </w:trPr>
        <w:tc>
          <w:tcPr>
            <w:tcW w:type="dxa" w:w="64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Carte Visa prépayée (estimation)</w:t>
            </w:r>
          </w:p>
        </w:tc>
        <w:tc>
          <w:tcPr>
            <w:tcW w:type="dxa" w:w="3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10 000 FCFA</w:t>
            </w:r>
          </w:p>
        </w:tc>
      </w:tr>
      <w:tr>
        <w:trPr>
          <w:tblHeader w:val="off"/>
        </w:trPr>
        <w:tc>
          <w:tcPr>
            <w:tcW w:type="dxa" w:w="64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Stockage des fichiers (Cloudflare R2)</w:t>
            </w:r>
          </w:p>
        </w:tc>
        <w:tc>
          <w:tcPr>
            <w:tcW w:type="dxa" w:w="3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(gratuit jusqu'à 10 Go)</w:t>
            </w:r>
          </w:p>
        </w:tc>
      </w:tr>
      <w:tr>
        <w:trPr>
          <w:tblHeader w:val="off"/>
        </w:trPr>
        <w:tc>
          <w:tcPr>
            <w:tcW w:type="dxa" w:w="64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Boost marketing de lancement (optionnel)</w:t>
            </w:r>
          </w:p>
        </w:tc>
        <w:tc>
          <w:tcPr>
            <w:tcW w:type="dxa" w:w="3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15 000 FCFA</w:t>
            </w:r>
          </w:p>
        </w:tc>
      </w:tr>
      <w:tr>
        <w:trPr>
          <w:tblHeader w:val="off"/>
        </w:trPr>
        <w:tc>
          <w:tcPr>
            <w:tcW w:type="dxa" w:w="64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Réserve imprévus (10 %)</w:t>
            </w:r>
          </w:p>
        </w:tc>
        <w:tc>
          <w:tcPr>
            <w:tcW w:type="dxa" w:w="3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6 600 FCFA</w:t>
            </w:r>
          </w:p>
        </w:tc>
      </w:tr>
      <w:tr>
        <w:trPr>
          <w:tblHeader w:val="off"/>
        </w:trPr>
        <w:tc>
          <w:tcPr>
            <w:tcW w:type="dxa" w:w="64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1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≈ 72 700 FCFA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Dont ≈ 42 700 FCFA de dépenses définitives et 30 000 FCFA d'avance Higgsfield récupérée par les ventes. Sans boost marketing, le démarrage coûte ≈ 56 000 FCFA.</w:t>
      </w:r>
    </w:p>
    <w:p>
      <w:pPr>
        <w:spacing w:after="120"/>
      </w:pPr>
      <w:r>
        <w:rPr>
          <w:rFonts w:ascii="Arial" w:cs="Arial" w:eastAsia="Arial" w:hAnsi="Arial"/>
        </w:rPr>
        <w:t xml:space="preserve">Les 30 000 FCFA de recharge initiale (≈ 49 $) permettent de servir environ </w:t>
      </w:r>
      <w:r>
        <w:rPr>
          <w:rFonts w:ascii="Arial" w:cs="Arial" w:eastAsia="Arial" w:hAnsi="Arial"/>
          <w:b/>
          <w:bCs/>
        </w:rPr>
        <w:t xml:space="preserve">42 vidéos de 10 s</w:t>
      </w:r>
      <w:r>
        <w:rPr>
          <w:rFonts w:ascii="Arial" w:cs="Arial" w:eastAsia="Arial" w:hAnsi="Arial"/>
        </w:rPr>
        <w:t xml:space="preserve"> ou plus de </w:t>
      </w:r>
      <w:r>
        <w:rPr>
          <w:rFonts w:ascii="Arial" w:cs="Arial" w:eastAsia="Arial" w:hAnsi="Arial"/>
          <w:b/>
          <w:bCs/>
        </w:rPr>
        <w:t xml:space="preserve">7 000 images</w:t>
      </w:r>
      <w:r>
        <w:rPr>
          <w:rFonts w:ascii="Arial" w:cs="Arial" w:eastAsia="Arial" w:hAnsi="Arial"/>
        </w:rPr>
        <w:t xml:space="preserve">. Si tout est vendu, les clients paient ≈ 42 000 FCFA pour les vidéos : la recharge est remboursée et il reste ≈ 9 900 FCFA de marge.</w:t>
      </w:r>
    </w:p>
    <w:p>
      <w:pPr>
        <w:pStyle w:val="Heading2"/>
      </w:pPr>
      <w:r>
        <w:rPr>
          <w:rFonts w:ascii="Arial" w:cs="Arial" w:eastAsia="Arial" w:hAnsi="Arial"/>
        </w:rPr>
        <w:t xml:space="preserve">7.4 Cycle de trésorerie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Le client achète des crédits : l'argent arrive sur le compte OpenPay (gratuit).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Retrait périodique du compte OpenPay vers le mobile money (commission de 4 à 6 %), regroupé en gros montants.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Recharge de la carte Visa, puis du solde Higgsfield (manuellement au lancement).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Le solde Higgsfield doit toujours couvrir au moins 3 jours de consommation : une alerte est prévue dans l'espace admin.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Risques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8"/>
        <w:gridCol w:w="972"/>
        <w:gridCol w:w="972"/>
        <w:gridCol w:w="4866"/>
      </w:tblGrid>
      <w:tr>
        <w:trPr>
          <w:tblHeader/>
        </w:trPr>
        <w:tc>
          <w:tcPr>
            <w:tcW w:type="dxa" w:w="28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Probabilité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28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Demande insuffisante ou achats non répétés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Moyenne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manuelle avant le lancement, cibles à usage régulier, presets renouvelés</w:t>
            </w:r>
          </w:p>
        </w:tc>
      </w:tr>
      <w:tr>
        <w:trPr>
          <w:tblHeader w:val="off"/>
        </w:trPr>
        <w:tc>
          <w:tcPr>
            <w:tcW w:type="dxa" w:w="28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Effet nouveauté qui s'essouffle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Moyenne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Moyen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Nouveaux presets chaque semaine, contenus d'actualité, B2B</w:t>
            </w:r>
          </w:p>
        </w:tc>
      </w:tr>
      <w:tr>
        <w:trPr>
          <w:tblHeader w:val="off"/>
        </w:trPr>
        <w:tc>
          <w:tcPr>
            <w:tcW w:type="dxa" w:w="28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Deepfake ou contenu abusif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Moyenne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Très fort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Consentement, filigrane, modération sous 24 h, signalement public, bannissement, traces</w:t>
            </w:r>
          </w:p>
        </w:tc>
      </w:tr>
      <w:tr>
        <w:trPr>
          <w:tblHeader w:val="off"/>
        </w:trPr>
        <w:tc>
          <w:tcPr>
            <w:tcW w:type="dxa" w:w="28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Hausse des prix Higgsfield ou fin des promotions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Moyenne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Moyen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Prix calculés au tarif catalogue, crédits par seconde paramétrables</w:t>
            </w:r>
          </w:p>
        </w:tc>
      </w:tr>
      <w:tr>
        <w:trPr>
          <w:tblHeader w:val="off"/>
        </w:trPr>
        <w:tc>
          <w:tcPr>
            <w:tcW w:type="dxa" w:w="28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Hausse du dollar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Faible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Moyen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Taux paramétrable, marge de sécurité de 6 % sur le change</w:t>
            </w:r>
          </w:p>
        </w:tc>
      </w:tr>
      <w:tr>
        <w:trPr>
          <w:tblHeader w:val="off"/>
        </w:trPr>
        <w:tc>
          <w:tcPr>
            <w:tcW w:type="dxa" w:w="28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Défaillance ou changement de conditions d'OpenPay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Faible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Retraits réguliers, interface de paiement remplaçable</w:t>
            </w:r>
          </w:p>
        </w:tc>
      </w:tr>
      <w:tr>
        <w:trPr>
          <w:tblHeader w:val="off"/>
        </w:trPr>
        <w:tc>
          <w:tcPr>
            <w:tcW w:type="dxa" w:w="28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Suspension du compte Higgsfield à cause d'utilisateurs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Faible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Très fort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Modération stricte, respect des conditions d'utilisation, fournisseur alternatif identifié</w:t>
            </w:r>
          </w:p>
        </w:tc>
      </w:tr>
      <w:tr>
        <w:trPr>
          <w:tblHeader w:val="off"/>
        </w:trPr>
        <w:tc>
          <w:tcPr>
            <w:tcW w:type="dxa" w:w="28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Solde Higgsfield épuisé (recharge manuelle)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Moyenne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Moyen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Alerte de seuil, blocage propre des nouvelles générations, recharge automatique dès que possible</w:t>
            </w:r>
          </w:p>
        </w:tc>
      </w:tr>
      <w:tr>
        <w:trPr>
          <w:tblHeader w:val="off"/>
        </w:trPr>
        <w:tc>
          <w:tcPr>
            <w:tcW w:type="dxa" w:w="28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Copie de l'offre par un concurrent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Moyenne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Moyen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Marque, communauté, qualité des presets, rapidité d'exécution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Indicateurs à suivre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3"/>
        <w:gridCol w:w="3315"/>
      </w:tblGrid>
      <w:tr>
        <w:trPr>
          <w:tblHeader/>
        </w:trPr>
        <w:tc>
          <w:tcPr>
            <w:tcW w:type="dxa" w:w="6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 à 3 mois</w:t>
            </w:r>
          </w:p>
        </w:tc>
      </w:tr>
      <w:tr>
        <w:trPr>
          <w:tblHeader w:val="off"/>
        </w:trPr>
        <w:tc>
          <w:tcPr>
            <w:tcW w:type="dxa" w:w="6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Inscrits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1 000</w:t>
            </w:r>
          </w:p>
        </w:tc>
      </w:tr>
      <w:tr>
        <w:trPr>
          <w:tblHeader w:val="off"/>
        </w:trPr>
        <w:tc>
          <w:tcPr>
            <w:tcW w:type="dxa" w:w="6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Taux de conversion inscrit → payeur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15 %</w:t>
            </w:r>
          </w:p>
        </w:tc>
      </w:tr>
      <w:tr>
        <w:trPr>
          <w:tblHeader w:val="off"/>
        </w:trPr>
        <w:tc>
          <w:tcPr>
            <w:tcW w:type="dxa" w:w="6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Payeurs qui rachètent dans les 30 jours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30 %</w:t>
            </w:r>
          </w:p>
        </w:tc>
      </w:tr>
      <w:tr>
        <w:trPr>
          <w:tblHeader w:val="off"/>
        </w:trPr>
        <w:tc>
          <w:tcPr>
            <w:tcW w:type="dxa" w:w="6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Panier moyen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1 500 FCFA</w:t>
            </w:r>
          </w:p>
        </w:tc>
      </w:tr>
      <w:tr>
        <w:trPr>
          <w:tblHeader w:val="off"/>
        </w:trPr>
        <w:tc>
          <w:tcPr>
            <w:tcW w:type="dxa" w:w="6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Taux d'échec des générations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5 %</w:t>
            </w:r>
          </w:p>
        </w:tc>
      </w:tr>
      <w:tr>
        <w:trPr>
          <w:tblHeader w:val="off"/>
        </w:trPr>
        <w:tc>
          <w:tcPr>
            <w:tcW w:type="dxa" w:w="6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Délai moyen de génération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10 min</w:t>
            </w:r>
          </w:p>
        </w:tc>
      </w:tr>
      <w:tr>
        <w:trPr>
          <w:tblHeader w:val="off"/>
        </w:trPr>
        <w:tc>
          <w:tcPr>
            <w:tcW w:type="dxa" w:w="6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Signalements traités sous 24 h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100 %</w:t>
            </w:r>
          </w:p>
        </w:tc>
      </w:tr>
      <w:tr>
        <w:trPr>
          <w:tblHeader w:val="off"/>
        </w:trPr>
        <w:tc>
          <w:tcPr>
            <w:tcW w:type="dxa" w:w="6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Marge brute moyenne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25 %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Conclusion</w:t>
      </w:r>
    </w:p>
    <w:p>
      <w:pPr>
        <w:spacing w:after="120"/>
      </w:pPr>
      <w:r>
        <w:rPr>
          <w:rFonts w:ascii="Arial" w:cs="Arial" w:eastAsia="Arial" w:hAnsi="Arial"/>
        </w:rPr>
        <w:t xml:space="preserve">Le projet est réalisable avec un investissement faible (≈ 56 000 à 73 000 FCFA) et des compétences déjà disponibles. Sa viabilité dépend avant tout de la demande réelle et des achats répétés, qui ne sont pas encore prouvés.</w:t>
      </w:r>
    </w:p>
    <w:p>
      <w:pPr>
        <w:spacing w:after="120"/>
      </w:pPr>
      <w:r>
        <w:rPr>
          <w:rFonts w:ascii="Arial" w:cs="Arial" w:eastAsia="Arial" w:hAnsi="Arial"/>
        </w:rPr>
        <w:t xml:space="preserve">Si le modèle fonctionne au Congo, il peut être reproduit dans les autres pays du mobile money africain, en ajoutant un agrégateur de paiement et des presets locaux par marché.</w:t>
      </w:r>
    </w:p>
    <w:p>
      <w:pPr>
        <w:spacing w:after="120"/>
      </w:pPr>
      <w:r>
        <w:rPr>
          <w:rFonts w:ascii="Arial" w:cs="Arial" w:eastAsia="Arial" w:hAnsi="Arial"/>
        </w:rPr>
        <w:t xml:space="preserve">La démarche recommandée : valider la demande à la main pendant que le MVP est développé, lancer avec un seul produit simple (vidéo Light 480p à 1 000 FCFA), puis élargir l'offre à partir des données réelles.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Yamboka — Business model et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lowerLetter"/>
      <w:lvlText w:val="%2)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0F76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2026-10-22T08:56:28.226Z</dcterms:created>
  <dcterms:modified xsi:type="dcterms:W3CDTF">2026-10-22T08:56:28.227Z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