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3. Консолидация и аналитическая обработка данных — Вариант 18</w:t>
      </w:r>
    </w:p>
    <w:p>
      <w:pPr>
        <w:pStyle w:val="Heading1"/>
      </w:pPr>
      <w:r>
        <w:t>Цель работы</w:t>
      </w:r>
    </w:p>
    <w:p>
      <w:r>
        <w:t>Освоить консолидацию данных из CSV/Excel/JSON, их очистку и обогащение в pandas, и выполнить аналитическую задачу по расчёту итогового бонуса маркетологов.</w:t>
      </w:r>
    </w:p>
    <w:p>
      <w:pPr>
        <w:pStyle w:val="Heading1"/>
      </w:pPr>
      <w:r>
        <w:t>Ссылка на Git-репозиторий</w:t>
      </w:r>
    </w:p>
    <w:p>
      <w:r>
        <w:t>Вставьте ссылку на ваш публичный репозиторий после публикации.</w:t>
      </w:r>
    </w:p>
    <w:p>
      <w:pPr>
        <w:pStyle w:val="Heading1"/>
      </w:pPr>
      <w:r>
        <w:t>Описание бизнес-кейса и источников данных</w:t>
      </w:r>
    </w:p>
    <w:p>
      <w:r>
        <w:t>Вариант 18: рассчитать итоговый бонус для каждого маркетолога.</w:t>
        <w:br/>
        <w:t>• CSV: Маркетологи (marketer_id, name, grade)</w:t>
        <w:br/>
        <w:t>• Excel: Кампании (marketer_id, campaign_id, revenue_generated)</w:t>
        <w:br/>
        <w:t>• JSON: Бонусы (grade, bonus_percent_of_revenue).</w:t>
      </w:r>
    </w:p>
    <w:p>
      <w:pPr>
        <w:pStyle w:val="Heading1"/>
      </w:pPr>
      <w:r>
        <w:t>Ключевые этапы и код</w:t>
      </w:r>
    </w:p>
    <w:p>
      <w:r>
        <w:t>Загрузка → аудит (.info(), .isnull(), .duplicated()) → очистка и унификация колонок → консолидация (merge) → расчёт признаков → визуализация.</w:t>
      </w:r>
    </w:p>
    <w:p>
      <w:pPr>
        <w:pStyle w:val="Heading1"/>
      </w:pPr>
      <w:r>
        <w:t>Итоговая таблица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marketer_id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revenue_total</w:t>
            </w:r>
          </w:p>
        </w:tc>
        <w:tc>
          <w:tcPr>
            <w:tcW w:type="dxa" w:w="1440"/>
          </w:tcPr>
          <w:p>
            <w:r>
              <w:t>bonus_percent</w:t>
            </w:r>
          </w:p>
        </w:tc>
        <w:tc>
          <w:tcPr>
            <w:tcW w:type="dxa" w:w="1440"/>
          </w:tcPr>
          <w:p>
            <w:r>
              <w:t>final_bonus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Carol</w:t>
            </w:r>
          </w:p>
        </w:tc>
        <w:tc>
          <w:tcPr>
            <w:tcW w:type="dxa" w:w="1440"/>
          </w:tcPr>
          <w:p>
            <w:r>
              <w:t>Senior</w:t>
            </w:r>
          </w:p>
        </w:tc>
        <w:tc>
          <w:tcPr>
            <w:tcW w:type="dxa" w:w="1440"/>
          </w:tcPr>
          <w:p>
            <w:r>
              <w:t>50000.00</w:t>
            </w:r>
          </w:p>
        </w:tc>
        <w:tc>
          <w:tcPr>
            <w:tcW w:type="dxa" w:w="1440"/>
          </w:tcPr>
          <w:p>
            <w:r>
              <w:t>7%</w:t>
            </w:r>
          </w:p>
        </w:tc>
        <w:tc>
          <w:tcPr>
            <w:tcW w:type="dxa" w:w="1440"/>
          </w:tcPr>
          <w:p>
            <w:r>
              <w:t>3,500.00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Eva</w:t>
            </w:r>
          </w:p>
        </w:tc>
        <w:tc>
          <w:tcPr>
            <w:tcW w:type="dxa" w:w="1440"/>
          </w:tcPr>
          <w:p>
            <w:r>
              <w:t>Senior</w:t>
            </w:r>
          </w:p>
        </w:tc>
        <w:tc>
          <w:tcPr>
            <w:tcW w:type="dxa" w:w="1440"/>
          </w:tcPr>
          <w:p>
            <w:r>
              <w:t>35000.00</w:t>
            </w:r>
          </w:p>
        </w:tc>
        <w:tc>
          <w:tcPr>
            <w:tcW w:type="dxa" w:w="1440"/>
          </w:tcPr>
          <w:p>
            <w:r>
              <w:t>7%</w:t>
            </w:r>
          </w:p>
        </w:tc>
        <w:tc>
          <w:tcPr>
            <w:tcW w:type="dxa" w:w="1440"/>
          </w:tcPr>
          <w:p>
            <w:r>
              <w:t>2,450.00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Bob</w:t>
            </w:r>
          </w:p>
        </w:tc>
        <w:tc>
          <w:tcPr>
            <w:tcW w:type="dxa" w:w="1440"/>
          </w:tcPr>
          <w:p>
            <w:r>
              <w:t>Middle</w:t>
            </w:r>
          </w:p>
        </w:tc>
        <w:tc>
          <w:tcPr>
            <w:tcW w:type="dxa" w:w="1440"/>
          </w:tcPr>
          <w:p>
            <w:r>
              <w:t>27000.00</w:t>
            </w:r>
          </w:p>
        </w:tc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1,350.00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Alice</w:t>
            </w:r>
          </w:p>
        </w:tc>
        <w:tc>
          <w:tcPr>
            <w:tcW w:type="dxa" w:w="1440"/>
          </w:tcPr>
          <w:p>
            <w:r>
              <w:t>Junior</w:t>
            </w:r>
          </w:p>
        </w:tc>
        <w:tc>
          <w:tcPr>
            <w:tcW w:type="dxa" w:w="1440"/>
          </w:tcPr>
          <w:p>
            <w:r>
              <w:t>20000.00</w:t>
            </w:r>
          </w:p>
        </w:tc>
        <w:tc>
          <w:tcPr>
            <w:tcW w:type="dxa" w:w="1440"/>
          </w:tcPr>
          <w:p>
            <w:r>
              <w:t>3%</w:t>
            </w:r>
          </w:p>
        </w:tc>
        <w:tc>
          <w:tcPr>
            <w:tcW w:type="dxa" w:w="1440"/>
          </w:tcPr>
          <w:p>
            <w:r>
              <w:t>600.00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Dan</w:t>
            </w:r>
          </w:p>
        </w:tc>
        <w:tc>
          <w:tcPr>
            <w:tcW w:type="dxa" w:w="1440"/>
          </w:tcPr>
          <w:p>
            <w:r>
              <w:t>Middle</w:t>
            </w:r>
          </w:p>
        </w:tc>
        <w:tc>
          <w:tcPr>
            <w:tcW w:type="dxa" w:w="1440"/>
          </w:tcPr>
          <w:p>
            <w:r>
              <w:t>9000.00</w:t>
            </w:r>
          </w:p>
        </w:tc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450.00</w:t>
            </w:r>
          </w:p>
        </w:tc>
      </w:tr>
    </w:tbl>
    <w:p>
      <w:pPr>
        <w:pStyle w:val="Heading1"/>
      </w:pPr>
      <w:r>
        <w:t>Визуализации</w:t>
      </w:r>
    </w:p>
    <w:p>
      <w:r>
        <w:drawing>
          <wp:inline xmlns:a="http://schemas.openxmlformats.org/drawingml/2006/main" xmlns:pic="http://schemas.openxmlformats.org/drawingml/2006/picture">
            <wp:extent cx="5943600" cy="3788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by_marke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788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vs_bon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33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percent_by_gr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Выводы по анализу</w:t>
      </w:r>
    </w:p>
    <w:p>
      <w:r>
        <w:t>Итоговый бонус = выручка * (процент по грейду / 100). Senior получают более высокий процент, что при равной выручке даёт больший бонус. На реальных данных имеет смысл нормализовать вклад кампаний по KPI и учитывать маржинальность.</w:t>
      </w:r>
    </w:p>
    <w:p>
      <w:pPr>
        <w:pStyle w:val="Heading1"/>
      </w:pPr>
      <w:r>
        <w:t>Общий вывод по работе</w:t>
      </w:r>
    </w:p>
    <w:p>
      <w:r>
        <w:t>Получены навыки консолидации данных из разных источников, проектирования признаков, построения визуализаций и оформления результатов исследования.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