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Liberation Mono;Courier New" w:ascii="FreeSerif" w:hAnsi="FreeSerif"/>
          <w:b w:val="false"/>
          <w:bCs w:val="false"/>
          <w:sz w:val="24"/>
          <w:szCs w:val="24"/>
          <w:lang w:val="zxx" w:eastAsia="zxx" w:bidi="zxx"/>
        </w:rPr>
        <w:t>$CALIBRATOR_COMPANY_NAME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VERIFICATOR_COMPANY_NAM</w:t>
      </w:r>
      <w:bookmarkEnd w:id="0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75_1069564186"/>
      <w:bookmarkEnd w:id="4"/>
      <w:r>
        <w:rPr>
          <w:rFonts w:ascii="FreeSerif" w:hAnsi="FreeSerif"/>
          <w:sz w:val="24"/>
          <w:szCs w:val="24"/>
          <w:lang w:val="zxx" w:eastAsia="zxx" w:bidi="zxx"/>
        </w:rPr>
        <w:t xml:space="preserve">       </w:t>
      </w:r>
      <w:bookmarkEnd w:id="5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</w:t>
      </w:r>
      <w:bookmarkStart w:id="6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6"/>
      <w:r>
        <w:rPr>
          <w:rFonts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"$</w:t>
      </w:r>
      <w:bookmarkStart w:id="7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8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8"/>
      <w:r>
        <w:rPr>
          <w:rFonts w:ascii="FreeSerif" w:hAnsi="FreeSerif"/>
          <w:sz w:val="24"/>
          <w:szCs w:val="24"/>
          <w:lang w:val="zxx" w:eastAsia="zxx" w:bidi="zxx"/>
        </w:rPr>
        <w:t xml:space="preserve">"      #Зав. № </w:t>
      </w:r>
      <w:bookmarkStart w:id="9" w:name="__DdeLink__70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Liberation Mono;Courier New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ab/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               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uk-UA" w:eastAsia="zxx" w:bidi="zxx"/>
        </w:rPr>
        <w:t>“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$METR_DOC_SIGN: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0" w:name="__DdeLink__16_1073118326"/>
      <w:bookmarkEnd w:id="10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$METR_DOC_NAME"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/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sz w:val="12"/>
          <w:szCs w:val="12"/>
        </w:rPr>
      </w:pPr>
      <w:bookmarkStart w:id="11" w:name="__DdeLink__70_1119821634"/>
      <w:bookmarkEnd w:id="11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FreeSerif" w:hAnsi="FreeSerif"/>
          <w:sz w:val="24"/>
          <w:szCs w:val="24"/>
          <w:lang w:val="zxx" w:eastAsia="zxx" w:bidi="zxx"/>
        </w:rPr>
        <w:t xml:space="preserve">                            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     #$</w:t>
      </w:r>
      <w:bookmarkStart w:id="12" w:name="__DdeLink__76_1572625028"/>
      <w:bookmarkEnd w:id="12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sz w:val="20"/>
          <w:szCs w:val="20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sz w:val="20"/>
          <w:szCs w:val="20"/>
          <w:lang w:val="zxx" w:eastAsia="zxx" w:bidi="zxx"/>
        </w:rPr>
        <w:t>(підпис)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</w:t>
      </w:r>
      <w:r>
        <w:rPr>
          <w:rFonts w:ascii="FreeSerif" w:hAnsi="FreeSerif"/>
          <w:sz w:val="24"/>
          <w:szCs w:val="24"/>
          <w:lang w:val="zxx" w:eastAsia="zxx" w:bidi="zxx"/>
        </w:rPr>
        <w:t>#«____»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FreeSerif">
    <w:charset w:val="00"/>
    <w:family w:val="roman"/>
    <w:pitch w:val="variable"/>
  </w:font>
  <w:font w:name="Times new roman">
    <w:charset w:val="00"/>
    <w:family w:val="roman"/>
    <w:pitch w:val="variable"/>
  </w:font>
  <w:font w:name="Ubuntu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2015-06-02T14:53:02Z</dcterms:modified>
  <cp:revision>200</cp:revision>
</cp:coreProperties>
</file>