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KONUT KİRA SÖZLEŞMESİ</w:t>
      </w:r>
    </w:p>
    <w:p>
      <w:r>
        <w:t>MADDE 1 - KİRALANAN</w:t>
      </w:r>
    </w:p>
    <w:p>
      <w:r>
        <w:t>Kiralanan taşınmaz İstanbul ili Kadıköy ilçesinde bulunan 3+1 dairedir.</w:t>
      </w:r>
    </w:p>
    <w:p>
      <w:r>
        <w:t>MADDE 2 - KİRA BEDELİ</w:t>
      </w:r>
    </w:p>
    <w:p>
      <w:r>
        <w:t>Aylık kira bedeli 40.000 TL olup her ayın 5'inde kiraya verene elden ödeme şeklinde ödenir.</w:t>
      </w:r>
    </w:p>
    <w:p>
      <w:r>
        <w:t>MADDE 3 - KİRA ARTIŞI</w:t>
      </w:r>
    </w:p>
    <w:p>
      <w:r>
        <w:t>Kira bedeli her yıl %100 oranında artırılır.</w:t>
      </w:r>
    </w:p>
    <w:p>
      <w:r>
        <w:t>MADDE 4 - DEPOZİTO</w:t>
      </w:r>
    </w:p>
    <w:p>
      <w:r>
        <w:t>Kiracı 120.000 TL depozito öder. Kiracının dairede herhangi bir tadilat yapması halinde depozito iade edilmez.</w:t>
      </w:r>
    </w:p>
    <w:p>
      <w:r>
        <w:t>MADDE 5 - KİRAYA VERENİN GİRİŞ HAKKI</w:t>
      </w:r>
    </w:p>
    <w:p>
      <w:r>
        <w:t>Kiraya veren, kiracının izni olmaksızın dilediği zaman daireye girebilir.</w:t>
      </w:r>
    </w:p>
    <w:p>
      <w:r>
        <w:t>MADDE 6 - TAHLİYE</w:t>
      </w:r>
    </w:p>
    <w:p>
      <w:r>
        <w:t>Kiracı, işbu sözleşme ile aynı tarihte tahliye taahhüdü vermiştir; sözleşme sonunda taşınmazı boşaltmayı kabul eder.</w:t>
      </w:r>
    </w:p>
    <w:p>
      <w:r>
        <w:t>MADDE 7 - YETKİLİ MAHKEME</w:t>
      </w:r>
    </w:p>
    <w:p>
      <w:r>
        <w:t>İşbu sözleşmeden doğan uyuşmazlıklarda Ankara Mahkemeleri ve İcra Daireleri yetkilidir.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