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TradePilot</w:t>
      </w:r>
    </w:p>
    <w:p>
      <w:pPr>
        <w:spacing w:after="60"/>
      </w:pPr>
      <w:r>
        <w:rPr>
          <w:color w:val="475569"/>
          <w:sz w:val="28"/>
          <w:szCs w:val="28"/>
        </w:rPr>
        <w:t xml:space="preserve">Autonomous Trade Finance for SMEs — built on Arc and USDC</w:t>
      </w:r>
    </w:p>
    <w:p>
      <w:pPr>
        <w:spacing w:after="400"/>
      </w:pPr>
      <w:r>
        <w:rPr>
          <w:i/>
          <w:iCs/>
          <w:color w:val="808080"/>
          <w:sz w:val="22"/>
          <w:szCs w:val="22"/>
        </w:rPr>
        <w:t xml:space="preserve">Submission — The Stablecoins Commerce Stack Challenge</w:t>
      </w:r>
    </w:p>
    <w:p>
      <w:pPr>
        <w:pStyle w:val="Heading1"/>
        <w:spacing w:after="150" w:before="300"/>
      </w:pPr>
      <w:r>
        <w:t xml:space="preserve">Short Description</w:t>
      </w:r>
    </w:p>
    <w:p>
      <w:pPr>
        <w:spacing w:after="160"/>
      </w:pPr>
      <w:r>
        <w:t xml:space="preserve">TradePilot turns an SME invoice into a programmable, milestone-based USDC escrow. An AI agent reads the invoice, proposes an order/shipment/delivery payment plan, and — once a human approves — drives real settlement through Circle's Developer-Controlled Wallets and a custom escrow contract deployed on Arc. Every completed trade builds a verifiable SME Credit Passport.</w:t>
      </w:r>
    </w:p>
    <w:p>
      <w:pPr>
        <w:pStyle w:val="Heading1"/>
        <w:spacing w:after="150" w:before="300"/>
      </w:pPr>
      <w:r>
        <w:t xml:space="preserve">Track</w:t>
      </w:r>
    </w:p>
    <w:p>
      <w:pPr>
        <w:spacing w:after="160"/>
      </w:pPr>
      <w:r>
        <w:t xml:space="preserve">Best SME Trade Finance &amp; Working Capital Workflow (Invoices, Escrow, Settlement)</w:t>
      </w:r>
    </w:p>
    <w:p>
      <w:pPr>
        <w:pStyle w:val="Heading1"/>
        <w:spacing w:after="150" w:before="300"/>
      </w:pPr>
      <w:r>
        <w:t xml:space="preserve">Email associated with Circle Developer Account</w:t>
      </w:r>
    </w:p>
    <w:p>
      <w:pPr>
        <w:spacing w:after="160"/>
      </w:pPr>
      <w:r>
        <w:t xml:space="preserve">maksutovdesign@icloud.com</w:t>
      </w:r>
    </w:p>
    <w:p>
      <w:pPr>
        <w:pStyle w:val="Heading1"/>
        <w:spacing w:after="150" w:before="300"/>
      </w:pPr>
      <w:r>
        <w:t xml:space="preserve">Circle Products Used on Arc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USDC — primary settlement and escrow asset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Circle Wallets (Developer-Controlled) — embedded wallet for the SME buyer, created via the live Circle API</w:t>
      </w:r>
    </w:p>
    <w:p>
      <w:pPr>
        <w:pStyle w:val="Heading1"/>
        <w:spacing w:after="150" w:before="300"/>
      </w:pPr>
      <w:r>
        <w:t xml:space="preserve">Functional MVP</w:t>
      </w:r>
    </w:p>
    <w:p>
      <w:pPr>
        <w:spacing w:after="160"/>
      </w:pPr>
      <w:r>
        <w:t xml:space="preserve">Both frontend and backend are deployed and live, wired to a real PostgreSQL database, a real Circle developer-controlled wallet, and a smart contract deployed on Arc Testnet — not a mock or local-only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application (frontend + backend): https://web-psi-rose-15.vercel.app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https://api-sigma-hazel-15.vercel.app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repository: https://github.com/maksutovdesign/tradepilot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Deployed &amp; verified escrow contract on Arc Testnet: 0xc46673b16c94d2898c59aeaa0fd588f2af13792f</w:t>
      </w:r>
    </w:p>
    <w:p>
      <w:pPr>
        <w:spacing w:after="160"/>
      </w:pPr>
      <w:r>
        <w:t xml:space="preserve">A full create → fund → confirm → release cycle has already been executed against this contract live on Arc Testnet (5 onchain transactions, including a full TradeCompleted event). Transaction hashes and links are documented in docs/demo.md in the repository.</w:t>
      </w:r>
    </w:p>
    <w:p>
      <w:pPr>
        <w:pStyle w:val="Heading1"/>
        <w:spacing w:after="150" w:before="300"/>
      </w:pPr>
      <w:r>
        <w:t xml:space="preserve">Architecture Diagram</w:t>
      </w:r>
    </w:p>
    <w:p>
      <w:pPr>
        <w:spacing w:after="80"/>
        <w:jc w:val="center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System architecture: browser → Next.js web → Express API → Postgres / Circle Wallets / Arc escrow contract → supplier wallet.</w:t>
      </w:r>
    </w:p>
    <w:p>
      <w:pPr>
        <w:spacing w:after="80"/>
        <w:jc w:val="center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Agent trust boundary: the AI agent can only write a PENDING_APPROVAL row — it has no code path to sign a transaction. Only a human-approved request reaches Circle and Arc.</w:t>
      </w:r>
    </w:p>
    <w:p>
      <w:pPr>
        <w:pStyle w:val="Heading1"/>
        <w:spacing w:after="150" w:before="300"/>
      </w:pPr>
      <w:r>
        <w:t xml:space="preserve">Video Demo</w:t>
      </w:r>
    </w:p>
    <w:p>
      <w:pPr>
        <w:spacing w:after="160"/>
      </w:pPr>
      <w:r>
        <w:t xml:space="preserve">Submitted separately via the “Product Demo Video Link” field. The video walks through the full vertical slice: upload invoice → AI extracts terms → AI recommends milestone escrow → fund escrow on Arc → confirm + release milestones in USDC → Credit Passport updates — using the live application and real onchain transactions.</w:t>
      </w:r>
    </w:p>
    <w:p>
      <w:pPr>
        <w:pStyle w:val="Heading1"/>
        <w:spacing w:after="150" w:before="300"/>
      </w:pPr>
      <w:r>
        <w:t xml:space="preserve">Documentation</w:t>
      </w:r>
    </w:p>
    <w:p>
      <w:pPr>
        <w:spacing w:after="160"/>
      </w:pPr>
      <w:r>
        <w:t xml:space="preserve">Full setup instructions, environment variables, and a walkthrough of every Circle integration point (entity secret registration, developer-controlled wallet creation, USDC transfers) are in the GitHub repository:</w:t>
      </w:r>
    </w:p>
    <w:p>
      <w:pPr>
        <w:spacing w:after="160"/>
      </w:pPr>
      <w:hyperlink w:history="1" r:id="rId0m0-o5nf2x8v6dll9yydb">
        <w:r>
          <w:rPr>
            <w:rStyle w:val="Hyperlink"/>
          </w:rPr>
          <w:t xml:space="preserve">github.com/maksutovdesign/tradepilot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— setup + live demo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docs/architecture.md — full data flow and agent trust boundary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docs/smart-contract.md — TradePilotEscrow.sol design, tests,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docs/circle-integration.md — Circle product feedback (also reproduced below)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docs/agent.md — AI agent design and trust boundary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docs/demo.md — demo script + live transaction hashes</w:t>
      </w:r>
    </w:p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150" w:before="300"/>
      </w:pPr>
      <w:r>
        <w:t xml:space="preserve">Circle Product Feedback</w:t>
      </w:r>
    </w:p>
    <w:p>
      <w:pPr>
        <w:pStyle w:val="Heading2"/>
        <w:spacing w:after="120" w:before="240"/>
      </w:pPr>
      <w:r>
        <w:t xml:space="preserve">Why we chose these products for your use case</w:t>
      </w:r>
    </w:p>
    <w:p>
      <w:pPr>
        <w:spacing w:after="160"/>
      </w:pPr>
      <w:r>
        <w:t xml:space="preserve">Trade finance for SMEs needs two things banks are bad at: fast, predictable settlement, and a UX where the buyer never has to think about private keys. Developer-controlled wallets let TradePilot hold and move USDC on the company's behalf while a policy layer (AI proposes, human approves) decides when a transfer is allowed to happen. Arc's USDC-denominated fees make milestone amounts predictable, which matters when a $30,000 shipment milestone can't be eaten into by gas volatility.</w:t>
      </w:r>
    </w:p>
    <w:p>
      <w:pPr>
        <w:pStyle w:val="Heading2"/>
        <w:spacing w:after="120" w:before="240"/>
      </w:pPr>
      <w:r>
        <w:t xml:space="preserve">What worked well during development</w:t>
      </w:r>
    </w:p>
    <w:p>
      <w:pPr>
        <w:spacing w:after="160"/>
      </w:pPr>
      <w:r>
        <w:t xml:space="preserve">The developer-controlled wallet model maps directly onto our trust boundary: the AI agent proposes, a human approves, and only then does a wallet-level call happen — we didn't have to build our own key-custody layer to get that separation. USDC's fixed 6-decimal precision made milestone-split math (30/40/30) exact, with no rounding surprises across onchain and database state.</w:t>
      </w:r>
    </w:p>
    <w:p>
      <w:pPr>
        <w:pStyle w:val="Heading2"/>
        <w:spacing w:after="120" w:before="240"/>
      </w:pPr>
      <w:r>
        <w:t xml:space="preserve">What could be improved</w:t>
      </w:r>
    </w:p>
    <w:p>
      <w:pPr>
        <w:spacing w:after="160"/>
      </w:pPr>
      <w:r>
        <w:t xml:space="preserve">The entity-secret ciphertext step (fetch public key → RSA-encrypt → attach to every signing call) is correct but easy to get subtly wrong on a first integration. We also hit a snag where our Circle Console account arrived with an entity secret already auto-registered during onboarding, with no visible way to recover or rotate it without the original recovery file — a clearer first-run flow (or an explicit “save this file now” warning) would help.</w:t>
      </w:r>
    </w:p>
    <w:p>
      <w:pPr>
        <w:pStyle w:val="Heading2"/>
        <w:spacing w:after="120" w:before="240"/>
      </w:pPr>
      <w:r>
        <w:t xml:space="preserve">Recommendations</w:t>
      </w:r>
    </w:p>
    <w:p>
      <w:pPr>
        <w:spacing w:after="160"/>
      </w:pPr>
      <w:r>
        <w:t xml:space="preserve">A reference architecture specifically for “AI agent proposes, backend executes” flows — including where spending limits and policy checks should live relative to the entity secret and wallet APIs — would make the agentic-commerce pattern much faster to get right, since every team building on developer-controlled wallets seems to reinvent that trust boundary independently.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m0-o5nf2x8v6dll9yydb" Type="http://schemas.openxmlformats.org/officeDocument/2006/relationships/hyperlink" Target="https://github.com/maksutovdesign/tradepilot" TargetMode="External"/><Relationship Id="rId7" Type="http://schemas.openxmlformats.org/officeDocument/2006/relationships/image" Target="media/0f9e892f00b91699da5f66e90153c16f5801a2ac.png"/><Relationship Id="rId8" Type="http://schemas.openxmlformats.org/officeDocument/2006/relationships/image" Target="media/3efc2594cc39c382e2309c0bf2987ab2d8be5f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2026-08-07T20:29:39.641Z</dcterms:created>
  <dcterms:modified xsi:type="dcterms:W3CDTF">2026-08-07T20:29:39.641Z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