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DEA5" w14:textId="2A4D33BD" w:rsidR="006008F1" w:rsidRPr="006008F1" w:rsidRDefault="006008F1" w:rsidP="006008F1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008F1">
        <w:rPr>
          <w:rFonts w:ascii="Times New Roman" w:hAnsi="Times New Roman" w:cs="Times New Roman"/>
          <w:b/>
          <w:bCs/>
          <w:sz w:val="32"/>
          <w:szCs w:val="32"/>
        </w:rPr>
        <w:t>Co to SDC?</w:t>
      </w:r>
    </w:p>
    <w:p w14:paraId="38FD1625" w14:textId="6C4B0E18" w:rsidR="00BC5012" w:rsidRPr="006008F1" w:rsidRDefault="003F43DB" w:rsidP="006008F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008F1">
        <w:rPr>
          <w:rFonts w:ascii="Times New Roman" w:hAnsi="Times New Roman" w:cs="Times New Roman"/>
          <w:sz w:val="26"/>
          <w:szCs w:val="26"/>
        </w:rPr>
        <w:t>Shutdown</w:t>
      </w:r>
      <w:proofErr w:type="spellEnd"/>
      <w:r w:rsidRPr="006008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008F1">
        <w:rPr>
          <w:rFonts w:ascii="Times New Roman" w:hAnsi="Times New Roman" w:cs="Times New Roman"/>
          <w:sz w:val="26"/>
          <w:szCs w:val="26"/>
        </w:rPr>
        <w:t>Circuit</w:t>
      </w:r>
      <w:proofErr w:type="spellEnd"/>
      <w:r w:rsidRPr="006008F1">
        <w:rPr>
          <w:rFonts w:ascii="Times New Roman" w:hAnsi="Times New Roman" w:cs="Times New Roman"/>
          <w:sz w:val="26"/>
          <w:szCs w:val="26"/>
        </w:rPr>
        <w:t xml:space="preserve"> (SDC)</w:t>
      </w:r>
      <w:r w:rsidR="00920D45">
        <w:rPr>
          <w:rFonts w:ascii="Times New Roman" w:hAnsi="Times New Roman" w:cs="Times New Roman"/>
          <w:sz w:val="26"/>
          <w:szCs w:val="26"/>
        </w:rPr>
        <w:t xml:space="preserve"> </w:t>
      </w:r>
      <w:r w:rsidRPr="006008F1">
        <w:rPr>
          <w:rFonts w:ascii="Times New Roman" w:hAnsi="Times New Roman" w:cs="Times New Roman"/>
          <w:sz w:val="26"/>
          <w:szCs w:val="26"/>
        </w:rPr>
        <w:t xml:space="preserve"> jest </w:t>
      </w:r>
      <w:r w:rsidR="00BC5012" w:rsidRPr="006008F1">
        <w:rPr>
          <w:rFonts w:ascii="Times New Roman" w:hAnsi="Times New Roman" w:cs="Times New Roman"/>
          <w:sz w:val="26"/>
          <w:szCs w:val="26"/>
        </w:rPr>
        <w:t>to obwód bezpieczeństwa, który decyduje, czy akumulator wysokiego napięcia</w:t>
      </w:r>
      <w:r w:rsidR="007F5FE7" w:rsidRPr="006008F1">
        <w:rPr>
          <w:rFonts w:ascii="Times New Roman" w:hAnsi="Times New Roman" w:cs="Times New Roman"/>
          <w:sz w:val="26"/>
          <w:szCs w:val="26"/>
        </w:rPr>
        <w:t xml:space="preserve">(TS, </w:t>
      </w:r>
      <w:proofErr w:type="spellStart"/>
      <w:r w:rsidR="007F5FE7" w:rsidRPr="006008F1">
        <w:rPr>
          <w:rFonts w:ascii="Times New Roman" w:hAnsi="Times New Roman" w:cs="Times New Roman"/>
          <w:sz w:val="26"/>
          <w:szCs w:val="26"/>
        </w:rPr>
        <w:t>Tractive</w:t>
      </w:r>
      <w:proofErr w:type="spellEnd"/>
      <w:r w:rsidR="007F5FE7" w:rsidRPr="006008F1">
        <w:rPr>
          <w:rFonts w:ascii="Times New Roman" w:hAnsi="Times New Roman" w:cs="Times New Roman"/>
          <w:sz w:val="26"/>
          <w:szCs w:val="26"/>
        </w:rPr>
        <w:t xml:space="preserve"> System)</w:t>
      </w:r>
      <w:r w:rsidR="00BC5012" w:rsidRPr="006008F1">
        <w:rPr>
          <w:rFonts w:ascii="Times New Roman" w:hAnsi="Times New Roman" w:cs="Times New Roman"/>
          <w:sz w:val="26"/>
          <w:szCs w:val="26"/>
        </w:rPr>
        <w:t xml:space="preserve"> może być połączony z układem napędowym bolidu. Bezpośrednio zasila cewki styczników AIR oraz układ </w:t>
      </w:r>
      <w:proofErr w:type="spellStart"/>
      <w:r w:rsidR="00BC5012" w:rsidRPr="006008F1">
        <w:rPr>
          <w:rFonts w:ascii="Times New Roman" w:hAnsi="Times New Roman" w:cs="Times New Roman"/>
          <w:sz w:val="26"/>
          <w:szCs w:val="26"/>
        </w:rPr>
        <w:t>pre-charge</w:t>
      </w:r>
      <w:proofErr w:type="spellEnd"/>
      <w:r w:rsidR="00BC5012" w:rsidRPr="006008F1">
        <w:rPr>
          <w:rFonts w:ascii="Times New Roman" w:hAnsi="Times New Roman" w:cs="Times New Roman"/>
          <w:sz w:val="26"/>
          <w:szCs w:val="26"/>
        </w:rPr>
        <w:t xml:space="preserve">. Dopóki SDC jest zamknięty, AIR są załączone i układ napędowy ma zasilanie. Gdy SDC zostanie otwarty, AIR i przekaźnik </w:t>
      </w:r>
      <w:proofErr w:type="spellStart"/>
      <w:r w:rsidR="00BC5012" w:rsidRPr="006008F1">
        <w:rPr>
          <w:rFonts w:ascii="Times New Roman" w:hAnsi="Times New Roman" w:cs="Times New Roman"/>
          <w:sz w:val="26"/>
          <w:szCs w:val="26"/>
        </w:rPr>
        <w:t>pre-charge</w:t>
      </w:r>
      <w:proofErr w:type="spellEnd"/>
      <w:r w:rsidR="00BC5012" w:rsidRPr="006008F1">
        <w:rPr>
          <w:rFonts w:ascii="Times New Roman" w:hAnsi="Times New Roman" w:cs="Times New Roman"/>
          <w:sz w:val="26"/>
          <w:szCs w:val="26"/>
        </w:rPr>
        <w:t xml:space="preserve"> się otwierają, prąd z akumulatora musi ustać, a napięcie w TS musi spaść poniżej 60 VDC i 50 VAC RMS w czasie krótszym niż 5 sekund</w:t>
      </w:r>
      <w:r w:rsidR="00920D45">
        <w:rPr>
          <w:rFonts w:ascii="Times New Roman" w:hAnsi="Times New Roman" w:cs="Times New Roman"/>
          <w:sz w:val="26"/>
          <w:szCs w:val="26"/>
        </w:rPr>
        <w:t>.</w:t>
      </w:r>
    </w:p>
    <w:p w14:paraId="73A937F8" w14:textId="60475CE9" w:rsidR="005B6B2B" w:rsidRPr="006008F1" w:rsidRDefault="00BC5012" w:rsidP="006008F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08F1">
        <w:rPr>
          <w:rFonts w:ascii="Times New Roman" w:hAnsi="Times New Roman" w:cs="Times New Roman"/>
          <w:sz w:val="26"/>
          <w:szCs w:val="26"/>
        </w:rPr>
        <w:t>SDC jest więc ostatnią linią obrony: niezależnie od tego, co zawiedzie (kierowca, oprogramowanie, czujnik, akumulator), wystarczy otworzyć pętlę, a wysokie napięcie zostaje odcięte.</w:t>
      </w:r>
    </w:p>
    <w:p w14:paraId="1D74C44A" w14:textId="34AC41FC" w:rsidR="004E3308" w:rsidRPr="006008F1" w:rsidRDefault="004E3308" w:rsidP="006008F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08F1">
        <w:rPr>
          <w:rFonts w:ascii="Times New Roman" w:hAnsi="Times New Roman" w:cs="Times New Roman"/>
          <w:sz w:val="26"/>
          <w:szCs w:val="26"/>
        </w:rPr>
        <w:t>Rola BSPD w SDC. BSPD (</w:t>
      </w:r>
      <w:proofErr w:type="spellStart"/>
      <w:r w:rsidRPr="006008F1">
        <w:rPr>
          <w:rFonts w:ascii="Times New Roman" w:hAnsi="Times New Roman" w:cs="Times New Roman"/>
          <w:sz w:val="26"/>
          <w:szCs w:val="26"/>
        </w:rPr>
        <w:t>Brake</w:t>
      </w:r>
      <w:proofErr w:type="spellEnd"/>
      <w:r w:rsidRPr="006008F1">
        <w:rPr>
          <w:rFonts w:ascii="Times New Roman" w:hAnsi="Times New Roman" w:cs="Times New Roman"/>
          <w:sz w:val="26"/>
          <w:szCs w:val="26"/>
        </w:rPr>
        <w:t xml:space="preserve"> System </w:t>
      </w:r>
      <w:proofErr w:type="spellStart"/>
      <w:r w:rsidRPr="006008F1">
        <w:rPr>
          <w:rFonts w:ascii="Times New Roman" w:hAnsi="Times New Roman" w:cs="Times New Roman"/>
          <w:sz w:val="26"/>
          <w:szCs w:val="26"/>
        </w:rPr>
        <w:t>Plausibility</w:t>
      </w:r>
      <w:proofErr w:type="spellEnd"/>
      <w:r w:rsidRPr="006008F1">
        <w:rPr>
          <w:rFonts w:ascii="Times New Roman" w:hAnsi="Times New Roman" w:cs="Times New Roman"/>
          <w:sz w:val="26"/>
          <w:szCs w:val="26"/>
        </w:rPr>
        <w:t xml:space="preserve"> Device) jest jednym z elementów obwodu. Pilnuje sytuacji</w:t>
      </w:r>
      <w:r w:rsidR="00D15311">
        <w:rPr>
          <w:rFonts w:ascii="Times New Roman" w:hAnsi="Times New Roman" w:cs="Times New Roman"/>
          <w:sz w:val="26"/>
          <w:szCs w:val="26"/>
        </w:rPr>
        <w:t xml:space="preserve"> </w:t>
      </w:r>
      <w:r w:rsidRPr="006008F1">
        <w:rPr>
          <w:rFonts w:ascii="Times New Roman" w:hAnsi="Times New Roman" w:cs="Times New Roman"/>
          <w:sz w:val="26"/>
          <w:szCs w:val="26"/>
        </w:rPr>
        <w:t>jednoczesnego mocnego hamowania i poboru mocy co najmniej 5 kW przez silniki, np. przy zakleszczonym pedale przyspieszenia. Jeśli taki stan trwa dłużej niż 500 ms, BSPD otwiera SDC, co odłącza akumulator i silniki przestają napędzać bolid. BSPD sam nie odłącza napięcia, tylko przerywa pętlę, a resztę robi konstrukcja SDC.</w:t>
      </w:r>
    </w:p>
    <w:p w14:paraId="72B86F2E" w14:textId="77777777" w:rsidR="002747A7" w:rsidRPr="006008F1" w:rsidRDefault="002747A7" w:rsidP="006008F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008F1">
        <w:rPr>
          <w:rFonts w:ascii="Times New Roman" w:hAnsi="Times New Roman" w:cs="Times New Roman"/>
          <w:b/>
          <w:bCs/>
          <w:sz w:val="32"/>
          <w:szCs w:val="32"/>
        </w:rPr>
        <w:t>Podsumowanie</w:t>
      </w:r>
    </w:p>
    <w:p w14:paraId="4C076785" w14:textId="4F2412E8" w:rsidR="002747A7" w:rsidRPr="006008F1" w:rsidRDefault="002747A7" w:rsidP="006008F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08F1">
        <w:rPr>
          <w:rFonts w:ascii="Times New Roman" w:hAnsi="Times New Roman" w:cs="Times New Roman"/>
          <w:sz w:val="26"/>
          <w:szCs w:val="26"/>
        </w:rPr>
        <w:t xml:space="preserve"> SDC</w:t>
      </w:r>
      <w:r w:rsidR="00D15311">
        <w:rPr>
          <w:rFonts w:ascii="Times New Roman" w:hAnsi="Times New Roman" w:cs="Times New Roman"/>
          <w:sz w:val="26"/>
          <w:szCs w:val="26"/>
        </w:rPr>
        <w:t xml:space="preserve"> </w:t>
      </w:r>
      <w:r w:rsidRPr="006008F1">
        <w:rPr>
          <w:rFonts w:ascii="Times New Roman" w:hAnsi="Times New Roman" w:cs="Times New Roman"/>
          <w:sz w:val="26"/>
          <w:szCs w:val="26"/>
        </w:rPr>
        <w:t>jest szeregową pętlą, w której każda nieprawidłowość, a nawet utrata zasilania, rozłącza obwód zasilania cewek AIR, a ponieważ elementy nadzorcze działają bez oprogramowania i przez własne stopnie mocy, odłączenie akumulatora jest szybkie, pewne i niezależne od reszty bolidu.</w:t>
      </w:r>
    </w:p>
    <w:p w14:paraId="283DB0A8" w14:textId="175D1F86" w:rsidR="002747A7" w:rsidRPr="006008F1" w:rsidRDefault="002747A7" w:rsidP="006008F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08F1">
        <w:rPr>
          <w:rFonts w:ascii="Times New Roman" w:hAnsi="Times New Roman" w:cs="Times New Roman"/>
          <w:sz w:val="26"/>
          <w:szCs w:val="26"/>
        </w:rPr>
        <w:t>Bez SDC bolid nie miałby żadnego niezależnego sposobu odcięcia wysokiego napięcia. Oznacza to, że w razie awarii (zakleszczony pedał, uszkodzona izolacja, przegrzanie akumulatora, wypadek) układ napędowy pozostawałby pod napięciem, co grozi porażeniem prądem, pożarem akumulatora, niekontrolowanym ruchem bolidu i zniszczeniem sprzętu. SDC zapewnia, że każda awaria i zanik zasilania prowadzą do odłączenia akumulatora.</w:t>
      </w:r>
    </w:p>
    <w:sectPr w:rsidR="002747A7" w:rsidRPr="00600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459E"/>
    <w:multiLevelType w:val="hybridMultilevel"/>
    <w:tmpl w:val="12640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32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2B"/>
    <w:rsid w:val="00072967"/>
    <w:rsid w:val="00135D1D"/>
    <w:rsid w:val="002747A7"/>
    <w:rsid w:val="0036580C"/>
    <w:rsid w:val="003C3703"/>
    <w:rsid w:val="003F43DB"/>
    <w:rsid w:val="004E3308"/>
    <w:rsid w:val="005B6B2B"/>
    <w:rsid w:val="006008F1"/>
    <w:rsid w:val="00751316"/>
    <w:rsid w:val="007E44CA"/>
    <w:rsid w:val="007F5FE7"/>
    <w:rsid w:val="00920D45"/>
    <w:rsid w:val="00BC5012"/>
    <w:rsid w:val="00C9705B"/>
    <w:rsid w:val="00D15311"/>
    <w:rsid w:val="00F9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EEF4D"/>
  <w15:chartTrackingRefBased/>
  <w15:docId w15:val="{53D1F45B-7AF5-46E3-911A-C4274629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6B2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6B2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6B2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6B2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6B2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6B2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6B2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6B2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6B2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6B2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262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Wieczorek (261293)</dc:creator>
  <cp:keywords/>
  <dc:description/>
  <cp:lastModifiedBy>Maksymilian Wieczorek</cp:lastModifiedBy>
  <cp:revision>4</cp:revision>
  <dcterms:created xsi:type="dcterms:W3CDTF">2026-10-14T17:07:00Z</dcterms:created>
  <dcterms:modified xsi:type="dcterms:W3CDTF">2026-10-15T17:08:00Z</dcterms:modified>
</cp:coreProperties>
</file>