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eastAsia="Arial" w:cs="Arial"/>
        </w:rPr>
        <w:t>Melbourne Airbnb Market Screening</w:t>
      </w:r>
    </w:p>
    <w:p>
      <w:pPr>
        <w:widowControl/>
        <w:spacing w:after="120" w:line="259" w:lineRule="auto"/>
        <w:jc w:val="left"/>
      </w:pPr>
      <w:r>
        <w:rPr>
          <w:rFonts w:ascii="Arial" w:hAnsi="Arial" w:eastAsia="Arial" w:cs="Arial"/>
          <w:b/>
        </w:rPr>
        <w:t>CMCE30005 Final Project Report | Group 2</w:t>
      </w:r>
    </w:p>
    <w:p>
      <w:pPr>
        <w:widowControl/>
        <w:spacing w:after="120" w:line="259" w:lineRule="auto"/>
        <w:jc w:val="left"/>
      </w:pPr>
      <w:r>
        <w:rPr>
          <w:rFonts w:ascii="Arial" w:hAnsi="Arial" w:eastAsia="Arial" w:cs="Arial"/>
          <w:b/>
        </w:rPr>
        <w:t>Eric Huang and Maksym Xu</w:t>
      </w:r>
    </w:p>
    <w:p>
      <w:pPr>
        <w:widowControl/>
        <w:spacing w:after="120" w:line="259" w:lineRule="auto"/>
        <w:jc w:val="left"/>
      </w:pPr>
      <w:r>
        <w:rPr>
          <w:rFonts w:ascii="Arial" w:hAnsi="Arial" w:eastAsia="Arial" w:cs="Arial"/>
          <w:b/>
        </w:rPr>
        <w:t>Project repository:</w:t>
      </w:r>
      <w:r>
        <w:rPr>
          <w:rFonts w:ascii="Arial" w:hAnsi="Arial" w:eastAsia="Arial" w:cs="Arial"/>
        </w:rPr>
        <w:t xml:space="preserve"> </w:t>
      </w:r>
      <w:hyperlink r:id="rId13">
        <w:r>
          <w:rPr>
            <w:rFonts w:ascii="Arial" w:hAnsi="Arial" w:eastAsia="Arial" w:cs="Arial"/>
            <w:color w:val="0563C1"/>
            <w:u w:val="single"/>
          </w:rPr>
          <w:t xml:space="preserve">https://github.com/maksym-xu/CMCE30005-TheNextChapter/tree/main</w:t>
        </w:r>
      </w:hyperlink>
    </w:p>
    <w:p>
      <w:pPr>
        <w:pStyle w:val="Heading1"/>
        <w:keepNext/>
        <w:pageBreakBefore w:val="0"/>
      </w:pPr>
      <w:r>
        <w:rPr>
          <w:rFonts w:ascii="Arial" w:hAnsi="Arial" w:eastAsia="Arial" w:cs="Arial"/>
        </w:rPr>
        <w:t>1. Introduction</w:t>
      </w:r>
    </w:p>
    <w:p>
      <w:pPr>
        <w:widowControl/>
        <w:spacing w:after="120" w:line="259" w:lineRule="auto"/>
        <w:jc w:val="left"/>
      </w:pPr>
      <w:r>
        <w:rPr>
          <w:rFonts w:ascii="Arial" w:hAnsi="Arial" w:eastAsia="Arial" w:cs="Arial"/>
        </w:rPr>
        <w:t>Our client plans to lease Melbourne homes and let them on Airbnb as short stays (rent-to-rent). Rent and setup costs come before any guest income, so a poor lease ties up scarce funds. Our main answers are:</w:t>
      </w:r>
    </w:p>
    <w:p>
      <w:pPr>
        <w:pStyle w:val="ListBullet"/>
        <w:widowControl/>
        <w:spacing w:after="80" w:line="259" w:lineRule="auto"/>
        <w:jc w:val="left"/>
      </w:pPr>
      <w:r>
        <w:rPr>
          <w:rFonts w:ascii="Arial" w:hAnsi="Arial" w:eastAsia="Arial" w:cs="Arial"/>
          <w:b/>
        </w:rPr>
        <w:t>Where:</w:t>
      </w:r>
      <w:r>
        <w:rPr>
          <w:rFonts w:ascii="Arial" w:hAnsi="Arial" w:eastAsia="Arial" w:cs="Arial"/>
        </w:rPr>
        <w:t xml:space="preserve"> City of Melbourne two- and three-bedroom apartments, then Yarra Ranges three-bedroom houses. These groups had the highest shares of busy homes (30 or more reviews a year, about 180 booked nights).</w:t>
      </w:r>
    </w:p>
    <w:p>
      <w:pPr>
        <w:pStyle w:val="ListBullet"/>
        <w:widowControl/>
        <w:spacing w:after="80" w:line="259" w:lineRule="auto"/>
        <w:jc w:val="left"/>
      </w:pPr>
      <w:r>
        <w:rPr>
          <w:rFonts w:ascii="Arial" w:hAnsi="Arial" w:eastAsia="Arial" w:cs="Arial"/>
          <w:b/>
        </w:rPr>
        <w:t>Which homes:</w:t>
      </w:r>
      <w:r>
        <w:rPr>
          <w:rFonts w:ascii="Arial" w:hAnsi="Arial" w:eastAsia="Arial" w:cs="Arial"/>
        </w:rPr>
        <w:t xml:space="preserve"> those that can take one-night stays at a price at or below similar listings. Half of such homes were busy, against a third of all homes in these groups.</w:t>
      </w:r>
    </w:p>
    <w:p>
      <w:pPr>
        <w:pStyle w:val="ListBullet"/>
        <w:widowControl/>
        <w:spacing w:after="80" w:line="259" w:lineRule="auto"/>
        <w:jc w:val="left"/>
      </w:pPr>
      <w:r>
        <w:rPr>
          <w:rFonts w:ascii="Arial" w:hAnsi="Arial" w:eastAsia="Arial" w:cs="Arial"/>
          <w:b/>
        </w:rPr>
        <w:t>Which leases:</w:t>
      </w:r>
      <w:r>
        <w:rPr>
          <w:rFonts w:ascii="Arial" w:hAnsi="Arial" w:eastAsia="Arial" w:cs="Arial"/>
        </w:rPr>
        <w:t xml:space="preserve"> only those whose weekly costs sit below the group's typical weekly revenue (AUD 590–930).</w:t>
      </w:r>
    </w:p>
    <w:p>
      <w:pPr>
        <w:pStyle w:val="Heading1"/>
        <w:keepNext/>
        <w:pageBreakBefore w:val="0"/>
      </w:pPr>
      <w:r>
        <w:rPr>
          <w:rFonts w:ascii="Arial" w:hAnsi="Arial" w:eastAsia="Arial" w:cs="Arial"/>
        </w:rPr>
        <w:t>2. Problem Definition and Objectives</w:t>
      </w:r>
    </w:p>
    <w:p>
      <w:pPr>
        <w:widowControl/>
        <w:spacing w:after="120" w:line="259" w:lineRule="auto"/>
        <w:jc w:val="left"/>
      </w:pPr>
      <w:r>
        <w:rPr>
          <w:rFonts w:ascii="Arial" w:hAnsi="Arial" w:eastAsia="Arial" w:cs="Arial"/>
        </w:rPr>
        <w:t xml:space="preserve">The business question is: </w:t>
      </w:r>
      <w:r>
        <w:rPr>
          <w:rFonts w:ascii="Arial" w:hAnsi="Arial" w:eastAsia="Arial" w:cs="Arial"/>
          <w:b/>
        </w:rPr>
        <w:t>where should a rent-to-rent operator with limited funds search, and which homes should it inspect first?</w:t>
      </w:r>
      <w:r>
        <w:rPr>
          <w:rFonts w:ascii="Arial" w:hAnsi="Arial" w:eastAsia="Arial" w:cs="Arial"/>
        </w:rPr>
        <w:t xml:space="preserve"> We set three objectives:</w:t>
      </w:r>
    </w:p>
    <w:p>
      <w:pPr>
        <w:widowControl/>
        <w:spacing w:after="80" w:line="259" w:lineRule="auto"/>
        <w:ind w:left="432" w:hanging="432"/>
        <w:jc w:val="left"/>
      </w:pPr>
      <w:r>
        <w:rPr>
          <w:rFonts w:ascii="Arial" w:hAnsi="Arial" w:eastAsia="Arial" w:cs="Arial"/>
        </w:rPr>
        <w:t>1.</w:t>
        <w:tab/>
      </w:r>
      <w:r>
        <w:rPr>
          <w:rFonts w:ascii="Arial" w:hAnsi="Arial" w:eastAsia="Arial" w:cs="Arial"/>
        </w:rPr>
        <w:t>Rank property groups by their share of busy homes, and express this in nights and revenue.</w:t>
      </w:r>
    </w:p>
    <w:p>
      <w:pPr>
        <w:widowControl/>
        <w:spacing w:after="80" w:line="259" w:lineRule="auto"/>
        <w:ind w:left="432" w:hanging="432"/>
        <w:jc w:val="left"/>
      </w:pPr>
      <w:r>
        <w:rPr>
          <w:rFonts w:ascii="Arial" w:hAnsi="Arial" w:eastAsia="Arial" w:cs="Arial"/>
        </w:rPr>
        <w:t>2.</w:t>
        <w:tab/>
      </w:r>
      <w:r>
        <w:rPr>
          <w:rFonts w:ascii="Arial" w:hAnsi="Arial" w:eastAsia="Arial" w:cs="Arial"/>
        </w:rPr>
        <w:t>Find which home settings go with being busy, and whether they help choose homes within the leading groups.</w:t>
      </w:r>
    </w:p>
    <w:p>
      <w:pPr>
        <w:widowControl/>
        <w:spacing w:after="80" w:line="259" w:lineRule="auto"/>
        <w:ind w:left="432" w:hanging="432"/>
        <w:jc w:val="left"/>
      </w:pPr>
      <w:r>
        <w:rPr>
          <w:rFonts w:ascii="Arial" w:hAnsi="Arial" w:eastAsia="Arial" w:cs="Arial"/>
        </w:rPr>
        <w:t>3.</w:t>
        <w:tab/>
      </w:r>
      <w:r>
        <w:rPr>
          <w:rFonts w:ascii="Arial" w:hAnsi="Arial" w:eastAsia="Arial" w:cs="Arial"/>
        </w:rPr>
        <w:t>Turn the results into a search order, a checklist and a four-week inspection plan.</w:t>
      </w:r>
    </w:p>
    <w:p>
      <w:pPr>
        <w:widowControl/>
        <w:spacing w:after="120" w:line="259" w:lineRule="auto"/>
        <w:jc w:val="left"/>
      </w:pPr>
      <w:r>
        <w:rPr>
          <w:rFonts w:ascii="Arial" w:hAnsi="Arial" w:eastAsia="Arial" w:cs="Arial"/>
        </w:rPr>
        <w:t xml:space="preserve">A </w:t>
      </w:r>
      <w:r>
        <w:rPr>
          <w:rFonts w:ascii="Arial" w:hAnsi="Arial" w:eastAsia="Arial" w:cs="Arial"/>
          <w:b/>
        </w:rPr>
        <w:t>group</w:t>
      </w:r>
      <w:r>
        <w:rPr>
          <w:rFonts w:ascii="Arial" w:hAnsi="Arial" w:eastAsia="Arial" w:cs="Arial"/>
        </w:rPr>
        <w:t xml:space="preserve"> combines council area, dwelling type and bedroom count. A home is </w:t>
      </w:r>
      <w:r>
        <w:rPr>
          <w:rFonts w:ascii="Arial" w:hAnsi="Arial" w:eastAsia="Arial" w:cs="Arial"/>
          <w:b/>
        </w:rPr>
        <w:t>busy</w:t>
      </w:r>
      <w:r>
        <w:rPr>
          <w:rFonts w:ascii="Arial" w:hAnsi="Arial" w:eastAsia="Arial" w:cs="Arial"/>
        </w:rPr>
        <w:t xml:space="preserve"> if it received at least 30 guest reviews in the year before data collection. Inside Airbnb (n.d.) assumes half of stays are reviewed, so with three-night stays, 30 reviews means about 180 booked nights, roughly half the year.</w:t>
      </w:r>
    </w:p>
    <w:p>
      <w:pPr>
        <w:widowControl/>
        <w:spacing w:after="120" w:line="259" w:lineRule="auto"/>
        <w:jc w:val="left"/>
      </w:pPr>
      <w:r>
        <w:rPr>
          <w:rFonts w:ascii="Arial" w:hAnsi="Arial" w:eastAsia="Arial" w:cs="Arial"/>
          <w:b/>
        </w:rPr>
        <w:t>Why reviews?</w:t>
      </w:r>
      <w:r>
        <w:rPr>
          <w:rFonts w:ascii="Arial" w:hAnsi="Arial" w:eastAsia="Arial" w:cs="Arial"/>
        </w:rPr>
        <w:t xml:space="preserve"> Empty nights are the operator's main risk. Review counts are an indirect record of past guest activity and a public indicator of demand. Turning them into booked nights needs assumptions about review rates and stay length, and shorter stays bring more reviews for the same nights. Review counts show neither profit (rents and costs are not in the data) nor satisfaction, so we translate them into nights and revenue and check guest ratings and review text (Section 5.1).</w:t>
      </w:r>
    </w:p>
    <w:p>
      <w:pPr>
        <w:widowControl/>
        <w:spacing w:after="120" w:line="259" w:lineRule="auto"/>
        <w:jc w:val="left"/>
      </w:pPr>
      <w:r>
        <w:rPr>
          <w:rFonts w:ascii="Arial" w:hAnsi="Arial" w:eastAsia="Arial" w:cs="Arial"/>
        </w:rPr>
        <w:t>Since the interim report (in the repository), we replaced its random forest with one explainable logistic regression and moved technical checks to Appendix A.</w:t>
      </w:r>
    </w:p>
    <w:p>
      <w:pPr>
        <w:pStyle w:val="Heading1"/>
        <w:keepNext/>
        <w:pageBreakBefore w:val="0"/>
      </w:pPr>
      <w:r>
        <w:rPr>
          <w:rFonts w:ascii="Arial" w:hAnsi="Arial" w:eastAsia="Arial" w:cs="Arial"/>
        </w:rPr>
        <w:t>3. Data Description and Preparation</w:t>
      </w:r>
    </w:p>
    <w:p>
      <w:pPr>
        <w:widowControl/>
        <w:spacing w:after="120" w:line="259" w:lineRule="auto"/>
        <w:jc w:val="left"/>
      </w:pPr>
      <w:r>
        <w:rPr>
          <w:rFonts w:ascii="Arial" w:hAnsi="Arial" w:eastAsia="Arial" w:cs="Arial"/>
        </w:rPr>
        <w:t>We use one Inside Airbnb snapshot of Melbourne, supplied through the subject LMS and collected 17 June–1 July 2026 (Inside Airbnb, 2026). It holds 25,728 listings and 1,026,690 dated reviews. We did not use the calendar, because it cannot separate bookings from nights the host blocked.</w:t>
      </w:r>
    </w:p>
    <w:p>
      <w:pPr>
        <w:widowControl/>
        <w:spacing w:after="120" w:line="259" w:lineRule="auto"/>
        <w:jc w:val="left"/>
      </w:pPr>
      <w:r>
        <w:rPr>
          <w:rFonts w:ascii="Arial" w:hAnsi="Arial" w:eastAsia="Arial" w:cs="Arial"/>
        </w:rPr>
        <w:t>Cleaning converted prices to numbers, standardized missing entries, counted amenities and rebuilt each home's annual review count from review dates. Price is missing for 6,553 listings (25%) and bedrooms for 4,679 (18%); 4,477 listings (17%) have never been reviewed.</w:t>
      </w:r>
    </w:p>
    <w:p>
      <w:pPr>
        <w:widowControl/>
        <w:spacing w:after="120" w:line="259" w:lineRule="auto"/>
        <w:jc w:val="left"/>
      </w:pPr>
      <w:r>
        <w:rPr>
          <w:rFonts w:ascii="Arial" w:hAnsi="Arial" w:eastAsia="Arial" w:cs="Arial"/>
        </w:rPr>
        <w:t>We kept homes a small operator could lease (Table 1):</w:t>
      </w:r>
    </w:p>
    <w:p>
      <w:pPr>
        <w:pStyle w:val="ListBullet"/>
        <w:widowControl/>
        <w:spacing w:after="80" w:line="259" w:lineRule="auto"/>
        <w:jc w:val="left"/>
      </w:pPr>
      <w:r>
        <w:rPr>
          <w:rFonts w:ascii="Arial" w:hAnsi="Arial" w:eastAsia="Arial" w:cs="Arial"/>
        </w:rPr>
        <w:t>entire apartments, houses or townhouses with one to three bedrooms;</w:t>
      </w:r>
    </w:p>
    <w:p>
      <w:pPr>
        <w:pStyle w:val="ListBullet"/>
        <w:widowControl/>
        <w:spacing w:after="80" w:line="259" w:lineRule="auto"/>
        <w:jc w:val="left"/>
      </w:pPr>
      <w:r>
        <w:rPr>
          <w:rFonts w:ascii="Arial" w:hAnsi="Arial" w:eastAsia="Arial" w:cs="Arial"/>
        </w:rPr>
        <w:t>prices of AUD 30–1,500, since unpriced and extreme listings are mostly inactive: 77.8% of those removed had no review in the past year, against 17.0% of those kept;</w:t>
      </w:r>
    </w:p>
    <w:p>
      <w:pPr>
        <w:pStyle w:val="ListBullet"/>
        <w:widowControl/>
        <w:spacing w:after="80" w:line="259" w:lineRule="auto"/>
        <w:jc w:val="left"/>
      </w:pPr>
      <w:r>
        <w:rPr>
          <w:rFonts w:ascii="Arial" w:hAnsi="Arial" w:eastAsia="Arial" w:cs="Arial"/>
        </w:rPr>
        <w:t>a first review at least a year before collection, so each home has a full year of reviews;</w:t>
      </w:r>
    </w:p>
    <w:p>
      <w:pPr>
        <w:pStyle w:val="ListBullet"/>
        <w:widowControl/>
        <w:spacing w:after="80" w:line="259" w:lineRule="auto"/>
        <w:jc w:val="left"/>
      </w:pPr>
      <w:r>
        <w:rPr>
          <w:rFonts w:ascii="Arial" w:hAnsi="Arial" w:eastAsia="Arial" w:cs="Arial"/>
        </w:rPr>
        <w:t>groups of at least 50 homes, so each group's share rests on enough homes.</w:t>
      </w:r>
    </w:p>
    <w:p>
      <w:pPr>
        <w:widowControl/>
        <w:spacing w:after="120" w:line="259" w:lineRule="auto"/>
        <w:jc w:val="left"/>
      </w:pPr>
      <w:r>
        <w:rPr>
          <w:rFonts w:ascii="Arial" w:hAnsi="Arial" w:eastAsia="Arial" w:cs="Arial"/>
        </w:rPr>
        <w:t>To avoid setting the target with the same homes we compare, we first set aside one host in five (1,342 homes). Within our 14 groups, the busiest quarter of these set-aside homes had 30 or more reviews, so 30 became the target. The final sample has 3,873 homes, 1,726 hosts and 14 groups in six council areas.</w:t>
      </w:r>
    </w:p>
    <w:p>
      <w:pPr>
        <w:keepNext/>
        <w:widowControl/>
        <w:spacing w:after="80" w:before="80" w:line="259" w:lineRule="auto"/>
        <w:jc w:val="left"/>
      </w:pPr>
      <w:r>
        <w:rPr>
          <w:rFonts w:ascii="Arial" w:hAnsi="Arial" w:eastAsia="Arial" w:cs="Arial"/>
          <w:b/>
        </w:rPr>
        <w:t>Table 1. From supplied listings to analysis sample</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8156"/>
        <w:gridCol w:w="1709"/>
      </w:tblGrid>
      <w:tr>
        <w:trPr>
          <w:cantSplit/>
          <w:tblHeader/>
        </w:trPr>
        <w:tc>
          <w:tcPr>
            <w:tcW w:type="dxa" w:w="8156"/>
            <w:vAlign w:val="center"/>
            <w:shd w:val="clear" w:color="auto" w:fill="E9EEF3"/>
          </w:tcPr>
          <w:p>
            <w:pPr>
              <w:keepNext/>
              <w:spacing w:before="40" w:after="40" w:line="240" w:lineRule="auto"/>
              <w:jc w:val="left"/>
            </w:pPr>
            <w:r>
              <w:rPr>
                <w:rFonts w:ascii="Arial" w:hAnsi="Arial" w:eastAsia="Arial" w:cs="Arial"/>
                <w:b/>
                <w:sz w:val="21"/>
              </w:rPr>
              <w:t>Step</w:t>
            </w:r>
          </w:p>
        </w:tc>
        <w:tc>
          <w:tcPr>
            <w:tcW w:type="dxa" w:w="1709"/>
            <w:vAlign w:val="center"/>
            <w:shd w:val="clear" w:color="auto" w:fill="E9EEF3"/>
          </w:tcPr>
          <w:p>
            <w:pPr>
              <w:keepNext/>
              <w:spacing w:before="40" w:after="40" w:line="240" w:lineRule="auto"/>
              <w:jc w:val="left"/>
            </w:pPr>
            <w:r>
              <w:rPr>
                <w:rFonts w:ascii="Arial" w:hAnsi="Arial" w:eastAsia="Arial" w:cs="Arial"/>
                <w:b/>
                <w:sz w:val="21"/>
              </w:rPr>
              <w:t>Homes</w:t>
            </w:r>
          </w:p>
        </w:tc>
      </w:tr>
      <w:tr>
        <w:trPr>
          <w:cantSplit/>
        </w:trPr>
        <w:tc>
          <w:tcPr>
            <w:tcW w:type="dxa" w:w="8156"/>
            <w:vAlign w:val="center"/>
            <w:shd w:val="clear" w:color="auto" w:fill="FFFFFF"/>
          </w:tcPr>
          <w:p>
            <w:pPr>
              <w:keepNext/>
              <w:spacing w:before="40" w:after="40" w:line="240" w:lineRule="auto"/>
              <w:jc w:val="left"/>
            </w:pPr>
            <w:r>
              <w:rPr>
                <w:rFonts w:ascii="Arial" w:hAnsi="Arial" w:eastAsia="Arial" w:cs="Arial"/>
                <w:sz w:val="21"/>
              </w:rPr>
              <w:t>All listings</w:t>
            </w:r>
          </w:p>
        </w:tc>
        <w:tc>
          <w:tcPr>
            <w:tcW w:type="dxa" w:w="1709"/>
            <w:vAlign w:val="center"/>
            <w:shd w:val="clear" w:color="auto" w:fill="FFFFFF"/>
          </w:tcPr>
          <w:p>
            <w:pPr>
              <w:keepNext/>
              <w:spacing w:before="40" w:after="40" w:line="240" w:lineRule="auto"/>
              <w:jc w:val="right"/>
            </w:pPr>
            <w:r>
              <w:rPr>
                <w:rFonts w:ascii="Arial" w:hAnsi="Arial" w:eastAsia="Arial" w:cs="Arial"/>
                <w:sz w:val="21"/>
              </w:rPr>
              <w:t>25,728</w:t>
            </w:r>
          </w:p>
        </w:tc>
      </w:tr>
      <w:tr>
        <w:trPr>
          <w:cantSplit/>
        </w:trPr>
        <w:tc>
          <w:tcPr>
            <w:tcW w:type="dxa" w:w="8156"/>
            <w:vAlign w:val="center"/>
            <w:shd w:val="clear" w:color="auto" w:fill="FFFFFF"/>
          </w:tcPr>
          <w:p>
            <w:pPr>
              <w:keepNext/>
              <w:spacing w:before="40" w:after="40" w:line="240" w:lineRule="auto"/>
              <w:jc w:val="left"/>
            </w:pPr>
            <w:r>
              <w:rPr>
                <w:rFonts w:ascii="Arial" w:hAnsi="Arial" w:eastAsia="Arial" w:cs="Arial"/>
                <w:sz w:val="21"/>
              </w:rPr>
              <w:t>Entire homes with one to three bedrooms</w:t>
            </w:r>
          </w:p>
        </w:tc>
        <w:tc>
          <w:tcPr>
            <w:tcW w:type="dxa" w:w="1709"/>
            <w:vAlign w:val="center"/>
            <w:shd w:val="clear" w:color="auto" w:fill="FFFFFF"/>
          </w:tcPr>
          <w:p>
            <w:pPr>
              <w:keepNext/>
              <w:spacing w:before="40" w:after="40" w:line="240" w:lineRule="auto"/>
              <w:jc w:val="right"/>
            </w:pPr>
            <w:r>
              <w:rPr>
                <w:rFonts w:ascii="Arial" w:hAnsi="Arial" w:eastAsia="Arial" w:cs="Arial"/>
                <w:sz w:val="21"/>
              </w:rPr>
              <w:t>16,576</w:t>
            </w:r>
          </w:p>
        </w:tc>
      </w:tr>
      <w:tr>
        <w:trPr>
          <w:cantSplit/>
        </w:trPr>
        <w:tc>
          <w:tcPr>
            <w:tcW w:type="dxa" w:w="8156"/>
            <w:vAlign w:val="center"/>
            <w:shd w:val="clear" w:color="auto" w:fill="FFFFFF"/>
          </w:tcPr>
          <w:p>
            <w:pPr>
              <w:keepNext/>
              <w:spacing w:before="40" w:after="40" w:line="240" w:lineRule="auto"/>
              <w:jc w:val="left"/>
            </w:pPr>
            <w:r>
              <w:rPr>
                <w:rFonts w:ascii="Arial" w:hAnsi="Arial" w:eastAsia="Arial" w:cs="Arial"/>
                <w:sz w:val="21"/>
              </w:rPr>
              <w:t>Apartments, condos, houses and townhouses</w:t>
            </w:r>
          </w:p>
        </w:tc>
        <w:tc>
          <w:tcPr>
            <w:tcW w:type="dxa" w:w="1709"/>
            <w:vAlign w:val="center"/>
            <w:shd w:val="clear" w:color="auto" w:fill="FFFFFF"/>
          </w:tcPr>
          <w:p>
            <w:pPr>
              <w:keepNext/>
              <w:spacing w:before="40" w:after="40" w:line="240" w:lineRule="auto"/>
              <w:jc w:val="right"/>
            </w:pPr>
            <w:r>
              <w:rPr>
                <w:rFonts w:ascii="Arial" w:hAnsi="Arial" w:eastAsia="Arial" w:cs="Arial"/>
                <w:sz w:val="21"/>
              </w:rPr>
              <w:t>14,895</w:t>
            </w:r>
          </w:p>
        </w:tc>
      </w:tr>
      <w:tr>
        <w:trPr>
          <w:cantSplit/>
        </w:trPr>
        <w:tc>
          <w:tcPr>
            <w:tcW w:type="dxa" w:w="8156"/>
            <w:vAlign w:val="center"/>
            <w:shd w:val="clear" w:color="auto" w:fill="FFFFFF"/>
          </w:tcPr>
          <w:p>
            <w:pPr>
              <w:keepNext/>
              <w:spacing w:before="40" w:after="40" w:line="240" w:lineRule="auto"/>
              <w:jc w:val="left"/>
            </w:pPr>
            <w:r>
              <w:rPr>
                <w:rFonts w:ascii="Arial" w:hAnsi="Arial" w:eastAsia="Arial" w:cs="Arial"/>
                <w:sz w:val="21"/>
              </w:rPr>
              <w:t>Priced AUD 30–1,500</w:t>
            </w:r>
          </w:p>
        </w:tc>
        <w:tc>
          <w:tcPr>
            <w:tcW w:type="dxa" w:w="1709"/>
            <w:vAlign w:val="center"/>
            <w:shd w:val="clear" w:color="auto" w:fill="FFFFFF"/>
          </w:tcPr>
          <w:p>
            <w:pPr>
              <w:keepNext/>
              <w:spacing w:before="40" w:after="40" w:line="240" w:lineRule="auto"/>
              <w:jc w:val="right"/>
            </w:pPr>
            <w:r>
              <w:rPr>
                <w:rFonts w:ascii="Arial" w:hAnsi="Arial" w:eastAsia="Arial" w:cs="Arial"/>
                <w:sz w:val="21"/>
              </w:rPr>
              <w:t>11,099</w:t>
            </w:r>
          </w:p>
        </w:tc>
      </w:tr>
      <w:tr>
        <w:trPr>
          <w:cantSplit/>
        </w:trPr>
        <w:tc>
          <w:tcPr>
            <w:tcW w:type="dxa" w:w="8156"/>
            <w:vAlign w:val="center"/>
            <w:shd w:val="clear" w:color="auto" w:fill="FFFFFF"/>
          </w:tcPr>
          <w:p>
            <w:pPr>
              <w:keepNext/>
              <w:spacing w:before="40" w:after="40" w:line="240" w:lineRule="auto"/>
              <w:jc w:val="left"/>
            </w:pPr>
            <w:r>
              <w:rPr>
                <w:rFonts w:ascii="Arial" w:hAnsi="Arial" w:eastAsia="Arial" w:cs="Arial"/>
                <w:sz w:val="21"/>
              </w:rPr>
              <w:t>First review at least a year before collection</w:t>
            </w:r>
          </w:p>
        </w:tc>
        <w:tc>
          <w:tcPr>
            <w:tcW w:type="dxa" w:w="1709"/>
            <w:vAlign w:val="center"/>
            <w:shd w:val="clear" w:color="auto" w:fill="FFFFFF"/>
          </w:tcPr>
          <w:p>
            <w:pPr>
              <w:keepNext/>
              <w:spacing w:before="40" w:after="40" w:line="240" w:lineRule="auto"/>
              <w:jc w:val="right"/>
            </w:pPr>
            <w:r>
              <w:rPr>
                <w:rFonts w:ascii="Arial" w:hAnsi="Arial" w:eastAsia="Arial" w:cs="Arial"/>
                <w:sz w:val="21"/>
              </w:rPr>
              <w:t>6,891</w:t>
            </w:r>
          </w:p>
        </w:tc>
      </w:tr>
      <w:tr>
        <w:trPr>
          <w:cantSplit/>
        </w:trPr>
        <w:tc>
          <w:tcPr>
            <w:tcW w:type="dxa" w:w="8156"/>
            <w:vAlign w:val="center"/>
            <w:shd w:val="clear" w:color="auto" w:fill="FFFFFF"/>
          </w:tcPr>
          <w:p>
            <w:pPr>
              <w:keepNext/>
              <w:spacing w:before="40" w:after="40" w:line="240" w:lineRule="auto"/>
              <w:jc w:val="left"/>
            </w:pPr>
            <w:r>
              <w:rPr>
                <w:rFonts w:ascii="Arial" w:hAnsi="Arial" w:eastAsia="Arial" w:cs="Arial"/>
                <w:sz w:val="21"/>
              </w:rPr>
              <w:t>After setting aside 1,342 reference-host homes</w:t>
            </w:r>
          </w:p>
        </w:tc>
        <w:tc>
          <w:tcPr>
            <w:tcW w:type="dxa" w:w="1709"/>
            <w:vAlign w:val="center"/>
            <w:shd w:val="clear" w:color="auto" w:fill="FFFFFF"/>
          </w:tcPr>
          <w:p>
            <w:pPr>
              <w:keepNext/>
              <w:spacing w:before="40" w:after="40" w:line="240" w:lineRule="auto"/>
              <w:jc w:val="right"/>
            </w:pPr>
            <w:r>
              <w:rPr>
                <w:rFonts w:ascii="Arial" w:hAnsi="Arial" w:eastAsia="Arial" w:cs="Arial"/>
                <w:sz w:val="21"/>
              </w:rPr>
              <w:t>5,549</w:t>
            </w:r>
          </w:p>
        </w:tc>
      </w:tr>
      <w:tr>
        <w:trPr>
          <w:cantSplit/>
        </w:trPr>
        <w:tc>
          <w:tcPr>
            <w:tcW w:type="dxa" w:w="8156"/>
            <w:vAlign w:val="center"/>
            <w:shd w:val="clear" w:color="auto" w:fill="FFFFFF"/>
          </w:tcPr>
          <w:p>
            <w:pPr>
              <w:spacing w:before="40" w:after="40" w:line="240" w:lineRule="auto"/>
              <w:jc w:val="left"/>
            </w:pPr>
            <w:r>
              <w:rPr>
                <w:rFonts w:ascii="Arial" w:hAnsi="Arial" w:eastAsia="Arial" w:cs="Arial"/>
                <w:b/>
                <w:sz w:val="21"/>
              </w:rPr>
              <w:t>Analysis sample: 14 groups with at least 50 homes</w:t>
            </w:r>
          </w:p>
        </w:tc>
        <w:tc>
          <w:tcPr>
            <w:tcW w:type="dxa" w:w="1709"/>
            <w:vAlign w:val="center"/>
            <w:shd w:val="clear" w:color="auto" w:fill="FFFFFF"/>
          </w:tcPr>
          <w:p>
            <w:pPr>
              <w:spacing w:before="40" w:after="40" w:line="240" w:lineRule="auto"/>
              <w:jc w:val="right"/>
            </w:pPr>
            <w:r>
              <w:rPr>
                <w:rFonts w:ascii="Arial" w:hAnsi="Arial" w:eastAsia="Arial" w:cs="Arial"/>
                <w:b/>
                <w:sz w:val="21"/>
              </w:rPr>
              <w:t>3,873</w:t>
            </w:r>
          </w:p>
        </w:tc>
      </w:tr>
    </w:tbl>
    <w:p>
      <w:pPr>
        <w:widowControl/>
        <w:spacing w:after="80" w:line="240" w:lineRule="auto"/>
        <w:jc w:val="left"/>
      </w:pPr>
    </w:p>
    <w:p>
      <w:pPr>
        <w:pStyle w:val="Heading1"/>
        <w:keepNext/>
        <w:pageBreakBefore w:val="0"/>
      </w:pPr>
      <w:r>
        <w:rPr>
          <w:rFonts w:ascii="Arial" w:hAnsi="Arial" w:eastAsia="Arial" w:cs="Arial"/>
        </w:rPr>
        <w:t>4. Methodology</w:t>
      </w:r>
    </w:p>
    <w:p>
      <w:pPr>
        <w:widowControl/>
        <w:spacing w:after="120" w:line="259" w:lineRule="auto"/>
        <w:jc w:val="left"/>
      </w:pPr>
      <w:r>
        <w:rPr>
          <w:rFonts w:ascii="Arial" w:hAnsi="Arial" w:eastAsia="Arial" w:cs="Arial"/>
          <w:b/>
        </w:rPr>
        <w:t>Descriptive (Objective 1).</w:t>
      </w:r>
      <w:r>
        <w:rPr>
          <w:rFonts w:ascii="Arial" w:hAnsi="Arial" w:eastAsia="Arial" w:cs="Arial"/>
        </w:rPr>
        <w:t xml:space="preserve"> A simple summary, not a model, ranks the 14 groups by their share of busy homes, adding Inside Airbnb's estimated nights and revenue.</w:t>
      </w:r>
    </w:p>
    <w:p>
      <w:pPr>
        <w:widowControl/>
        <w:spacing w:after="120" w:line="259" w:lineRule="auto"/>
        <w:jc w:val="left"/>
      </w:pPr>
      <w:r>
        <w:rPr>
          <w:rFonts w:ascii="Arial" w:hAnsi="Arial" w:eastAsia="Arial" w:cs="Arial"/>
          <w:b/>
        </w:rPr>
        <w:t>Predictive (Objective 2).</w:t>
      </w:r>
      <w:r>
        <w:rPr>
          <w:rFonts w:ascii="Arial" w:hAnsi="Arial" w:eastAsia="Arial" w:cs="Arial"/>
        </w:rPr>
        <w:t xml:space="preserve"> A logistic regression estimates each home's chance of being busy from six inputs, holding the others fixed (Table 2; R Core Team, 2026). This separates location from how a home is run. We then distil this into a simpler two-setting rule: one-night stays, and a price at or below the group median.</w:t>
      </w:r>
    </w:p>
    <w:p>
      <w:pPr>
        <w:keepNext/>
        <w:widowControl/>
        <w:spacing w:after="80" w:before="80" w:line="259" w:lineRule="auto"/>
        <w:jc w:val="left"/>
      </w:pPr>
      <w:r>
        <w:rPr>
          <w:rFonts w:ascii="Arial" w:hAnsi="Arial" w:eastAsia="Arial" w:cs="Arial"/>
          <w:b/>
        </w:rPr>
        <w:t>Table 2. Outcome and inputs of the model</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3593"/>
        <w:gridCol w:w="6272"/>
      </w:tblGrid>
      <w:tr>
        <w:trPr>
          <w:cantSplit/>
          <w:tblHeader/>
        </w:trPr>
        <w:tc>
          <w:tcPr>
            <w:tcW w:type="dxa" w:w="3593"/>
            <w:vAlign w:val="center"/>
            <w:shd w:val="clear" w:color="auto" w:fill="E9EEF3"/>
          </w:tcPr>
          <w:p>
            <w:pPr>
              <w:keepNext/>
              <w:spacing w:before="40" w:after="40" w:line="240" w:lineRule="auto"/>
              <w:jc w:val="left"/>
            </w:pPr>
            <w:r>
              <w:rPr>
                <w:rFonts w:ascii="Arial" w:hAnsi="Arial" w:eastAsia="Arial" w:cs="Arial"/>
                <w:b/>
                <w:sz w:val="21"/>
              </w:rPr>
              <w:t>Variable</w:t>
            </w:r>
          </w:p>
        </w:tc>
        <w:tc>
          <w:tcPr>
            <w:tcW w:type="dxa" w:w="6272"/>
            <w:vAlign w:val="center"/>
            <w:shd w:val="clear" w:color="auto" w:fill="E9EEF3"/>
          </w:tcPr>
          <w:p>
            <w:pPr>
              <w:keepNext/>
              <w:spacing w:before="40" w:after="40" w:line="240" w:lineRule="auto"/>
              <w:jc w:val="left"/>
            </w:pPr>
            <w:r>
              <w:rPr>
                <w:rFonts w:ascii="Arial" w:hAnsi="Arial" w:eastAsia="Arial" w:cs="Arial"/>
                <w:b/>
                <w:sz w:val="21"/>
              </w:rPr>
              <w:t>Definition</w:t>
            </w:r>
          </w:p>
        </w:tc>
      </w:tr>
      <w:tr>
        <w:trPr>
          <w:cantSplit/>
        </w:trPr>
        <w:tc>
          <w:tcPr>
            <w:tcW w:type="dxa" w:w="3593"/>
            <w:vAlign w:val="center"/>
            <w:shd w:val="clear" w:color="auto" w:fill="FFFFFF"/>
          </w:tcPr>
          <w:p>
            <w:pPr>
              <w:keepNext/>
              <w:spacing w:before="40" w:after="40" w:line="240" w:lineRule="auto"/>
              <w:jc w:val="left"/>
            </w:pPr>
            <w:r>
              <w:rPr>
                <w:rFonts w:ascii="Arial" w:hAnsi="Arial" w:eastAsia="Arial" w:cs="Arial"/>
                <w:b/>
                <w:sz w:val="21"/>
              </w:rPr>
              <w:t>Outcome</w:t>
            </w:r>
          </w:p>
        </w:tc>
        <w:tc>
          <w:tcPr>
            <w:tcW w:type="dxa" w:w="6272"/>
            <w:vAlign w:val="center"/>
            <w:shd w:val="clear" w:color="auto" w:fill="FFFFFF"/>
          </w:tcPr>
          <w:p>
            <w:pPr>
              <w:keepNext/>
              <w:spacing w:before="40" w:after="40" w:line="240" w:lineRule="auto"/>
              <w:jc w:val="left"/>
            </w:pPr>
            <w:r>
              <w:rPr>
                <w:rFonts w:ascii="Arial" w:hAnsi="Arial" w:eastAsia="Arial" w:cs="Arial"/>
                <w:sz w:val="21"/>
              </w:rPr>
              <w:t>1 if the home had at least 30 reviews in the year, otherwise 0</w:t>
            </w:r>
          </w:p>
        </w:tc>
      </w:tr>
      <w:tr>
        <w:trPr>
          <w:cantSplit/>
        </w:trPr>
        <w:tc>
          <w:tcPr>
            <w:tcW w:type="dxa" w:w="3593"/>
            <w:vAlign w:val="center"/>
            <w:shd w:val="clear" w:color="auto" w:fill="FFFFFF"/>
          </w:tcPr>
          <w:p>
            <w:pPr>
              <w:keepNext/>
              <w:spacing w:before="40" w:after="40" w:line="240" w:lineRule="auto"/>
              <w:jc w:val="left"/>
            </w:pPr>
            <w:r>
              <w:rPr>
                <w:rFonts w:ascii="Arial" w:hAnsi="Arial" w:eastAsia="Arial" w:cs="Arial"/>
                <w:sz w:val="21"/>
              </w:rPr>
              <w:t>Council area</w:t>
            </w:r>
          </w:p>
        </w:tc>
        <w:tc>
          <w:tcPr>
            <w:tcW w:type="dxa" w:w="6272"/>
            <w:vAlign w:val="center"/>
            <w:shd w:val="clear" w:color="auto" w:fill="FFFFFF"/>
          </w:tcPr>
          <w:p>
            <w:pPr>
              <w:keepNext/>
              <w:spacing w:before="40" w:after="40" w:line="240" w:lineRule="auto"/>
              <w:jc w:val="left"/>
            </w:pPr>
            <w:r>
              <w:rPr>
                <w:rFonts w:ascii="Arial" w:hAnsi="Arial" w:eastAsia="Arial" w:cs="Arial"/>
                <w:sz w:val="21"/>
              </w:rPr>
              <w:t>One of six</w:t>
            </w:r>
          </w:p>
        </w:tc>
      </w:tr>
      <w:tr>
        <w:trPr>
          <w:cantSplit/>
        </w:trPr>
        <w:tc>
          <w:tcPr>
            <w:tcW w:type="dxa" w:w="3593"/>
            <w:vAlign w:val="center"/>
            <w:shd w:val="clear" w:color="auto" w:fill="FFFFFF"/>
          </w:tcPr>
          <w:p>
            <w:pPr>
              <w:keepNext/>
              <w:spacing w:before="40" w:after="40" w:line="240" w:lineRule="auto"/>
              <w:jc w:val="left"/>
            </w:pPr>
            <w:r>
              <w:rPr>
                <w:rFonts w:ascii="Arial" w:hAnsi="Arial" w:eastAsia="Arial" w:cs="Arial"/>
                <w:sz w:val="21"/>
              </w:rPr>
              <w:t>Dwelling type</w:t>
            </w:r>
          </w:p>
        </w:tc>
        <w:tc>
          <w:tcPr>
            <w:tcW w:type="dxa" w:w="6272"/>
            <w:vAlign w:val="center"/>
            <w:shd w:val="clear" w:color="auto" w:fill="FFFFFF"/>
          </w:tcPr>
          <w:p>
            <w:pPr>
              <w:keepNext/>
              <w:spacing w:before="40" w:after="40" w:line="240" w:lineRule="auto"/>
              <w:jc w:val="left"/>
            </w:pPr>
            <w:r>
              <w:rPr>
                <w:rFonts w:ascii="Arial" w:hAnsi="Arial" w:eastAsia="Arial" w:cs="Arial"/>
                <w:sz w:val="21"/>
              </w:rPr>
              <w:t>Apartment, or house/townhouse</w:t>
            </w:r>
          </w:p>
        </w:tc>
      </w:tr>
      <w:tr>
        <w:trPr>
          <w:cantSplit/>
        </w:trPr>
        <w:tc>
          <w:tcPr>
            <w:tcW w:type="dxa" w:w="3593"/>
            <w:vAlign w:val="center"/>
            <w:shd w:val="clear" w:color="auto" w:fill="FFFFFF"/>
          </w:tcPr>
          <w:p>
            <w:pPr>
              <w:keepNext/>
              <w:spacing w:before="40" w:after="40" w:line="240" w:lineRule="auto"/>
              <w:jc w:val="left"/>
            </w:pPr>
            <w:r>
              <w:rPr>
                <w:rFonts w:ascii="Arial" w:hAnsi="Arial" w:eastAsia="Arial" w:cs="Arial"/>
                <w:sz w:val="21"/>
              </w:rPr>
              <w:t>Bedrooms</w:t>
            </w:r>
          </w:p>
        </w:tc>
        <w:tc>
          <w:tcPr>
            <w:tcW w:type="dxa" w:w="6272"/>
            <w:vAlign w:val="center"/>
            <w:shd w:val="clear" w:color="auto" w:fill="FFFFFF"/>
          </w:tcPr>
          <w:p>
            <w:pPr>
              <w:keepNext/>
              <w:spacing w:before="40" w:after="40" w:line="240" w:lineRule="auto"/>
              <w:jc w:val="left"/>
            </w:pPr>
            <w:r>
              <w:rPr>
                <w:rFonts w:ascii="Arial" w:hAnsi="Arial" w:eastAsia="Arial" w:cs="Arial"/>
                <w:sz w:val="21"/>
              </w:rPr>
              <w:t>One, two or three</w:t>
            </w:r>
          </w:p>
        </w:tc>
      </w:tr>
      <w:tr>
        <w:trPr>
          <w:cantSplit/>
        </w:trPr>
        <w:tc>
          <w:tcPr>
            <w:tcW w:type="dxa" w:w="3593"/>
            <w:vAlign w:val="center"/>
            <w:shd w:val="clear" w:color="auto" w:fill="FFFFFF"/>
          </w:tcPr>
          <w:p>
            <w:pPr>
              <w:keepNext/>
              <w:spacing w:before="40" w:after="40" w:line="240" w:lineRule="auto"/>
              <w:jc w:val="left"/>
            </w:pPr>
            <w:r>
              <w:rPr>
                <w:rFonts w:ascii="Arial" w:hAnsi="Arial" w:eastAsia="Arial" w:cs="Arial"/>
                <w:sz w:val="21"/>
              </w:rPr>
              <w:t>Price compared with similar homes</w:t>
            </w:r>
          </w:p>
        </w:tc>
        <w:tc>
          <w:tcPr>
            <w:tcW w:type="dxa" w:w="6272"/>
            <w:vAlign w:val="center"/>
            <w:shd w:val="clear" w:color="auto" w:fill="FFFFFF"/>
          </w:tcPr>
          <w:p>
            <w:pPr>
              <w:keepNext/>
              <w:spacing w:before="40" w:after="40" w:line="240" w:lineRule="auto"/>
              <w:jc w:val="left"/>
            </w:pPr>
            <w:r>
              <w:rPr>
                <w:rFonts w:ascii="Arial" w:hAnsi="Arial" w:eastAsia="Arial" w:cs="Arial"/>
                <w:sz w:val="21"/>
              </w:rPr>
              <w:t>Price relative to the group median, per 10%</w:t>
            </w:r>
          </w:p>
        </w:tc>
      </w:tr>
      <w:tr>
        <w:trPr>
          <w:cantSplit/>
        </w:trPr>
        <w:tc>
          <w:tcPr>
            <w:tcW w:type="dxa" w:w="3593"/>
            <w:vAlign w:val="center"/>
            <w:shd w:val="clear" w:color="auto" w:fill="FFFFFF"/>
          </w:tcPr>
          <w:p>
            <w:pPr>
              <w:keepNext/>
              <w:spacing w:before="40" w:after="40" w:line="240" w:lineRule="auto"/>
              <w:jc w:val="left"/>
            </w:pPr>
            <w:r>
              <w:rPr>
                <w:rFonts w:ascii="Arial" w:hAnsi="Arial" w:eastAsia="Arial" w:cs="Arial"/>
                <w:sz w:val="21"/>
              </w:rPr>
              <w:t>Accepts one-night stays</w:t>
            </w:r>
          </w:p>
        </w:tc>
        <w:tc>
          <w:tcPr>
            <w:tcW w:type="dxa" w:w="6272"/>
            <w:vAlign w:val="center"/>
            <w:shd w:val="clear" w:color="auto" w:fill="FFFFFF"/>
          </w:tcPr>
          <w:p>
            <w:pPr>
              <w:keepNext/>
              <w:spacing w:before="40" w:after="40" w:line="240" w:lineRule="auto"/>
              <w:jc w:val="left"/>
            </w:pPr>
            <w:r>
              <w:rPr>
                <w:rFonts w:ascii="Arial" w:hAnsi="Arial" w:eastAsia="Arial" w:cs="Arial"/>
                <w:sz w:val="21"/>
              </w:rPr>
              <w:t>Minimum stay of one night (yes or no)</w:t>
            </w:r>
          </w:p>
        </w:tc>
      </w:tr>
      <w:tr>
        <w:trPr>
          <w:cantSplit/>
        </w:trPr>
        <w:tc>
          <w:tcPr>
            <w:tcW w:type="dxa" w:w="3593"/>
            <w:vAlign w:val="center"/>
            <w:shd w:val="clear" w:color="auto" w:fill="FFFFFF"/>
          </w:tcPr>
          <w:p>
            <w:pPr>
              <w:spacing w:before="40" w:after="40" w:line="240" w:lineRule="auto"/>
              <w:jc w:val="left"/>
            </w:pPr>
            <w:r>
              <w:rPr>
                <w:rFonts w:ascii="Arial" w:hAnsi="Arial" w:eastAsia="Arial" w:cs="Arial"/>
                <w:sz w:val="21"/>
              </w:rPr>
              <w:t>Amenity count</w:t>
            </w:r>
          </w:p>
        </w:tc>
        <w:tc>
          <w:tcPr>
            <w:tcW w:type="dxa" w:w="6272"/>
            <w:vAlign w:val="center"/>
            <w:shd w:val="clear" w:color="auto" w:fill="FFFFFF"/>
          </w:tcPr>
          <w:p>
            <w:pPr>
              <w:spacing w:before="40" w:after="40" w:line="240" w:lineRule="auto"/>
              <w:jc w:val="left"/>
            </w:pPr>
            <w:r>
              <w:rPr>
                <w:rFonts w:ascii="Arial" w:hAnsi="Arial" w:eastAsia="Arial" w:cs="Arial"/>
                <w:sz w:val="21"/>
              </w:rPr>
              <w:t>Amenities listed, per ten</w:t>
            </w:r>
          </w:p>
        </w:tc>
      </w:tr>
    </w:tbl>
    <w:p>
      <w:pPr>
        <w:widowControl/>
        <w:spacing w:after="80" w:line="240" w:lineRule="auto"/>
        <w:jc w:val="left"/>
      </w:pPr>
    </w:p>
    <w:p>
      <w:pPr>
        <w:widowControl/>
        <w:spacing w:after="120" w:line="259" w:lineRule="auto"/>
        <w:jc w:val="left"/>
      </w:pPr>
      <w:r>
        <w:rPr>
          <w:rFonts w:ascii="Arial" w:hAnsi="Arial" w:eastAsia="Arial" w:cs="Arial"/>
          <w:b/>
        </w:rPr>
        <w:t>Prescriptive (Objective 3).</w:t>
      </w:r>
      <w:r>
        <w:rPr>
          <w:rFonts w:ascii="Arial" w:hAnsi="Arial" w:eastAsia="Arial" w:cs="Arial"/>
        </w:rPr>
        <w:t xml:space="preserve"> We turn the results into a checklist, a cost test and an inspection plan.</w:t>
      </w:r>
    </w:p>
    <w:p>
      <w:pPr>
        <w:widowControl/>
        <w:spacing w:after="120" w:line="259" w:lineRule="auto"/>
        <w:jc w:val="left"/>
      </w:pPr>
      <w:r>
        <w:rPr>
          <w:rFonts w:ascii="Arial" w:hAnsi="Arial" w:eastAsia="Arial" w:cs="Arial"/>
          <w:b/>
        </w:rPr>
        <w:t>Checks against luck.</w:t>
      </w:r>
      <w:r>
        <w:rPr>
          <w:rFonts w:ascii="Arial" w:hAnsi="Arial" w:eastAsia="Arial" w:cs="Arial"/>
        </w:rPr>
        <w:t xml:space="preserve"> Three checks each answer one question:</w:t>
      </w:r>
    </w:p>
    <w:p>
      <w:pPr>
        <w:widowControl/>
        <w:spacing w:after="80" w:line="259" w:lineRule="auto"/>
        <w:ind w:left="432" w:hanging="432"/>
        <w:jc w:val="left"/>
      </w:pPr>
      <w:r>
        <w:rPr>
          <w:rFonts w:ascii="Arial" w:hAnsi="Arial" w:eastAsia="Arial" w:cs="Arial"/>
        </w:rPr>
        <w:t>1.</w:t>
        <w:tab/>
      </w:r>
      <w:r>
        <w:rPr>
          <w:rFonts w:ascii="Arial" w:hAnsi="Arial" w:eastAsia="Arial" w:cs="Arial"/>
          <w:i/>
        </w:rPr>
        <w:t>Is the group ranking stable?</w:t>
      </w:r>
      <w:r>
        <w:rPr>
          <w:rFonts w:ascii="Arial" w:hAnsi="Arial" w:eastAsia="Arial" w:cs="Arial"/>
        </w:rPr>
        <w:t xml:space="preserve"> We redraw hosts at random 1,000 times.</w:t>
      </w:r>
    </w:p>
    <w:p>
      <w:pPr>
        <w:widowControl/>
        <w:spacing w:after="80" w:line="259" w:lineRule="auto"/>
        <w:ind w:left="432" w:hanging="432"/>
        <w:jc w:val="left"/>
      </w:pPr>
      <w:r>
        <w:rPr>
          <w:rFonts w:ascii="Arial" w:hAnsi="Arial" w:eastAsia="Arial" w:cs="Arial"/>
        </w:rPr>
        <w:t>2.</w:t>
        <w:tab/>
      </w:r>
      <w:r>
        <w:rPr>
          <w:rFonts w:ascii="Arial" w:hAnsi="Arial" w:eastAsia="Arial" w:cs="Arial"/>
          <w:i/>
        </w:rPr>
        <w:t>Does the model work on unseen homes?</w:t>
      </w:r>
      <w:r>
        <w:rPr>
          <w:rFonts w:ascii="Arial" w:hAnsi="Arial" w:eastAsia="Arial" w:cs="Arial"/>
        </w:rPr>
        <w:t xml:space="preserve"> In 50 tests, it is built on 70% of hosts and picks a quarter of each priority group's homes among the other 30%, against a reduced model (no price or minimum stay) and random picking.</w:t>
      </w:r>
    </w:p>
    <w:p>
      <w:pPr>
        <w:widowControl/>
        <w:spacing w:after="80" w:line="259" w:lineRule="auto"/>
        <w:ind w:left="432" w:hanging="432"/>
        <w:jc w:val="left"/>
      </w:pPr>
      <w:r>
        <w:rPr>
          <w:rFonts w:ascii="Arial" w:hAnsi="Arial" w:eastAsia="Arial" w:cs="Arial"/>
        </w:rPr>
        <w:t>3.</w:t>
        <w:tab/>
      </w:r>
      <w:r>
        <w:rPr>
          <w:rFonts w:ascii="Arial" w:hAnsi="Arial" w:eastAsia="Arial" w:cs="Arial"/>
          <w:i/>
        </w:rPr>
        <w:t>Do leading groups stay ahead?</w:t>
      </w:r>
      <w:r>
        <w:rPr>
          <w:rFonts w:ascii="Arial" w:hAnsi="Arial" w:eastAsia="Arial" w:cs="Arial"/>
        </w:rPr>
        <w:t xml:space="preserve"> We rank groups on one year and follow them into the next.</w:t>
      </w:r>
    </w:p>
    <w:p>
      <w:pPr>
        <w:widowControl/>
        <w:spacing w:after="120" w:line="259" w:lineRule="auto"/>
        <w:jc w:val="left"/>
      </w:pPr>
      <w:r>
        <w:rPr>
          <w:rFonts w:ascii="Arial" w:hAnsi="Arial" w:eastAsia="Arial" w:cs="Arial"/>
        </w:rPr>
        <w:t>Homes of one host stay together in every check, because they can perform alike. The model assumes each 10% price step, or ten more amenities, changes the odds of being busy by the same proportion at any level; Appendix A finds this roughly holds and the inputs barely overlap.</w:t>
      </w:r>
    </w:p>
    <w:p>
      <w:pPr>
        <w:pStyle w:val="Heading1"/>
        <w:keepNext/>
        <w:pageBreakBefore w:val="0"/>
      </w:pPr>
      <w:r>
        <w:rPr>
          <w:rFonts w:ascii="Arial" w:hAnsi="Arial" w:eastAsia="Arial" w:cs="Arial"/>
        </w:rPr>
        <w:t>5. Analysis and Results</w:t>
      </w:r>
    </w:p>
    <w:p>
      <w:pPr>
        <w:pStyle w:val="Heading2"/>
        <w:keepNext/>
      </w:pPr>
      <w:r>
        <w:rPr>
          <w:rFonts w:ascii="Arial" w:hAnsi="Arial" w:eastAsia="Arial" w:cs="Arial"/>
        </w:rPr>
        <w:t>5.1 Data exploration: activity is uneven, and busy homes are better rated</w:t>
      </w:r>
    </w:p>
    <w:p>
      <w:pPr>
        <w:widowControl/>
        <w:spacing w:after="120" w:line="259" w:lineRule="auto"/>
        <w:jc w:val="left"/>
      </w:pPr>
      <w:r>
        <w:rPr>
          <w:rFonts w:ascii="Arial" w:hAnsi="Arial" w:eastAsia="Arial" w:cs="Arial"/>
        </w:rPr>
        <w:t>Guest activity is very uneven (Figure 1). The median home received 15 reviews in the year; a quarter (981 homes, 25.3%) were busy, and 334 (8.6%) received none.</w:t>
      </w:r>
    </w:p>
    <w:p>
      <w:pPr>
        <w:keepNext/>
        <w:widowControl/>
        <w:spacing w:after="40" w:before="80" w:line="240" w:lineRule="auto"/>
        <w:jc w:val="center"/>
      </w:pPr>
      <w:r>
        <w:drawing>
          <wp:inline xmlns:a="http://schemas.openxmlformats.org/drawingml/2006/main" xmlns:pic="http://schemas.openxmlformats.org/drawingml/2006/picture">
            <wp:extent cx="6035040" cy="2736600"/>
            <wp:docPr id="1" name="Picture 1"/>
            <wp:cNvGraphicFramePr>
              <a:graphicFrameLocks noChangeAspect="1"/>
            </wp:cNvGraphicFramePr>
            <a:graphic>
              <a:graphicData uri="http://schemas.openxmlformats.org/drawingml/2006/picture">
                <pic:pic>
                  <pic:nvPicPr>
                    <pic:cNvPr id="0" name="figure_1_review_distribution.png"/>
                    <pic:cNvPicPr/>
                  </pic:nvPicPr>
                  <pic:blipFill>
                    <a:blip r:embed="rId14"/>
                    <a:stretch>
                      <a:fillRect/>
                    </a:stretch>
                  </pic:blipFill>
                  <pic:spPr>
                    <a:xfrm>
                      <a:off x="0" y="0"/>
                      <a:ext cx="6035040" cy="2736600"/>
                    </a:xfrm>
                    <a:prstGeom prst="rect"/>
                  </pic:spPr>
                </pic:pic>
              </a:graphicData>
            </a:graphic>
          </wp:inline>
        </w:drawing>
      </w:r>
    </w:p>
    <w:p>
      <w:pPr>
        <w:pStyle w:val="Caption"/>
      </w:pPr>
      <w:r>
        <w:rPr>
          <w:rFonts w:ascii="Arial" w:hAnsi="Arial" w:eastAsia="Arial" w:cs="Arial"/>
          <w:b/>
        </w:rPr>
        <w:t>Figure 1.</w:t>
      </w:r>
      <w:r>
        <w:rPr>
          <w:rFonts w:ascii="Arial" w:hAnsi="Arial" w:eastAsia="Arial" w:cs="Arial"/>
        </w:rPr>
        <w:t xml:space="preserve"> Annual reviews per home, 3,873 analysis homes. Source of all figures and tables: Inside Airbnb (2026); Group 2 analysis.</w:t>
      </w:r>
    </w:p>
    <w:p>
      <w:pPr>
        <w:widowControl/>
        <w:spacing w:after="120" w:line="259" w:lineRule="auto"/>
        <w:jc w:val="left"/>
      </w:pPr>
      <w:r>
        <w:rPr>
          <w:rFonts w:ascii="Arial" w:hAnsi="Arial" w:eastAsia="Arial" w:cs="Arial"/>
        </w:rPr>
        <w:t>Busy homes were slightly cheaper, but far more often accepted one-night stays and sat in the City of Melbourne (Table 3). Their much higher revenue estimate reflects their review counts, since revenue is estimated from reviews.</w:t>
      </w:r>
    </w:p>
    <w:p>
      <w:pPr>
        <w:keepNext/>
        <w:widowControl/>
        <w:spacing w:after="80" w:before="80" w:line="259" w:lineRule="auto"/>
        <w:jc w:val="left"/>
      </w:pPr>
      <w:r>
        <w:rPr>
          <w:rFonts w:ascii="Arial" w:hAnsi="Arial" w:eastAsia="Arial" w:cs="Arial"/>
          <w:b/>
        </w:rPr>
        <w:t>Table 3. Busy homes compared with the rest</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5314"/>
        <w:gridCol w:w="1790"/>
        <w:gridCol w:w="1380"/>
        <w:gridCol w:w="1380"/>
      </w:tblGrid>
      <w:tr>
        <w:trPr>
          <w:cantSplit/>
          <w:tblHeader/>
        </w:trPr>
        <w:tc>
          <w:tcPr>
            <w:tcW w:type="dxa" w:w="5314"/>
            <w:vAlign w:val="center"/>
            <w:shd w:val="clear" w:color="auto" w:fill="E9EEF3"/>
          </w:tcPr>
          <w:p>
            <w:pPr>
              <w:keepNext/>
              <w:spacing w:before="40" w:after="40" w:line="240" w:lineRule="auto"/>
              <w:jc w:val="left"/>
            </w:pPr>
            <w:r>
              <w:rPr>
                <w:rFonts w:ascii="Arial" w:hAnsi="Arial" w:eastAsia="Arial" w:cs="Arial"/>
                <w:b/>
                <w:sz w:val="21"/>
              </w:rPr>
              <w:t>Characteristic</w:t>
            </w:r>
          </w:p>
        </w:tc>
        <w:tc>
          <w:tcPr>
            <w:tcW w:type="dxa" w:w="1790"/>
            <w:vAlign w:val="center"/>
            <w:shd w:val="clear" w:color="auto" w:fill="E9EEF3"/>
          </w:tcPr>
          <w:p>
            <w:pPr>
              <w:keepNext/>
              <w:spacing w:before="40" w:after="40" w:line="240" w:lineRule="auto"/>
              <w:jc w:val="left"/>
            </w:pPr>
            <w:r>
              <w:rPr>
                <w:rFonts w:ascii="Arial" w:hAnsi="Arial" w:eastAsia="Arial" w:cs="Arial"/>
                <w:b/>
                <w:sz w:val="21"/>
              </w:rPr>
              <w:t>Busy (30+ reviews)</w:t>
            </w:r>
          </w:p>
        </w:tc>
        <w:tc>
          <w:tcPr>
            <w:tcW w:type="dxa" w:w="1380"/>
            <w:vAlign w:val="center"/>
            <w:shd w:val="clear" w:color="auto" w:fill="E9EEF3"/>
          </w:tcPr>
          <w:p>
            <w:pPr>
              <w:keepNext/>
              <w:spacing w:before="40" w:after="40" w:line="240" w:lineRule="auto"/>
              <w:jc w:val="left"/>
            </w:pPr>
            <w:r>
              <w:rPr>
                <w:rFonts w:ascii="Arial" w:hAnsi="Arial" w:eastAsia="Arial" w:cs="Arial"/>
                <w:b/>
                <w:sz w:val="21"/>
              </w:rPr>
              <w:t>Not busy</w:t>
            </w:r>
          </w:p>
        </w:tc>
        <w:tc>
          <w:tcPr>
            <w:tcW w:type="dxa" w:w="1380"/>
            <w:vAlign w:val="center"/>
            <w:shd w:val="clear" w:color="auto" w:fill="E9EEF3"/>
          </w:tcPr>
          <w:p>
            <w:pPr>
              <w:keepNext/>
              <w:spacing w:before="40" w:after="40" w:line="240" w:lineRule="auto"/>
              <w:jc w:val="left"/>
            </w:pPr>
            <w:r>
              <w:rPr>
                <w:rFonts w:ascii="Arial" w:hAnsi="Arial" w:eastAsia="Arial" w:cs="Arial"/>
                <w:b/>
                <w:sz w:val="21"/>
              </w:rPr>
              <w:t>All homes</w:t>
            </w:r>
          </w:p>
        </w:tc>
      </w:tr>
      <w:tr>
        <w:trPr>
          <w:cantSplit/>
        </w:trPr>
        <w:tc>
          <w:tcPr>
            <w:tcW w:type="dxa" w:w="5314"/>
            <w:vAlign w:val="center"/>
            <w:shd w:val="clear" w:color="auto" w:fill="FFFFFF"/>
          </w:tcPr>
          <w:p>
            <w:pPr>
              <w:keepNext/>
              <w:spacing w:before="40" w:after="40" w:line="240" w:lineRule="auto"/>
              <w:jc w:val="left"/>
            </w:pPr>
            <w:r>
              <w:rPr>
                <w:rFonts w:ascii="Arial" w:hAnsi="Arial" w:eastAsia="Arial" w:cs="Arial"/>
                <w:sz w:val="21"/>
              </w:rPr>
              <w:t>Homes</w:t>
            </w:r>
          </w:p>
        </w:tc>
        <w:tc>
          <w:tcPr>
            <w:tcW w:type="dxa" w:w="1790"/>
            <w:vAlign w:val="center"/>
            <w:shd w:val="clear" w:color="auto" w:fill="FFFFFF"/>
          </w:tcPr>
          <w:p>
            <w:pPr>
              <w:keepNext/>
              <w:spacing w:before="40" w:after="40" w:line="240" w:lineRule="auto"/>
              <w:jc w:val="right"/>
            </w:pPr>
            <w:r>
              <w:rPr>
                <w:rFonts w:ascii="Arial" w:hAnsi="Arial" w:eastAsia="Arial" w:cs="Arial"/>
                <w:sz w:val="21"/>
              </w:rPr>
              <w:t>981</w:t>
            </w:r>
          </w:p>
        </w:tc>
        <w:tc>
          <w:tcPr>
            <w:tcW w:type="dxa" w:w="1380"/>
            <w:vAlign w:val="center"/>
            <w:shd w:val="clear" w:color="auto" w:fill="FFFFFF"/>
          </w:tcPr>
          <w:p>
            <w:pPr>
              <w:keepNext/>
              <w:spacing w:before="40" w:after="40" w:line="240" w:lineRule="auto"/>
              <w:jc w:val="right"/>
            </w:pPr>
            <w:r>
              <w:rPr>
                <w:rFonts w:ascii="Arial" w:hAnsi="Arial" w:eastAsia="Arial" w:cs="Arial"/>
                <w:sz w:val="21"/>
              </w:rPr>
              <w:t>2,892</w:t>
            </w:r>
          </w:p>
        </w:tc>
        <w:tc>
          <w:tcPr>
            <w:tcW w:type="dxa" w:w="1380"/>
            <w:vAlign w:val="center"/>
            <w:shd w:val="clear" w:color="auto" w:fill="FFFFFF"/>
          </w:tcPr>
          <w:p>
            <w:pPr>
              <w:keepNext/>
              <w:spacing w:before="40" w:after="40" w:line="240" w:lineRule="auto"/>
              <w:jc w:val="right"/>
            </w:pPr>
            <w:r>
              <w:rPr>
                <w:rFonts w:ascii="Arial" w:hAnsi="Arial" w:eastAsia="Arial" w:cs="Arial"/>
                <w:sz w:val="21"/>
              </w:rPr>
              <w:t>3,873</w:t>
            </w:r>
          </w:p>
        </w:tc>
      </w:tr>
      <w:tr>
        <w:trPr>
          <w:cantSplit/>
        </w:trPr>
        <w:tc>
          <w:tcPr>
            <w:tcW w:type="dxa" w:w="5314"/>
            <w:vAlign w:val="center"/>
            <w:shd w:val="clear" w:color="auto" w:fill="FFFFFF"/>
          </w:tcPr>
          <w:p>
            <w:pPr>
              <w:keepNext/>
              <w:spacing w:before="40" w:after="40" w:line="240" w:lineRule="auto"/>
              <w:jc w:val="left"/>
            </w:pPr>
            <w:r>
              <w:rPr>
                <w:rFonts w:ascii="Arial" w:hAnsi="Arial" w:eastAsia="Arial" w:cs="Arial"/>
                <w:sz w:val="21"/>
              </w:rPr>
              <w:t>Median nightly price (AUD)</w:t>
            </w:r>
          </w:p>
        </w:tc>
        <w:tc>
          <w:tcPr>
            <w:tcW w:type="dxa" w:w="1790"/>
            <w:vAlign w:val="center"/>
            <w:shd w:val="clear" w:color="auto" w:fill="FFFFFF"/>
          </w:tcPr>
          <w:p>
            <w:pPr>
              <w:keepNext/>
              <w:spacing w:before="40" w:after="40" w:line="240" w:lineRule="auto"/>
              <w:jc w:val="right"/>
            </w:pPr>
            <w:r>
              <w:rPr>
                <w:rFonts w:ascii="Arial" w:hAnsi="Arial" w:eastAsia="Arial" w:cs="Arial"/>
                <w:sz w:val="21"/>
              </w:rPr>
              <w:t>254</w:t>
            </w:r>
          </w:p>
        </w:tc>
        <w:tc>
          <w:tcPr>
            <w:tcW w:type="dxa" w:w="1380"/>
            <w:vAlign w:val="center"/>
            <w:shd w:val="clear" w:color="auto" w:fill="FFFFFF"/>
          </w:tcPr>
          <w:p>
            <w:pPr>
              <w:keepNext/>
              <w:spacing w:before="40" w:after="40" w:line="240" w:lineRule="auto"/>
              <w:jc w:val="right"/>
            </w:pPr>
            <w:r>
              <w:rPr>
                <w:rFonts w:ascii="Arial" w:hAnsi="Arial" w:eastAsia="Arial" w:cs="Arial"/>
                <w:sz w:val="21"/>
              </w:rPr>
              <w:t>266</w:t>
            </w:r>
          </w:p>
        </w:tc>
        <w:tc>
          <w:tcPr>
            <w:tcW w:type="dxa" w:w="1380"/>
            <w:vAlign w:val="center"/>
            <w:shd w:val="clear" w:color="auto" w:fill="FFFFFF"/>
          </w:tcPr>
          <w:p>
            <w:pPr>
              <w:keepNext/>
              <w:spacing w:before="40" w:after="40" w:line="240" w:lineRule="auto"/>
              <w:jc w:val="right"/>
            </w:pPr>
            <w:r>
              <w:rPr>
                <w:rFonts w:ascii="Arial" w:hAnsi="Arial" w:eastAsia="Arial" w:cs="Arial"/>
                <w:sz w:val="21"/>
              </w:rPr>
              <w:t>262</w:t>
            </w:r>
          </w:p>
        </w:tc>
      </w:tr>
      <w:tr>
        <w:trPr>
          <w:cantSplit/>
        </w:trPr>
        <w:tc>
          <w:tcPr>
            <w:tcW w:type="dxa" w:w="5314"/>
            <w:vAlign w:val="center"/>
            <w:shd w:val="clear" w:color="auto" w:fill="FFFFFF"/>
          </w:tcPr>
          <w:p>
            <w:pPr>
              <w:keepNext/>
              <w:spacing w:before="40" w:after="40" w:line="240" w:lineRule="auto"/>
              <w:jc w:val="left"/>
            </w:pPr>
            <w:r>
              <w:rPr>
                <w:rFonts w:ascii="Arial" w:hAnsi="Arial" w:eastAsia="Arial" w:cs="Arial"/>
                <w:sz w:val="21"/>
              </w:rPr>
              <w:t>Accept one-night stays</w:t>
            </w:r>
          </w:p>
        </w:tc>
        <w:tc>
          <w:tcPr>
            <w:tcW w:type="dxa" w:w="1790"/>
            <w:vAlign w:val="center"/>
            <w:shd w:val="clear" w:color="auto" w:fill="FFFFFF"/>
          </w:tcPr>
          <w:p>
            <w:pPr>
              <w:keepNext/>
              <w:spacing w:before="40" w:after="40" w:line="240" w:lineRule="auto"/>
              <w:jc w:val="right"/>
            </w:pPr>
            <w:r>
              <w:rPr>
                <w:rFonts w:ascii="Arial" w:hAnsi="Arial" w:eastAsia="Arial" w:cs="Arial"/>
                <w:sz w:val="21"/>
              </w:rPr>
              <w:t>67.7%</w:t>
            </w:r>
          </w:p>
        </w:tc>
        <w:tc>
          <w:tcPr>
            <w:tcW w:type="dxa" w:w="1380"/>
            <w:vAlign w:val="center"/>
            <w:shd w:val="clear" w:color="auto" w:fill="FFFFFF"/>
          </w:tcPr>
          <w:p>
            <w:pPr>
              <w:keepNext/>
              <w:spacing w:before="40" w:after="40" w:line="240" w:lineRule="auto"/>
              <w:jc w:val="right"/>
            </w:pPr>
            <w:r>
              <w:rPr>
                <w:rFonts w:ascii="Arial" w:hAnsi="Arial" w:eastAsia="Arial" w:cs="Arial"/>
                <w:sz w:val="21"/>
              </w:rPr>
              <w:t>37.5%</w:t>
            </w:r>
          </w:p>
        </w:tc>
        <w:tc>
          <w:tcPr>
            <w:tcW w:type="dxa" w:w="1380"/>
            <w:vAlign w:val="center"/>
            <w:shd w:val="clear" w:color="auto" w:fill="FFFFFF"/>
          </w:tcPr>
          <w:p>
            <w:pPr>
              <w:keepNext/>
              <w:spacing w:before="40" w:after="40" w:line="240" w:lineRule="auto"/>
              <w:jc w:val="right"/>
            </w:pPr>
            <w:r>
              <w:rPr>
                <w:rFonts w:ascii="Arial" w:hAnsi="Arial" w:eastAsia="Arial" w:cs="Arial"/>
                <w:sz w:val="21"/>
              </w:rPr>
              <w:t>45.1%</w:t>
            </w:r>
          </w:p>
        </w:tc>
      </w:tr>
      <w:tr>
        <w:trPr>
          <w:cantSplit/>
        </w:trPr>
        <w:tc>
          <w:tcPr>
            <w:tcW w:type="dxa" w:w="5314"/>
            <w:vAlign w:val="center"/>
            <w:shd w:val="clear" w:color="auto" w:fill="FFFFFF"/>
          </w:tcPr>
          <w:p>
            <w:pPr>
              <w:keepNext/>
              <w:spacing w:before="40" w:after="40" w:line="240" w:lineRule="auto"/>
              <w:jc w:val="left"/>
            </w:pPr>
            <w:r>
              <w:rPr>
                <w:rFonts w:ascii="Arial" w:hAnsi="Arial" w:eastAsia="Arial" w:cs="Arial"/>
                <w:sz w:val="21"/>
              </w:rPr>
              <w:t>In the City of Melbourne</w:t>
            </w:r>
          </w:p>
        </w:tc>
        <w:tc>
          <w:tcPr>
            <w:tcW w:type="dxa" w:w="1790"/>
            <w:vAlign w:val="center"/>
            <w:shd w:val="clear" w:color="auto" w:fill="FFFFFF"/>
          </w:tcPr>
          <w:p>
            <w:pPr>
              <w:keepNext/>
              <w:spacing w:before="40" w:after="40" w:line="240" w:lineRule="auto"/>
              <w:jc w:val="right"/>
            </w:pPr>
            <w:r>
              <w:rPr>
                <w:rFonts w:ascii="Arial" w:hAnsi="Arial" w:eastAsia="Arial" w:cs="Arial"/>
                <w:sz w:val="21"/>
              </w:rPr>
              <w:t>76.9%</w:t>
            </w:r>
          </w:p>
        </w:tc>
        <w:tc>
          <w:tcPr>
            <w:tcW w:type="dxa" w:w="1380"/>
            <w:vAlign w:val="center"/>
            <w:shd w:val="clear" w:color="auto" w:fill="FFFFFF"/>
          </w:tcPr>
          <w:p>
            <w:pPr>
              <w:keepNext/>
              <w:spacing w:before="40" w:after="40" w:line="240" w:lineRule="auto"/>
              <w:jc w:val="right"/>
            </w:pPr>
            <w:r>
              <w:rPr>
                <w:rFonts w:ascii="Arial" w:hAnsi="Arial" w:eastAsia="Arial" w:cs="Arial"/>
                <w:sz w:val="21"/>
              </w:rPr>
              <w:t>59.6%</w:t>
            </w:r>
          </w:p>
        </w:tc>
        <w:tc>
          <w:tcPr>
            <w:tcW w:type="dxa" w:w="1380"/>
            <w:vAlign w:val="center"/>
            <w:shd w:val="clear" w:color="auto" w:fill="FFFFFF"/>
          </w:tcPr>
          <w:p>
            <w:pPr>
              <w:keepNext/>
              <w:spacing w:before="40" w:after="40" w:line="240" w:lineRule="auto"/>
              <w:jc w:val="right"/>
            </w:pPr>
            <w:r>
              <w:rPr>
                <w:rFonts w:ascii="Arial" w:hAnsi="Arial" w:eastAsia="Arial" w:cs="Arial"/>
                <w:sz w:val="21"/>
              </w:rPr>
              <w:t>64.0%</w:t>
            </w:r>
          </w:p>
        </w:tc>
      </w:tr>
      <w:tr>
        <w:trPr>
          <w:cantSplit/>
        </w:trPr>
        <w:tc>
          <w:tcPr>
            <w:tcW w:type="dxa" w:w="5314"/>
            <w:vAlign w:val="center"/>
            <w:shd w:val="clear" w:color="auto" w:fill="FFFFFF"/>
          </w:tcPr>
          <w:p>
            <w:pPr>
              <w:keepNext/>
              <w:spacing w:before="40" w:after="40" w:line="240" w:lineRule="auto"/>
              <w:jc w:val="left"/>
            </w:pPr>
            <w:r>
              <w:rPr>
                <w:rFonts w:ascii="Arial" w:hAnsi="Arial" w:eastAsia="Arial" w:cs="Arial"/>
                <w:sz w:val="21"/>
              </w:rPr>
              <w:t>Median estimated nights (cap 255)</w:t>
            </w:r>
          </w:p>
        </w:tc>
        <w:tc>
          <w:tcPr>
            <w:tcW w:type="dxa" w:w="1790"/>
            <w:vAlign w:val="center"/>
            <w:shd w:val="clear" w:color="auto" w:fill="FFFFFF"/>
          </w:tcPr>
          <w:p>
            <w:pPr>
              <w:keepNext/>
              <w:spacing w:before="40" w:after="40" w:line="240" w:lineRule="auto"/>
              <w:jc w:val="right"/>
            </w:pPr>
            <w:r>
              <w:rPr>
                <w:rFonts w:ascii="Arial" w:hAnsi="Arial" w:eastAsia="Arial" w:cs="Arial"/>
                <w:sz w:val="21"/>
              </w:rPr>
              <w:t>255</w:t>
            </w:r>
          </w:p>
        </w:tc>
        <w:tc>
          <w:tcPr>
            <w:tcW w:type="dxa" w:w="1380"/>
            <w:vAlign w:val="center"/>
            <w:shd w:val="clear" w:color="auto" w:fill="FFFFFF"/>
          </w:tcPr>
          <w:p>
            <w:pPr>
              <w:keepNext/>
              <w:spacing w:before="40" w:after="40" w:line="240" w:lineRule="auto"/>
              <w:jc w:val="right"/>
            </w:pPr>
            <w:r>
              <w:rPr>
                <w:rFonts w:ascii="Arial" w:hAnsi="Arial" w:eastAsia="Arial" w:cs="Arial"/>
                <w:sz w:val="21"/>
              </w:rPr>
              <w:t>60</w:t>
            </w:r>
          </w:p>
        </w:tc>
        <w:tc>
          <w:tcPr>
            <w:tcW w:type="dxa" w:w="1380"/>
            <w:vAlign w:val="center"/>
            <w:shd w:val="clear" w:color="auto" w:fill="FFFFFF"/>
          </w:tcPr>
          <w:p>
            <w:pPr>
              <w:keepNext/>
              <w:spacing w:before="40" w:after="40" w:line="240" w:lineRule="auto"/>
              <w:jc w:val="right"/>
            </w:pPr>
            <w:r>
              <w:rPr>
                <w:rFonts w:ascii="Arial" w:hAnsi="Arial" w:eastAsia="Arial" w:cs="Arial"/>
                <w:sz w:val="21"/>
              </w:rPr>
              <w:t>96</w:t>
            </w:r>
          </w:p>
        </w:tc>
      </w:tr>
      <w:tr>
        <w:trPr>
          <w:cantSplit/>
        </w:trPr>
        <w:tc>
          <w:tcPr>
            <w:tcW w:type="dxa" w:w="5314"/>
            <w:vAlign w:val="center"/>
            <w:shd w:val="clear" w:color="auto" w:fill="FFFFFF"/>
          </w:tcPr>
          <w:p>
            <w:pPr>
              <w:keepNext/>
              <w:spacing w:before="40" w:after="40" w:line="240" w:lineRule="auto"/>
              <w:jc w:val="left"/>
            </w:pPr>
            <w:r>
              <w:rPr>
                <w:rFonts w:ascii="Arial" w:hAnsi="Arial" w:eastAsia="Arial" w:cs="Arial"/>
                <w:sz w:val="21"/>
              </w:rPr>
              <w:t>Median estimated revenue (AUD a year)</w:t>
            </w:r>
          </w:p>
        </w:tc>
        <w:tc>
          <w:tcPr>
            <w:tcW w:type="dxa" w:w="1790"/>
            <w:vAlign w:val="center"/>
            <w:shd w:val="clear" w:color="auto" w:fill="FFFFFF"/>
          </w:tcPr>
          <w:p>
            <w:pPr>
              <w:keepNext/>
              <w:spacing w:before="40" w:after="40" w:line="240" w:lineRule="auto"/>
              <w:jc w:val="right"/>
            </w:pPr>
            <w:r>
              <w:rPr>
                <w:rFonts w:ascii="Arial" w:hAnsi="Arial" w:eastAsia="Arial" w:cs="Arial"/>
                <w:sz w:val="21"/>
              </w:rPr>
              <w:t>58,400</w:t>
            </w:r>
          </w:p>
        </w:tc>
        <w:tc>
          <w:tcPr>
            <w:tcW w:type="dxa" w:w="1380"/>
            <w:vAlign w:val="center"/>
            <w:shd w:val="clear" w:color="auto" w:fill="FFFFFF"/>
          </w:tcPr>
          <w:p>
            <w:pPr>
              <w:keepNext/>
              <w:spacing w:before="40" w:after="40" w:line="240" w:lineRule="auto"/>
              <w:jc w:val="right"/>
            </w:pPr>
            <w:r>
              <w:rPr>
                <w:rFonts w:ascii="Arial" w:hAnsi="Arial" w:eastAsia="Arial" w:cs="Arial"/>
                <w:sz w:val="21"/>
              </w:rPr>
              <w:t>16,600</w:t>
            </w:r>
          </w:p>
        </w:tc>
        <w:tc>
          <w:tcPr>
            <w:tcW w:type="dxa" w:w="1380"/>
            <w:vAlign w:val="center"/>
            <w:shd w:val="clear" w:color="auto" w:fill="FFFFFF"/>
          </w:tcPr>
          <w:p>
            <w:pPr>
              <w:keepNext/>
              <w:spacing w:before="40" w:after="40" w:line="240" w:lineRule="auto"/>
              <w:jc w:val="right"/>
            </w:pPr>
            <w:r>
              <w:rPr>
                <w:rFonts w:ascii="Arial" w:hAnsi="Arial" w:eastAsia="Arial" w:cs="Arial"/>
                <w:sz w:val="21"/>
              </w:rPr>
              <w:t>24,700</w:t>
            </w:r>
          </w:p>
        </w:tc>
      </w:tr>
      <w:tr>
        <w:trPr>
          <w:cantSplit/>
        </w:trPr>
        <w:tc>
          <w:tcPr>
            <w:tcW w:type="dxa" w:w="5314"/>
            <w:vAlign w:val="center"/>
            <w:shd w:val="clear" w:color="auto" w:fill="FFFFFF"/>
          </w:tcPr>
          <w:p>
            <w:pPr>
              <w:keepNext/>
              <w:spacing w:before="40" w:after="40" w:line="240" w:lineRule="auto"/>
              <w:jc w:val="left"/>
            </w:pPr>
            <w:r>
              <w:rPr>
                <w:rFonts w:ascii="Arial" w:hAnsi="Arial" w:eastAsia="Arial" w:cs="Arial"/>
                <w:sz w:val="21"/>
              </w:rPr>
              <w:t>Mean lifetime guest rating (out of 5 stars)</w:t>
            </w:r>
          </w:p>
        </w:tc>
        <w:tc>
          <w:tcPr>
            <w:tcW w:type="dxa" w:w="1790"/>
            <w:vAlign w:val="center"/>
            <w:shd w:val="clear" w:color="auto" w:fill="FFFFFF"/>
          </w:tcPr>
          <w:p>
            <w:pPr>
              <w:keepNext/>
              <w:spacing w:before="40" w:after="40" w:line="240" w:lineRule="auto"/>
              <w:jc w:val="right"/>
            </w:pPr>
            <w:r>
              <w:rPr>
                <w:rFonts w:ascii="Arial" w:hAnsi="Arial" w:eastAsia="Arial" w:cs="Arial"/>
                <w:sz w:val="21"/>
              </w:rPr>
              <w:t>4.84</w:t>
            </w:r>
          </w:p>
        </w:tc>
        <w:tc>
          <w:tcPr>
            <w:tcW w:type="dxa" w:w="1380"/>
            <w:vAlign w:val="center"/>
            <w:shd w:val="clear" w:color="auto" w:fill="FFFFFF"/>
          </w:tcPr>
          <w:p>
            <w:pPr>
              <w:keepNext/>
              <w:spacing w:before="40" w:after="40" w:line="240" w:lineRule="auto"/>
              <w:jc w:val="right"/>
            </w:pPr>
            <w:r>
              <w:rPr>
                <w:rFonts w:ascii="Arial" w:hAnsi="Arial" w:eastAsia="Arial" w:cs="Arial"/>
                <w:sz w:val="21"/>
              </w:rPr>
              <w:t>4.69</w:t>
            </w:r>
          </w:p>
        </w:tc>
        <w:tc>
          <w:tcPr>
            <w:tcW w:type="dxa" w:w="1380"/>
            <w:vAlign w:val="center"/>
            <w:shd w:val="clear" w:color="auto" w:fill="FFFFFF"/>
          </w:tcPr>
          <w:p>
            <w:pPr>
              <w:keepNext/>
              <w:spacing w:before="40" w:after="40" w:line="240" w:lineRule="auto"/>
              <w:jc w:val="right"/>
            </w:pPr>
            <w:r>
              <w:rPr>
                <w:rFonts w:ascii="Arial" w:hAnsi="Arial" w:eastAsia="Arial" w:cs="Arial"/>
                <w:sz w:val="21"/>
              </w:rPr>
              <w:t>4.73</w:t>
            </w:r>
          </w:p>
        </w:tc>
      </w:tr>
      <w:tr>
        <w:trPr>
          <w:cantSplit/>
        </w:trPr>
        <w:tc>
          <w:tcPr>
            <w:tcW w:type="dxa" w:w="5314"/>
            <w:vAlign w:val="center"/>
            <w:shd w:val="clear" w:color="auto" w:fill="FFFFFF"/>
          </w:tcPr>
          <w:p>
            <w:pPr>
              <w:spacing w:before="40" w:after="40" w:line="240" w:lineRule="auto"/>
              <w:jc w:val="left"/>
            </w:pPr>
            <w:r>
              <w:rPr>
                <w:rFonts w:ascii="Arial" w:hAnsi="Arial" w:eastAsia="Arial" w:cs="Arial"/>
                <w:sz w:val="21"/>
              </w:rPr>
              <w:t>Reviews in the year with a negative tone</w:t>
            </w:r>
          </w:p>
        </w:tc>
        <w:tc>
          <w:tcPr>
            <w:tcW w:type="dxa" w:w="1790"/>
            <w:vAlign w:val="center"/>
            <w:shd w:val="clear" w:color="auto" w:fill="FFFFFF"/>
          </w:tcPr>
          <w:p>
            <w:pPr>
              <w:spacing w:before="40" w:after="40" w:line="240" w:lineRule="auto"/>
              <w:jc w:val="right"/>
            </w:pPr>
            <w:r>
              <w:rPr>
                <w:rFonts w:ascii="Arial" w:hAnsi="Arial" w:eastAsia="Arial" w:cs="Arial"/>
                <w:sz w:val="21"/>
              </w:rPr>
              <w:t>1.6%</w:t>
            </w:r>
          </w:p>
        </w:tc>
        <w:tc>
          <w:tcPr>
            <w:tcW w:type="dxa" w:w="1380"/>
            <w:vAlign w:val="center"/>
            <w:shd w:val="clear" w:color="auto" w:fill="FFFFFF"/>
          </w:tcPr>
          <w:p>
            <w:pPr>
              <w:spacing w:before="40" w:after="40" w:line="240" w:lineRule="auto"/>
              <w:jc w:val="right"/>
            </w:pPr>
            <w:r>
              <w:rPr>
                <w:rFonts w:ascii="Arial" w:hAnsi="Arial" w:eastAsia="Arial" w:cs="Arial"/>
                <w:sz w:val="21"/>
              </w:rPr>
              <w:t>2.9%</w:t>
            </w:r>
          </w:p>
        </w:tc>
        <w:tc>
          <w:tcPr>
            <w:tcW w:type="dxa" w:w="1380"/>
            <w:vAlign w:val="center"/>
            <w:shd w:val="clear" w:color="auto" w:fill="FFFFFF"/>
          </w:tcPr>
          <w:p>
            <w:pPr>
              <w:spacing w:before="40" w:after="40" w:line="240" w:lineRule="auto"/>
              <w:jc w:val="right"/>
            </w:pPr>
            <w:r>
              <w:rPr>
                <w:rFonts w:ascii="Arial" w:hAnsi="Arial" w:eastAsia="Arial" w:cs="Arial"/>
                <w:sz w:val="21"/>
              </w:rPr>
              <w:t>2.2%</w:t>
            </w:r>
          </w:p>
        </w:tc>
      </w:tr>
    </w:tbl>
    <w:p>
      <w:pPr>
        <w:widowControl/>
        <w:spacing w:after="80" w:line="240" w:lineRule="auto"/>
        <w:jc w:val="left"/>
      </w:pPr>
    </w:p>
    <w:p>
      <w:pPr>
        <w:widowControl/>
        <w:spacing w:after="120" w:line="259" w:lineRule="auto"/>
        <w:jc w:val="left"/>
      </w:pPr>
      <w:r>
        <w:rPr>
          <w:rFonts w:ascii="Arial" w:hAnsi="Arial" w:eastAsia="Arial" w:cs="Arial"/>
        </w:rPr>
        <w:t>Busy homes also had a higher mean lifetime rating (4.84 against 4.69 stars), and a smaller share of their reviews was classified as negative (1.6% against 2.9%). We scored all 78,288 reviews from that year with VADER, a word-list tool for English text (Hutto &amp; Gilbert, 2014); about 90% were classified as positive in both groups. The text score is a supporting indicator, not a tested measure of satisfaction.</w:t>
      </w:r>
    </w:p>
    <w:p>
      <w:pPr>
        <w:pStyle w:val="Heading2"/>
        <w:keepNext/>
      </w:pPr>
      <w:r>
        <w:rPr>
          <w:rFonts w:ascii="Arial" w:hAnsi="Arial" w:eastAsia="Arial" w:cs="Arial"/>
        </w:rPr>
        <w:t>5.2 Descriptive analysis: City apartments lead</w:t>
      </w:r>
    </w:p>
    <w:p>
      <w:pPr>
        <w:widowControl/>
        <w:spacing w:after="120" w:line="259" w:lineRule="auto"/>
        <w:jc w:val="left"/>
      </w:pPr>
      <w:r>
        <w:rPr>
          <w:rFonts w:ascii="Arial" w:hAnsi="Arial" w:eastAsia="Arial" w:cs="Arial"/>
        </w:rPr>
        <w:t>Shares of busy homes range from 8.2% to 36.6% across groups, and three groups lead (Figure 2, Table 4). The City groups stayed in the top three in 94% and 90% of host redraws, but Yarra Ranges houses in only 64%, so they are a less certain option (more checks in Table A3).</w:t>
      </w:r>
    </w:p>
    <w:p>
      <w:pPr>
        <w:keepNext/>
        <w:widowControl/>
        <w:spacing w:after="40" w:before="80" w:line="240" w:lineRule="auto"/>
        <w:jc w:val="center"/>
      </w:pPr>
      <w:r>
        <w:drawing>
          <wp:inline xmlns:a="http://schemas.openxmlformats.org/drawingml/2006/main" xmlns:pic="http://schemas.openxmlformats.org/drawingml/2006/picture">
            <wp:extent cx="6035040" cy="3880533"/>
            <wp:docPr id="2" name="Picture 2"/>
            <wp:cNvGraphicFramePr>
              <a:graphicFrameLocks noChangeAspect="1"/>
            </wp:cNvGraphicFramePr>
            <a:graphic>
              <a:graphicData uri="http://schemas.openxmlformats.org/drawingml/2006/picture">
                <pic:pic>
                  <pic:nvPicPr>
                    <pic:cNvPr id="0" name="figure_2_group_rates.png"/>
                    <pic:cNvPicPr/>
                  </pic:nvPicPr>
                  <pic:blipFill>
                    <a:blip r:embed="rId21"/>
                    <a:stretch>
                      <a:fillRect/>
                    </a:stretch>
                  </pic:blipFill>
                  <pic:spPr>
                    <a:xfrm>
                      <a:off x="0" y="0"/>
                      <a:ext cx="6035040" cy="3880533"/>
                    </a:xfrm>
                    <a:prstGeom prst="rect"/>
                  </pic:spPr>
                </pic:pic>
              </a:graphicData>
            </a:graphic>
          </wp:inline>
        </w:drawing>
      </w:r>
    </w:p>
    <w:p>
      <w:pPr>
        <w:pStyle w:val="Caption"/>
      </w:pPr>
      <w:r>
        <w:rPr>
          <w:rFonts w:ascii="Arial" w:hAnsi="Arial" w:eastAsia="Arial" w:cs="Arial"/>
          <w:b/>
        </w:rPr>
        <w:t>Figure 2.</w:t>
      </w:r>
      <w:r>
        <w:rPr>
          <w:rFonts w:ascii="Arial" w:hAnsi="Arial" w:eastAsia="Arial" w:cs="Arial"/>
        </w:rPr>
        <w:t xml:space="preserve"> Share of busy homes in all 14 groups, with 90% ranges from redrawing hosts; priority groups in blue.</w:t>
      </w:r>
    </w:p>
    <w:p>
      <w:pPr>
        <w:keepNext/>
        <w:widowControl/>
        <w:spacing w:after="80" w:before="80" w:line="259" w:lineRule="auto"/>
        <w:jc w:val="left"/>
      </w:pPr>
      <w:r>
        <w:rPr>
          <w:rFonts w:ascii="Arial" w:hAnsi="Arial" w:eastAsia="Arial" w:cs="Arial"/>
          <w:b/>
        </w:rPr>
        <w:t>Table 4. Priority groups: median estimated nights and annual revenue (AUD)</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2074"/>
        <w:gridCol w:w="1049"/>
        <w:gridCol w:w="1049"/>
        <w:gridCol w:w="1356"/>
        <w:gridCol w:w="1509"/>
        <w:gridCol w:w="1314"/>
        <w:gridCol w:w="1509"/>
      </w:tblGrid>
      <w:tr>
        <w:trPr>
          <w:cantSplit/>
          <w:tblHeader/>
        </w:trPr>
        <w:tc>
          <w:tcPr>
            <w:tcW w:type="dxa" w:w="2074"/>
            <w:vAlign w:val="center"/>
            <w:shd w:val="clear" w:color="auto" w:fill="E9EEF3"/>
          </w:tcPr>
          <w:p>
            <w:pPr>
              <w:keepNext/>
              <w:spacing w:before="40" w:after="40" w:line="240" w:lineRule="auto"/>
              <w:jc w:val="left"/>
            </w:pPr>
            <w:r>
              <w:rPr>
                <w:rFonts w:ascii="Arial" w:hAnsi="Arial" w:eastAsia="Arial" w:cs="Arial"/>
                <w:b/>
                <w:sz w:val="21"/>
              </w:rPr>
              <w:t>Group</w:t>
            </w:r>
          </w:p>
        </w:tc>
        <w:tc>
          <w:tcPr>
            <w:tcW w:type="dxa" w:w="1049"/>
            <w:vAlign w:val="center"/>
            <w:shd w:val="clear" w:color="auto" w:fill="E9EEF3"/>
          </w:tcPr>
          <w:p>
            <w:pPr>
              <w:keepNext/>
              <w:spacing w:before="40" w:after="40" w:line="240" w:lineRule="auto"/>
              <w:jc w:val="left"/>
            </w:pPr>
            <w:r>
              <w:rPr>
                <w:rFonts w:ascii="Arial" w:hAnsi="Arial" w:eastAsia="Arial" w:cs="Arial"/>
                <w:b/>
                <w:sz w:val="21"/>
              </w:rPr>
              <w:t>Homes</w:t>
            </w:r>
          </w:p>
        </w:tc>
        <w:tc>
          <w:tcPr>
            <w:tcW w:type="dxa" w:w="1049"/>
            <w:vAlign w:val="center"/>
            <w:shd w:val="clear" w:color="auto" w:fill="E9EEF3"/>
          </w:tcPr>
          <w:p>
            <w:pPr>
              <w:keepNext/>
              <w:spacing w:before="40" w:after="40" w:line="240" w:lineRule="auto"/>
              <w:jc w:val="left"/>
            </w:pPr>
            <w:r>
              <w:rPr>
                <w:rFonts w:ascii="Arial" w:hAnsi="Arial" w:eastAsia="Arial" w:cs="Arial"/>
                <w:b/>
                <w:sz w:val="21"/>
              </w:rPr>
              <w:t>Share busy</w:t>
            </w:r>
          </w:p>
        </w:tc>
        <w:tc>
          <w:tcPr>
            <w:tcW w:type="dxa" w:w="1356"/>
            <w:vAlign w:val="center"/>
            <w:shd w:val="clear" w:color="auto" w:fill="E9EEF3"/>
          </w:tcPr>
          <w:p>
            <w:pPr>
              <w:keepNext/>
              <w:spacing w:before="40" w:after="40" w:line="240" w:lineRule="auto"/>
              <w:jc w:val="left"/>
            </w:pPr>
            <w:r>
              <w:rPr>
                <w:rFonts w:ascii="Arial" w:hAnsi="Arial" w:eastAsia="Arial" w:cs="Arial"/>
                <w:b/>
                <w:sz w:val="21"/>
              </w:rPr>
              <w:t>Nights, all homes</w:t>
            </w:r>
          </w:p>
        </w:tc>
        <w:tc>
          <w:tcPr>
            <w:tcW w:type="dxa" w:w="1509"/>
            <w:vAlign w:val="center"/>
            <w:shd w:val="clear" w:color="auto" w:fill="E9EEF3"/>
          </w:tcPr>
          <w:p>
            <w:pPr>
              <w:keepNext/>
              <w:spacing w:before="40" w:after="40" w:line="240" w:lineRule="auto"/>
              <w:jc w:val="left"/>
            </w:pPr>
            <w:r>
              <w:rPr>
                <w:rFonts w:ascii="Arial" w:hAnsi="Arial" w:eastAsia="Arial" w:cs="Arial"/>
                <w:b/>
                <w:sz w:val="21"/>
              </w:rPr>
              <w:t>Revenue, all homes</w:t>
            </w:r>
          </w:p>
        </w:tc>
        <w:tc>
          <w:tcPr>
            <w:tcW w:type="dxa" w:w="1314"/>
            <w:vAlign w:val="center"/>
            <w:shd w:val="clear" w:color="auto" w:fill="E9EEF3"/>
          </w:tcPr>
          <w:p>
            <w:pPr>
              <w:keepNext/>
              <w:spacing w:before="40" w:after="40" w:line="240" w:lineRule="auto"/>
              <w:jc w:val="left"/>
            </w:pPr>
            <w:r>
              <w:rPr>
                <w:rFonts w:ascii="Arial" w:hAnsi="Arial" w:eastAsia="Arial" w:cs="Arial"/>
                <w:b/>
                <w:sz w:val="21"/>
              </w:rPr>
              <w:t>Revenue rank</w:t>
            </w:r>
          </w:p>
        </w:tc>
        <w:tc>
          <w:tcPr>
            <w:tcW w:type="dxa" w:w="1509"/>
            <w:vAlign w:val="center"/>
            <w:shd w:val="clear" w:color="auto" w:fill="E9EEF3"/>
          </w:tcPr>
          <w:p>
            <w:pPr>
              <w:keepNext/>
              <w:spacing w:before="40" w:after="40" w:line="240" w:lineRule="auto"/>
              <w:jc w:val="left"/>
            </w:pPr>
            <w:r>
              <w:rPr>
                <w:rFonts w:ascii="Arial" w:hAnsi="Arial" w:eastAsia="Arial" w:cs="Arial"/>
                <w:b/>
                <w:sz w:val="21"/>
              </w:rPr>
              <w:t>Revenue, not busy</w:t>
            </w:r>
          </w:p>
        </w:tc>
      </w:tr>
      <w:tr>
        <w:trPr>
          <w:cantSplit/>
        </w:trPr>
        <w:tc>
          <w:tcPr>
            <w:tcW w:type="dxa" w:w="2074"/>
            <w:vAlign w:val="center"/>
            <w:shd w:val="clear" w:color="auto" w:fill="FFFFFF"/>
          </w:tcPr>
          <w:p>
            <w:pPr>
              <w:keepNext/>
              <w:spacing w:before="40" w:after="40" w:line="240" w:lineRule="auto"/>
              <w:jc w:val="left"/>
            </w:pPr>
            <w:r>
              <w:rPr>
                <w:rFonts w:ascii="Arial" w:hAnsi="Arial" w:eastAsia="Arial" w:cs="Arial"/>
                <w:sz w:val="21"/>
              </w:rPr>
              <w:t>City 3-bed apartments</w:t>
            </w:r>
          </w:p>
        </w:tc>
        <w:tc>
          <w:tcPr>
            <w:tcW w:type="dxa" w:w="1049"/>
            <w:vAlign w:val="center"/>
            <w:shd w:val="clear" w:color="auto" w:fill="FFFFFF"/>
          </w:tcPr>
          <w:p>
            <w:pPr>
              <w:keepNext/>
              <w:spacing w:before="40" w:after="40" w:line="240" w:lineRule="auto"/>
              <w:jc w:val="right"/>
            </w:pPr>
            <w:r>
              <w:rPr>
                <w:rFonts w:ascii="Arial" w:hAnsi="Arial" w:eastAsia="Arial" w:cs="Arial"/>
                <w:sz w:val="21"/>
              </w:rPr>
              <w:t>306</w:t>
            </w:r>
          </w:p>
        </w:tc>
        <w:tc>
          <w:tcPr>
            <w:tcW w:type="dxa" w:w="1049"/>
            <w:vAlign w:val="center"/>
            <w:shd w:val="clear" w:color="auto" w:fill="FFFFFF"/>
          </w:tcPr>
          <w:p>
            <w:pPr>
              <w:keepNext/>
              <w:spacing w:before="40" w:after="40" w:line="240" w:lineRule="auto"/>
              <w:jc w:val="right"/>
            </w:pPr>
            <w:r>
              <w:rPr>
                <w:rFonts w:ascii="Arial" w:hAnsi="Arial" w:eastAsia="Arial" w:cs="Arial"/>
                <w:sz w:val="21"/>
              </w:rPr>
              <w:t>36.6%</w:t>
            </w:r>
          </w:p>
        </w:tc>
        <w:tc>
          <w:tcPr>
            <w:tcW w:type="dxa" w:w="1356"/>
            <w:vAlign w:val="center"/>
            <w:shd w:val="clear" w:color="auto" w:fill="FFFFFF"/>
          </w:tcPr>
          <w:p>
            <w:pPr>
              <w:keepNext/>
              <w:spacing w:before="40" w:after="40" w:line="240" w:lineRule="auto"/>
              <w:jc w:val="right"/>
            </w:pPr>
            <w:r>
              <w:rPr>
                <w:rFonts w:ascii="Arial" w:hAnsi="Arial" w:eastAsia="Arial" w:cs="Arial"/>
                <w:sz w:val="21"/>
              </w:rPr>
              <w:t>126</w:t>
            </w:r>
          </w:p>
        </w:tc>
        <w:tc>
          <w:tcPr>
            <w:tcW w:type="dxa" w:w="1509"/>
            <w:vAlign w:val="center"/>
            <w:shd w:val="clear" w:color="auto" w:fill="FFFFFF"/>
          </w:tcPr>
          <w:p>
            <w:pPr>
              <w:keepNext/>
              <w:spacing w:before="40" w:after="40" w:line="240" w:lineRule="auto"/>
              <w:jc w:val="right"/>
            </w:pPr>
            <w:r>
              <w:rPr>
                <w:rFonts w:ascii="Arial" w:hAnsi="Arial" w:eastAsia="Arial" w:cs="Arial"/>
                <w:sz w:val="21"/>
              </w:rPr>
              <w:t>48,600</w:t>
            </w:r>
          </w:p>
        </w:tc>
        <w:tc>
          <w:tcPr>
            <w:tcW w:type="dxa" w:w="1314"/>
            <w:vAlign w:val="center"/>
            <w:shd w:val="clear" w:color="auto" w:fill="FFFFFF"/>
          </w:tcPr>
          <w:p>
            <w:pPr>
              <w:keepNext/>
              <w:spacing w:before="40" w:after="40" w:line="240" w:lineRule="auto"/>
              <w:jc w:val="right"/>
            </w:pPr>
            <w:r>
              <w:rPr>
                <w:rFonts w:ascii="Arial" w:hAnsi="Arial" w:eastAsia="Arial" w:cs="Arial"/>
                <w:sz w:val="21"/>
              </w:rPr>
              <w:t>1</w:t>
            </w:r>
          </w:p>
        </w:tc>
        <w:tc>
          <w:tcPr>
            <w:tcW w:type="dxa" w:w="1509"/>
            <w:vAlign w:val="center"/>
            <w:shd w:val="clear" w:color="auto" w:fill="FFFFFF"/>
          </w:tcPr>
          <w:p>
            <w:pPr>
              <w:keepNext/>
              <w:spacing w:before="40" w:after="40" w:line="240" w:lineRule="auto"/>
              <w:jc w:val="right"/>
            </w:pPr>
            <w:r>
              <w:rPr>
                <w:rFonts w:ascii="Arial" w:hAnsi="Arial" w:eastAsia="Arial" w:cs="Arial"/>
                <w:sz w:val="21"/>
              </w:rPr>
              <w:t>32,100</w:t>
            </w:r>
          </w:p>
        </w:tc>
      </w:tr>
      <w:tr>
        <w:trPr>
          <w:cantSplit/>
        </w:trPr>
        <w:tc>
          <w:tcPr>
            <w:tcW w:type="dxa" w:w="2074"/>
            <w:vAlign w:val="center"/>
            <w:shd w:val="clear" w:color="auto" w:fill="FFFFFF"/>
          </w:tcPr>
          <w:p>
            <w:pPr>
              <w:keepNext/>
              <w:spacing w:before="40" w:after="40" w:line="240" w:lineRule="auto"/>
              <w:jc w:val="left"/>
            </w:pPr>
            <w:r>
              <w:rPr>
                <w:rFonts w:ascii="Arial" w:hAnsi="Arial" w:eastAsia="Arial" w:cs="Arial"/>
                <w:sz w:val="21"/>
              </w:rPr>
              <w:t>City 2-bed apartments</w:t>
            </w:r>
          </w:p>
        </w:tc>
        <w:tc>
          <w:tcPr>
            <w:tcW w:type="dxa" w:w="1049"/>
            <w:vAlign w:val="center"/>
            <w:shd w:val="clear" w:color="auto" w:fill="FFFFFF"/>
          </w:tcPr>
          <w:p>
            <w:pPr>
              <w:keepNext/>
              <w:spacing w:before="40" w:after="40" w:line="240" w:lineRule="auto"/>
              <w:jc w:val="right"/>
            </w:pPr>
            <w:r>
              <w:rPr>
                <w:rFonts w:ascii="Arial" w:hAnsi="Arial" w:eastAsia="Arial" w:cs="Arial"/>
                <w:sz w:val="21"/>
              </w:rPr>
              <w:t>1,235</w:t>
            </w:r>
          </w:p>
        </w:tc>
        <w:tc>
          <w:tcPr>
            <w:tcW w:type="dxa" w:w="1049"/>
            <w:vAlign w:val="center"/>
            <w:shd w:val="clear" w:color="auto" w:fill="FFFFFF"/>
          </w:tcPr>
          <w:p>
            <w:pPr>
              <w:keepNext/>
              <w:spacing w:before="40" w:after="40" w:line="240" w:lineRule="auto"/>
              <w:jc w:val="right"/>
            </w:pPr>
            <w:r>
              <w:rPr>
                <w:rFonts w:ascii="Arial" w:hAnsi="Arial" w:eastAsia="Arial" w:cs="Arial"/>
                <w:sz w:val="21"/>
              </w:rPr>
              <w:t>32.8%</w:t>
            </w:r>
          </w:p>
        </w:tc>
        <w:tc>
          <w:tcPr>
            <w:tcW w:type="dxa" w:w="1356"/>
            <w:vAlign w:val="center"/>
            <w:shd w:val="clear" w:color="auto" w:fill="FFFFFF"/>
          </w:tcPr>
          <w:p>
            <w:pPr>
              <w:keepNext/>
              <w:spacing w:before="40" w:after="40" w:line="240" w:lineRule="auto"/>
              <w:jc w:val="right"/>
            </w:pPr>
            <w:r>
              <w:rPr>
                <w:rFonts w:ascii="Arial" w:hAnsi="Arial" w:eastAsia="Arial" w:cs="Arial"/>
                <w:sz w:val="21"/>
              </w:rPr>
              <w:t>108</w:t>
            </w:r>
          </w:p>
        </w:tc>
        <w:tc>
          <w:tcPr>
            <w:tcW w:type="dxa" w:w="1509"/>
            <w:vAlign w:val="center"/>
            <w:shd w:val="clear" w:color="auto" w:fill="FFFFFF"/>
          </w:tcPr>
          <w:p>
            <w:pPr>
              <w:keepNext/>
              <w:spacing w:before="40" w:after="40" w:line="240" w:lineRule="auto"/>
              <w:jc w:val="right"/>
            </w:pPr>
            <w:r>
              <w:rPr>
                <w:rFonts w:ascii="Arial" w:hAnsi="Arial" w:eastAsia="Arial" w:cs="Arial"/>
                <w:sz w:val="21"/>
              </w:rPr>
              <w:t>30,600</w:t>
            </w:r>
          </w:p>
        </w:tc>
        <w:tc>
          <w:tcPr>
            <w:tcW w:type="dxa" w:w="1314"/>
            <w:vAlign w:val="center"/>
            <w:shd w:val="clear" w:color="auto" w:fill="FFFFFF"/>
          </w:tcPr>
          <w:p>
            <w:pPr>
              <w:keepNext/>
              <w:spacing w:before="40" w:after="40" w:line="240" w:lineRule="auto"/>
              <w:jc w:val="right"/>
            </w:pPr>
            <w:r>
              <w:rPr>
                <w:rFonts w:ascii="Arial" w:hAnsi="Arial" w:eastAsia="Arial" w:cs="Arial"/>
                <w:sz w:val="21"/>
              </w:rPr>
              <w:t>5</w:t>
            </w:r>
          </w:p>
        </w:tc>
        <w:tc>
          <w:tcPr>
            <w:tcW w:type="dxa" w:w="1509"/>
            <w:vAlign w:val="center"/>
            <w:shd w:val="clear" w:color="auto" w:fill="FFFFFF"/>
          </w:tcPr>
          <w:p>
            <w:pPr>
              <w:keepNext/>
              <w:spacing w:before="40" w:after="40" w:line="240" w:lineRule="auto"/>
              <w:jc w:val="right"/>
            </w:pPr>
            <w:r>
              <w:rPr>
                <w:rFonts w:ascii="Arial" w:hAnsi="Arial" w:eastAsia="Arial" w:cs="Arial"/>
                <w:sz w:val="21"/>
              </w:rPr>
              <w:t>16,600</w:t>
            </w:r>
          </w:p>
        </w:tc>
      </w:tr>
      <w:tr>
        <w:trPr>
          <w:cantSplit/>
        </w:trPr>
        <w:tc>
          <w:tcPr>
            <w:tcW w:type="dxa" w:w="2074"/>
            <w:vAlign w:val="center"/>
            <w:shd w:val="clear" w:color="auto" w:fill="FFFFFF"/>
          </w:tcPr>
          <w:p>
            <w:pPr>
              <w:keepNext/>
              <w:spacing w:before="40" w:after="40" w:line="240" w:lineRule="auto"/>
              <w:jc w:val="left"/>
            </w:pPr>
            <w:r>
              <w:rPr>
                <w:rFonts w:ascii="Arial" w:hAnsi="Arial" w:eastAsia="Arial" w:cs="Arial"/>
                <w:sz w:val="21"/>
              </w:rPr>
              <w:t>Yarra Ranges 3-bed houses</w:t>
            </w:r>
          </w:p>
        </w:tc>
        <w:tc>
          <w:tcPr>
            <w:tcW w:type="dxa" w:w="1049"/>
            <w:vAlign w:val="center"/>
            <w:shd w:val="clear" w:color="auto" w:fill="FFFFFF"/>
          </w:tcPr>
          <w:p>
            <w:pPr>
              <w:keepNext/>
              <w:spacing w:before="40" w:after="40" w:line="240" w:lineRule="auto"/>
              <w:jc w:val="right"/>
            </w:pPr>
            <w:r>
              <w:rPr>
                <w:rFonts w:ascii="Arial" w:hAnsi="Arial" w:eastAsia="Arial" w:cs="Arial"/>
                <w:sz w:val="21"/>
              </w:rPr>
              <w:t>90</w:t>
            </w:r>
          </w:p>
        </w:tc>
        <w:tc>
          <w:tcPr>
            <w:tcW w:type="dxa" w:w="1049"/>
            <w:vAlign w:val="center"/>
            <w:shd w:val="clear" w:color="auto" w:fill="FFFFFF"/>
          </w:tcPr>
          <w:p>
            <w:pPr>
              <w:keepNext/>
              <w:spacing w:before="40" w:after="40" w:line="240" w:lineRule="auto"/>
              <w:jc w:val="right"/>
            </w:pPr>
            <w:r>
              <w:rPr>
                <w:rFonts w:ascii="Arial" w:hAnsi="Arial" w:eastAsia="Arial" w:cs="Arial"/>
                <w:sz w:val="21"/>
              </w:rPr>
              <w:t>30.0%</w:t>
            </w:r>
          </w:p>
        </w:tc>
        <w:tc>
          <w:tcPr>
            <w:tcW w:type="dxa" w:w="1356"/>
            <w:vAlign w:val="center"/>
            <w:shd w:val="clear" w:color="auto" w:fill="FFFFFF"/>
          </w:tcPr>
          <w:p>
            <w:pPr>
              <w:keepNext/>
              <w:spacing w:before="40" w:after="40" w:line="240" w:lineRule="auto"/>
              <w:jc w:val="right"/>
            </w:pPr>
            <w:r>
              <w:rPr>
                <w:rFonts w:ascii="Arial" w:hAnsi="Arial" w:eastAsia="Arial" w:cs="Arial"/>
                <w:sz w:val="21"/>
              </w:rPr>
              <w:t>120</w:t>
            </w:r>
          </w:p>
        </w:tc>
        <w:tc>
          <w:tcPr>
            <w:tcW w:type="dxa" w:w="1509"/>
            <w:vAlign w:val="center"/>
            <w:shd w:val="clear" w:color="auto" w:fill="FFFFFF"/>
          </w:tcPr>
          <w:p>
            <w:pPr>
              <w:keepNext/>
              <w:spacing w:before="40" w:after="40" w:line="240" w:lineRule="auto"/>
              <w:jc w:val="right"/>
            </w:pPr>
            <w:r>
              <w:rPr>
                <w:rFonts w:ascii="Arial" w:hAnsi="Arial" w:eastAsia="Arial" w:cs="Arial"/>
                <w:sz w:val="21"/>
              </w:rPr>
              <w:t>46,100</w:t>
            </w:r>
          </w:p>
        </w:tc>
        <w:tc>
          <w:tcPr>
            <w:tcW w:type="dxa" w:w="1314"/>
            <w:vAlign w:val="center"/>
            <w:shd w:val="clear" w:color="auto" w:fill="FFFFFF"/>
          </w:tcPr>
          <w:p>
            <w:pPr>
              <w:keepNext/>
              <w:spacing w:before="40" w:after="40" w:line="240" w:lineRule="auto"/>
              <w:jc w:val="right"/>
            </w:pPr>
            <w:r>
              <w:rPr>
                <w:rFonts w:ascii="Arial" w:hAnsi="Arial" w:eastAsia="Arial" w:cs="Arial"/>
                <w:sz w:val="21"/>
              </w:rPr>
              <w:t>2</w:t>
            </w:r>
          </w:p>
        </w:tc>
        <w:tc>
          <w:tcPr>
            <w:tcW w:type="dxa" w:w="1509"/>
            <w:vAlign w:val="center"/>
            <w:shd w:val="clear" w:color="auto" w:fill="FFFFFF"/>
          </w:tcPr>
          <w:p>
            <w:pPr>
              <w:keepNext/>
              <w:spacing w:before="40" w:after="40" w:line="240" w:lineRule="auto"/>
              <w:jc w:val="right"/>
            </w:pPr>
            <w:r>
              <w:rPr>
                <w:rFonts w:ascii="Arial" w:hAnsi="Arial" w:eastAsia="Arial" w:cs="Arial"/>
                <w:sz w:val="21"/>
              </w:rPr>
              <w:t>31,100</w:t>
            </w:r>
          </w:p>
        </w:tc>
      </w:tr>
      <w:tr>
        <w:trPr>
          <w:cantSplit/>
        </w:trPr>
        <w:tc>
          <w:tcPr>
            <w:tcW w:type="dxa" w:w="2074"/>
            <w:vAlign w:val="center"/>
            <w:shd w:val="clear" w:color="auto" w:fill="FFFFFF"/>
          </w:tcPr>
          <w:p>
            <w:pPr>
              <w:spacing w:before="40" w:after="40" w:line="240" w:lineRule="auto"/>
              <w:jc w:val="left"/>
            </w:pPr>
            <w:r>
              <w:rPr>
                <w:rFonts w:ascii="Arial" w:hAnsi="Arial" w:eastAsia="Arial" w:cs="Arial"/>
                <w:sz w:val="21"/>
              </w:rPr>
              <w:t>All 14 groups</w:t>
            </w:r>
          </w:p>
        </w:tc>
        <w:tc>
          <w:tcPr>
            <w:tcW w:type="dxa" w:w="1049"/>
            <w:vAlign w:val="center"/>
            <w:shd w:val="clear" w:color="auto" w:fill="FFFFFF"/>
          </w:tcPr>
          <w:p>
            <w:pPr>
              <w:spacing w:before="40" w:after="40" w:line="240" w:lineRule="auto"/>
              <w:jc w:val="right"/>
            </w:pPr>
            <w:r>
              <w:rPr>
                <w:rFonts w:ascii="Arial" w:hAnsi="Arial" w:eastAsia="Arial" w:cs="Arial"/>
                <w:sz w:val="21"/>
              </w:rPr>
              <w:t>3,873</w:t>
            </w:r>
          </w:p>
        </w:tc>
        <w:tc>
          <w:tcPr>
            <w:tcW w:type="dxa" w:w="1049"/>
            <w:vAlign w:val="center"/>
            <w:shd w:val="clear" w:color="auto" w:fill="FFFFFF"/>
          </w:tcPr>
          <w:p>
            <w:pPr>
              <w:spacing w:before="40" w:after="40" w:line="240" w:lineRule="auto"/>
              <w:jc w:val="right"/>
            </w:pPr>
            <w:r>
              <w:rPr>
                <w:rFonts w:ascii="Arial" w:hAnsi="Arial" w:eastAsia="Arial" w:cs="Arial"/>
                <w:sz w:val="21"/>
              </w:rPr>
              <w:t>25.3%</w:t>
            </w:r>
          </w:p>
        </w:tc>
        <w:tc>
          <w:tcPr>
            <w:tcW w:type="dxa" w:w="1356"/>
            <w:vAlign w:val="center"/>
            <w:shd w:val="clear" w:color="auto" w:fill="FFFFFF"/>
          </w:tcPr>
          <w:p>
            <w:pPr>
              <w:spacing w:before="40" w:after="40" w:line="240" w:lineRule="auto"/>
              <w:jc w:val="right"/>
            </w:pPr>
            <w:r>
              <w:rPr>
                <w:rFonts w:ascii="Arial" w:hAnsi="Arial" w:eastAsia="Arial" w:cs="Arial"/>
                <w:sz w:val="21"/>
              </w:rPr>
              <w:t>96</w:t>
            </w:r>
          </w:p>
        </w:tc>
        <w:tc>
          <w:tcPr>
            <w:tcW w:type="dxa" w:w="1509"/>
            <w:vAlign w:val="center"/>
            <w:shd w:val="clear" w:color="auto" w:fill="FFFFFF"/>
          </w:tcPr>
          <w:p>
            <w:pPr>
              <w:spacing w:before="40" w:after="40" w:line="240" w:lineRule="auto"/>
              <w:jc w:val="right"/>
            </w:pPr>
            <w:r>
              <w:rPr>
                <w:rFonts w:ascii="Arial" w:hAnsi="Arial" w:eastAsia="Arial" w:cs="Arial"/>
                <w:sz w:val="21"/>
              </w:rPr>
              <w:t>24,700</w:t>
            </w:r>
          </w:p>
        </w:tc>
        <w:tc>
          <w:tcPr>
            <w:tcW w:type="dxa" w:w="1314"/>
            <w:vAlign w:val="center"/>
            <w:shd w:val="clear" w:color="auto" w:fill="FFFFFF"/>
          </w:tcPr>
          <w:p>
            <w:pPr>
              <w:spacing w:before="40" w:after="40" w:line="240" w:lineRule="auto"/>
              <w:jc w:val="right"/>
            </w:pPr>
            <w:r>
              <w:rPr>
                <w:rFonts w:ascii="Arial" w:hAnsi="Arial" w:eastAsia="Arial" w:cs="Arial"/>
                <w:sz w:val="21"/>
              </w:rPr>
              <w:t>–</w:t>
            </w:r>
          </w:p>
        </w:tc>
        <w:tc>
          <w:tcPr>
            <w:tcW w:type="dxa" w:w="1509"/>
            <w:vAlign w:val="center"/>
            <w:shd w:val="clear" w:color="auto" w:fill="FFFFFF"/>
          </w:tcPr>
          <w:p>
            <w:pPr>
              <w:spacing w:before="40" w:after="40" w:line="240" w:lineRule="auto"/>
              <w:jc w:val="right"/>
            </w:pPr>
            <w:r>
              <w:rPr>
                <w:rFonts w:ascii="Arial" w:hAnsi="Arial" w:eastAsia="Arial" w:cs="Arial"/>
                <w:sz w:val="21"/>
              </w:rPr>
              <w:t>16,600</w:t>
            </w:r>
          </w:p>
        </w:tc>
      </w:tr>
    </w:tbl>
    <w:p>
      <w:pPr>
        <w:widowControl/>
        <w:spacing w:after="80" w:line="240" w:lineRule="auto"/>
        <w:jc w:val="left"/>
      </w:pPr>
    </w:p>
    <w:p>
      <w:pPr>
        <w:widowControl/>
        <w:spacing w:after="120" w:line="259" w:lineRule="auto"/>
        <w:jc w:val="left"/>
      </w:pPr>
      <w:r>
        <w:rPr>
          <w:rFonts w:ascii="Arial" w:hAnsi="Arial" w:eastAsia="Arial" w:cs="Arial"/>
          <w:b/>
        </w:rPr>
        <w:t>Activity and revenue rank groups differently.</w:t>
      </w:r>
      <w:r>
        <w:rPr>
          <w:rFonts w:ascii="Arial" w:hAnsi="Arial" w:eastAsia="Arial" w:cs="Arial"/>
        </w:rPr>
        <w:t xml:space="preserve"> On median revenue, Yarra Ranges houses rank second of 14 and City two-bedroom apartments fifth, because the houses charge more a night (AUD 426 against 285). Without rents, revenue cannot show which lease is better, so activity guides the search and revenue tests each lease.</w:t>
      </w:r>
    </w:p>
    <w:p>
      <w:pPr>
        <w:pStyle w:val="Heading2"/>
        <w:keepNext/>
      </w:pPr>
      <w:r>
        <w:rPr>
          <w:rFonts w:ascii="Arial" w:hAnsi="Arial" w:eastAsia="Arial" w:cs="Arial"/>
        </w:rPr>
        <w:t>5.3 Predictive analysis: one-night stays and price go with busy homes</w:t>
      </w:r>
    </w:p>
    <w:p>
      <w:pPr>
        <w:widowControl/>
        <w:spacing w:after="120" w:line="259" w:lineRule="auto"/>
        <w:jc w:val="left"/>
      </w:pPr>
      <w:r>
        <w:rPr>
          <w:rFonts w:ascii="Arial" w:hAnsi="Arial" w:eastAsia="Arial" w:cs="Arial"/>
        </w:rPr>
        <w:t xml:space="preserve">Holding other inputs fixed, a typical City two-bedroom apartment has a </w:t>
      </w:r>
      <w:r>
        <w:rPr>
          <w:rFonts w:ascii="Arial" w:hAnsi="Arial" w:eastAsia="Arial" w:cs="Arial"/>
          <w:b/>
        </w:rPr>
        <w:t>42%</w:t>
      </w:r>
      <w:r>
        <w:rPr>
          <w:rFonts w:ascii="Arial" w:hAnsi="Arial" w:eastAsia="Arial" w:cs="Arial"/>
        </w:rPr>
        <w:t xml:space="preserve"> chance of being busy with one-night stays, but </w:t>
      </w:r>
      <w:r>
        <w:rPr>
          <w:rFonts w:ascii="Arial" w:hAnsi="Arial" w:eastAsia="Arial" w:cs="Arial"/>
          <w:b/>
        </w:rPr>
        <w:t>18%</w:t>
      </w:r>
      <w:r>
        <w:rPr>
          <w:rFonts w:ascii="Arial" w:hAnsi="Arial" w:eastAsia="Arial" w:cs="Arial"/>
        </w:rPr>
        <w:t xml:space="preserve"> with a two-night minimum or longer (Figure 3, Table A1). Pricing 20% above similar homes lowers the chance to </w:t>
      </w:r>
      <w:r>
        <w:rPr>
          <w:rFonts w:ascii="Arial" w:hAnsi="Arial" w:eastAsia="Arial" w:cs="Arial"/>
          <w:b/>
        </w:rPr>
        <w:t>36%</w:t>
      </w:r>
      <w:r>
        <w:rPr>
          <w:rFonts w:ascii="Arial" w:hAnsi="Arial" w:eastAsia="Arial" w:cs="Arial"/>
        </w:rPr>
        <w:t xml:space="preserve">, and ten more amenities raise it to </w:t>
      </w:r>
      <w:r>
        <w:rPr>
          <w:rFonts w:ascii="Arial" w:hAnsi="Arial" w:eastAsia="Arial" w:cs="Arial"/>
          <w:b/>
        </w:rPr>
        <w:t>48%</w:t>
      </w:r>
      <w:r>
        <w:rPr>
          <w:rFonts w:ascii="Arial" w:hAnsi="Arial" w:eastAsia="Arial" w:cs="Arial"/>
        </w:rPr>
        <w:t>. The same apartment would score 26–27% in Port Phillip or Stonnington. These are associations, not guarantees.</w:t>
      </w:r>
    </w:p>
    <w:p>
      <w:pPr>
        <w:keepNext/>
        <w:widowControl/>
        <w:spacing w:after="40" w:before="80" w:line="240" w:lineRule="auto"/>
        <w:jc w:val="center"/>
      </w:pPr>
      <w:r>
        <w:drawing>
          <wp:inline xmlns:a="http://schemas.openxmlformats.org/drawingml/2006/main" xmlns:pic="http://schemas.openxmlformats.org/drawingml/2006/picture">
            <wp:extent cx="6035040" cy="2738634"/>
            <wp:docPr id="3" name="Picture 3"/>
            <wp:cNvGraphicFramePr>
              <a:graphicFrameLocks noChangeAspect="1"/>
            </wp:cNvGraphicFramePr>
            <a:graphic>
              <a:graphicData uri="http://schemas.openxmlformats.org/drawingml/2006/picture">
                <pic:pic>
                  <pic:nvPicPr>
                    <pic:cNvPr id="0" name="figure_3_factors.png"/>
                    <pic:cNvPicPr/>
                  </pic:nvPicPr>
                  <pic:blipFill>
                    <a:blip r:embed="rId22"/>
                    <a:stretch>
                      <a:fillRect/>
                    </a:stretch>
                  </pic:blipFill>
                  <pic:spPr>
                    <a:xfrm>
                      <a:off x="0" y="0"/>
                      <a:ext cx="6035040" cy="2738634"/>
                    </a:xfrm>
                    <a:prstGeom prst="rect"/>
                  </pic:spPr>
                </pic:pic>
              </a:graphicData>
            </a:graphic>
          </wp:inline>
        </w:drawing>
      </w:r>
    </w:p>
    <w:p>
      <w:pPr>
        <w:pStyle w:val="Caption"/>
      </w:pPr>
      <w:r>
        <w:rPr>
          <w:rFonts w:ascii="Arial" w:hAnsi="Arial" w:eastAsia="Arial" w:cs="Arial"/>
          <w:b/>
        </w:rPr>
        <w:t>Figure 3.</w:t>
      </w:r>
      <w:r>
        <w:rPr>
          <w:rFonts w:ascii="Arial" w:hAnsi="Arial" w:eastAsia="Arial" w:cs="Arial"/>
        </w:rPr>
        <w:t xml:space="preserve"> Chance that a typical City two-bedroom apartment (one-night stays, median price and amenities) is busy as one input changes; 95% confidence intervals.</w:t>
      </w:r>
    </w:p>
    <w:p>
      <w:pPr>
        <w:widowControl/>
        <w:spacing w:after="120" w:line="259" w:lineRule="auto"/>
        <w:jc w:val="left"/>
      </w:pPr>
      <w:r>
        <w:rPr>
          <w:rFonts w:ascii="Arial" w:hAnsi="Arial" w:eastAsia="Arial" w:cs="Arial"/>
        </w:rPr>
        <w:t>A two-setting rule turns this into a simple check (Table 5). In the priority groups, half (50.4%) of homes with one-night stays priced at or below their group median were busy, against a third (33.4%) of all homes in these groups and 9.3% with neither setting. Only 20 of 90 Yarra Ranges houses accept one-night stays, so the rule rests mainly on City apartments.</w:t>
      </w:r>
    </w:p>
    <w:p>
      <w:pPr>
        <w:keepNext/>
        <w:widowControl/>
        <w:spacing w:after="80" w:before="80" w:line="259" w:lineRule="auto"/>
        <w:jc w:val="left"/>
      </w:pPr>
      <w:r>
        <w:rPr>
          <w:rFonts w:ascii="Arial" w:hAnsi="Arial" w:eastAsia="Arial" w:cs="Arial"/>
          <w:b/>
        </w:rPr>
        <w:t>Table 5. Share of busy homes in the three priority groups, by two settings</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3468"/>
        <w:gridCol w:w="3198"/>
        <w:gridCol w:w="3198"/>
      </w:tblGrid>
      <w:tr>
        <w:trPr>
          <w:cantSplit/>
          <w:tblHeader/>
        </w:trPr>
        <w:tc>
          <w:tcPr>
            <w:tcW w:type="dxa" w:w="3468"/>
            <w:vAlign w:val="center"/>
            <w:shd w:val="clear" w:color="auto" w:fill="E9EEF3"/>
          </w:tcPr>
          <w:p>
            <w:pPr>
              <w:keepNext/>
              <w:spacing w:before="40" w:after="40" w:line="240" w:lineRule="auto"/>
              <w:jc w:val="left"/>
            </w:pPr>
            <w:r>
              <w:rPr>
                <w:rFonts w:ascii="Arial" w:hAnsi="Arial" w:eastAsia="Arial" w:cs="Arial"/>
                <w:b/>
                <w:sz w:val="21"/>
              </w:rPr>
              <w:t>Minimum stay</w:t>
            </w:r>
          </w:p>
        </w:tc>
        <w:tc>
          <w:tcPr>
            <w:tcW w:type="dxa" w:w="3198"/>
            <w:vAlign w:val="center"/>
            <w:shd w:val="clear" w:color="auto" w:fill="E9EEF3"/>
          </w:tcPr>
          <w:p>
            <w:pPr>
              <w:keepNext/>
              <w:spacing w:before="40" w:after="40" w:line="240" w:lineRule="auto"/>
              <w:jc w:val="left"/>
            </w:pPr>
            <w:r>
              <w:rPr>
                <w:rFonts w:ascii="Arial" w:hAnsi="Arial" w:eastAsia="Arial" w:cs="Arial"/>
                <w:b/>
                <w:sz w:val="21"/>
              </w:rPr>
              <w:t>Price at or below group median</w:t>
            </w:r>
          </w:p>
        </w:tc>
        <w:tc>
          <w:tcPr>
            <w:tcW w:type="dxa" w:w="3198"/>
            <w:vAlign w:val="center"/>
            <w:shd w:val="clear" w:color="auto" w:fill="E9EEF3"/>
          </w:tcPr>
          <w:p>
            <w:pPr>
              <w:keepNext/>
              <w:spacing w:before="40" w:after="40" w:line="240" w:lineRule="auto"/>
              <w:jc w:val="left"/>
            </w:pPr>
            <w:r>
              <w:rPr>
                <w:rFonts w:ascii="Arial" w:hAnsi="Arial" w:eastAsia="Arial" w:cs="Arial"/>
                <w:b/>
                <w:sz w:val="21"/>
              </w:rPr>
              <w:t>Price above group median</w:t>
            </w:r>
          </w:p>
        </w:tc>
      </w:tr>
      <w:tr>
        <w:trPr>
          <w:cantSplit/>
        </w:trPr>
        <w:tc>
          <w:tcPr>
            <w:tcW w:type="dxa" w:w="3468"/>
            <w:vAlign w:val="center"/>
            <w:shd w:val="clear" w:color="auto" w:fill="FFFFFF"/>
          </w:tcPr>
          <w:p>
            <w:pPr>
              <w:keepNext/>
              <w:spacing w:before="40" w:after="40" w:line="240" w:lineRule="auto"/>
              <w:jc w:val="left"/>
            </w:pPr>
            <w:r>
              <w:rPr>
                <w:rFonts w:ascii="Arial" w:hAnsi="Arial" w:eastAsia="Arial" w:cs="Arial"/>
                <w:sz w:val="21"/>
              </w:rPr>
              <w:t>One night accepted</w:t>
            </w:r>
          </w:p>
        </w:tc>
        <w:tc>
          <w:tcPr>
            <w:tcW w:type="dxa" w:w="3198"/>
            <w:vAlign w:val="center"/>
            <w:shd w:val="clear" w:color="auto" w:fill="FFFFFF"/>
          </w:tcPr>
          <w:p>
            <w:pPr>
              <w:keepNext/>
              <w:spacing w:before="40" w:after="40" w:line="240" w:lineRule="auto"/>
              <w:jc w:val="right"/>
            </w:pPr>
            <w:r>
              <w:rPr>
                <w:rFonts w:ascii="Arial" w:hAnsi="Arial" w:eastAsia="Arial" w:cs="Arial"/>
                <w:sz w:val="21"/>
              </w:rPr>
              <w:t>50.4% (462 homes)</w:t>
            </w:r>
          </w:p>
        </w:tc>
        <w:tc>
          <w:tcPr>
            <w:tcW w:type="dxa" w:w="3198"/>
            <w:vAlign w:val="center"/>
            <w:shd w:val="clear" w:color="auto" w:fill="FFFFFF"/>
          </w:tcPr>
          <w:p>
            <w:pPr>
              <w:keepNext/>
              <w:spacing w:before="40" w:after="40" w:line="240" w:lineRule="auto"/>
              <w:jc w:val="right"/>
            </w:pPr>
            <w:r>
              <w:rPr>
                <w:rFonts w:ascii="Arial" w:hAnsi="Arial" w:eastAsia="Arial" w:cs="Arial"/>
                <w:sz w:val="21"/>
              </w:rPr>
              <w:t>36.1% (477 homes)</w:t>
            </w:r>
          </w:p>
        </w:tc>
      </w:tr>
      <w:tr>
        <w:trPr>
          <w:cantSplit/>
        </w:trPr>
        <w:tc>
          <w:tcPr>
            <w:tcW w:type="dxa" w:w="3468"/>
            <w:vAlign w:val="center"/>
            <w:shd w:val="clear" w:color="auto" w:fill="FFFFFF"/>
          </w:tcPr>
          <w:p>
            <w:pPr>
              <w:spacing w:before="40" w:after="40" w:line="240" w:lineRule="auto"/>
              <w:jc w:val="left"/>
            </w:pPr>
            <w:r>
              <w:rPr>
                <w:rFonts w:ascii="Arial" w:hAnsi="Arial" w:eastAsia="Arial" w:cs="Arial"/>
                <w:sz w:val="21"/>
              </w:rPr>
              <w:t>Two nights or more</w:t>
            </w:r>
          </w:p>
        </w:tc>
        <w:tc>
          <w:tcPr>
            <w:tcW w:type="dxa" w:w="3198"/>
            <w:vAlign w:val="center"/>
            <w:shd w:val="clear" w:color="auto" w:fill="FFFFFF"/>
          </w:tcPr>
          <w:p>
            <w:pPr>
              <w:spacing w:before="40" w:after="40" w:line="240" w:lineRule="auto"/>
              <w:jc w:val="right"/>
            </w:pPr>
            <w:r>
              <w:rPr>
                <w:rFonts w:ascii="Arial" w:hAnsi="Arial" w:eastAsia="Arial" w:cs="Arial"/>
                <w:sz w:val="21"/>
              </w:rPr>
              <w:t>30.2% (358 homes)</w:t>
            </w:r>
          </w:p>
        </w:tc>
        <w:tc>
          <w:tcPr>
            <w:tcW w:type="dxa" w:w="3198"/>
            <w:vAlign w:val="center"/>
            <w:shd w:val="clear" w:color="auto" w:fill="FFFFFF"/>
          </w:tcPr>
          <w:p>
            <w:pPr>
              <w:spacing w:before="40" w:after="40" w:line="240" w:lineRule="auto"/>
              <w:jc w:val="right"/>
            </w:pPr>
            <w:r>
              <w:rPr>
                <w:rFonts w:ascii="Arial" w:hAnsi="Arial" w:eastAsia="Arial" w:cs="Arial"/>
                <w:sz w:val="21"/>
              </w:rPr>
              <w:t>9.3% (334 homes)</w:t>
            </w:r>
          </w:p>
        </w:tc>
      </w:tr>
    </w:tbl>
    <w:p>
      <w:pPr>
        <w:widowControl/>
        <w:spacing w:after="80" w:line="240" w:lineRule="auto"/>
        <w:jc w:val="left"/>
      </w:pPr>
    </w:p>
    <w:p>
      <w:pPr>
        <w:widowControl/>
        <w:spacing w:after="120" w:line="259" w:lineRule="auto"/>
        <w:jc w:val="left"/>
      </w:pPr>
      <w:r>
        <w:rPr>
          <w:rFonts w:ascii="Arial" w:hAnsi="Arial" w:eastAsia="Arial" w:cs="Arial"/>
        </w:rPr>
        <w:t>The rule picks 28% of homes in this sample and suits a quick first check. The model adds evidence from homes it had not seen: in 50 tests, 49.6% of its picks were busy, against 38.6% for the reduced model and 32.4% for random picking (Figure 4, Table A3; Table A2 covers all 14 groups). The model's main value is in finding which settings matter.</w:t>
      </w:r>
    </w:p>
    <w:p>
      <w:pPr>
        <w:keepNext/>
        <w:widowControl/>
        <w:spacing w:after="40" w:before="80" w:line="240" w:lineRule="auto"/>
        <w:jc w:val="center"/>
      </w:pPr>
      <w:r>
        <w:drawing>
          <wp:inline xmlns:a="http://schemas.openxmlformats.org/drawingml/2006/main" xmlns:pic="http://schemas.openxmlformats.org/drawingml/2006/picture">
            <wp:extent cx="6035040" cy="1982694"/>
            <wp:docPr id="4" name="Picture 4"/>
            <wp:cNvGraphicFramePr>
              <a:graphicFrameLocks noChangeAspect="1"/>
            </wp:cNvGraphicFramePr>
            <a:graphic>
              <a:graphicData uri="http://schemas.openxmlformats.org/drawingml/2006/picture">
                <pic:pic>
                  <pic:nvPicPr>
                    <pic:cNvPr id="0" name="figure_4_screening.png"/>
                    <pic:cNvPicPr/>
                  </pic:nvPicPr>
                  <pic:blipFill>
                    <a:blip r:embed="rId23"/>
                    <a:stretch>
                      <a:fillRect/>
                    </a:stretch>
                  </pic:blipFill>
                  <pic:spPr>
                    <a:xfrm>
                      <a:off x="0" y="0"/>
                      <a:ext cx="6035040" cy="1982694"/>
                    </a:xfrm>
                    <a:prstGeom prst="rect"/>
                  </pic:spPr>
                </pic:pic>
              </a:graphicData>
            </a:graphic>
          </wp:inline>
        </w:drawing>
      </w:r>
    </w:p>
    <w:p>
      <w:pPr>
        <w:pStyle w:val="Caption"/>
      </w:pPr>
      <w:r>
        <w:rPr>
          <w:rFonts w:ascii="Arial" w:hAnsi="Arial" w:eastAsia="Arial" w:cs="Arial"/>
          <w:b/>
        </w:rPr>
        <w:t>Figure 4.</w:t>
      </w:r>
      <w:r>
        <w:rPr>
          <w:rFonts w:ascii="Arial" w:hAnsi="Arial" w:eastAsia="Arial" w:cs="Arial"/>
        </w:rPr>
        <w:t xml:space="preserve"> Share of picked homes that were busy (a quarter of each priority group), averaged over 50 tests.</w:t>
      </w:r>
    </w:p>
    <w:p>
      <w:pPr>
        <w:pStyle w:val="Heading2"/>
        <w:keepNext/>
      </w:pPr>
      <w:r>
        <w:rPr>
          <w:rFonts w:ascii="Arial" w:hAnsi="Arial" w:eastAsia="Arial" w:cs="Arial"/>
        </w:rPr>
        <w:t>5.4 Over time: the leading groups stayed ahead</w:t>
      </w:r>
    </w:p>
    <w:p>
      <w:pPr>
        <w:widowControl/>
        <w:spacing w:after="120" w:line="259" w:lineRule="auto"/>
        <w:jc w:val="left"/>
      </w:pPr>
      <w:r>
        <w:rPr>
          <w:rFonts w:ascii="Arial" w:hAnsi="Arial" w:eastAsia="Arial" w:cs="Arial"/>
        </w:rPr>
        <w:t>We repeated the ranking on the earlier year (ten groups, 2,657 homes with two years of reviews), with a 34-review threshold set from the earlier year's reference homes. The same three groups led: 33.6% of their homes reached it, against 19.9% elsewhere (Figure 5). On the same threshold a year later, they still led (27.1% against 14.9%), although Yarra Ranges houses fell to 21.4%.</w:t>
      </w:r>
    </w:p>
    <w:p>
      <w:pPr>
        <w:keepNext/>
        <w:widowControl/>
        <w:spacing w:after="40" w:before="80" w:line="240" w:lineRule="auto"/>
        <w:jc w:val="center"/>
      </w:pPr>
      <w:r>
        <w:drawing>
          <wp:inline xmlns:a="http://schemas.openxmlformats.org/drawingml/2006/main" xmlns:pic="http://schemas.openxmlformats.org/drawingml/2006/picture">
            <wp:extent cx="6035040" cy="2407826"/>
            <wp:docPr id="5" name="Picture 5"/>
            <wp:cNvGraphicFramePr>
              <a:graphicFrameLocks noChangeAspect="1"/>
            </wp:cNvGraphicFramePr>
            <a:graphic>
              <a:graphicData uri="http://schemas.openxmlformats.org/drawingml/2006/picture">
                <pic:pic>
                  <pic:nvPicPr>
                    <pic:cNvPr id="0" name="figure_5_two_years.png"/>
                    <pic:cNvPicPr/>
                  </pic:nvPicPr>
                  <pic:blipFill>
                    <a:blip r:embed="rId24"/>
                    <a:stretch>
                      <a:fillRect/>
                    </a:stretch>
                  </pic:blipFill>
                  <pic:spPr>
                    <a:xfrm>
                      <a:off x="0" y="0"/>
                      <a:ext cx="6035040" cy="2407826"/>
                    </a:xfrm>
                    <a:prstGeom prst="rect"/>
                  </pic:spPr>
                </pic:pic>
              </a:graphicData>
            </a:graphic>
          </wp:inline>
        </w:drawing>
      </w:r>
    </w:p>
    <w:p>
      <w:pPr>
        <w:pStyle w:val="Caption"/>
      </w:pPr>
      <w:r>
        <w:rPr>
          <w:rFonts w:ascii="Arial" w:hAnsi="Arial" w:eastAsia="Arial" w:cs="Arial"/>
          <w:b/>
        </w:rPr>
        <w:t>Figure 5.</w:t>
      </w:r>
      <w:r>
        <w:rPr>
          <w:rFonts w:ascii="Arial" w:hAnsi="Arial" w:eastAsia="Arial" w:cs="Arial"/>
        </w:rPr>
        <w:t xml:space="preserve"> The same 2,657 homes in two consecutive years; target 34 reviews.</w:t>
      </w:r>
    </w:p>
    <w:p>
      <w:pPr>
        <w:pStyle w:val="Heading1"/>
        <w:keepNext/>
        <w:pageBreakBefore w:val="0"/>
      </w:pPr>
      <w:r>
        <w:rPr>
          <w:rFonts w:ascii="Arial" w:hAnsi="Arial" w:eastAsia="Arial" w:cs="Arial"/>
        </w:rPr>
        <w:t>6. Key Findings and Recommendations</w:t>
      </w:r>
    </w:p>
    <w:p>
      <w:pPr>
        <w:pStyle w:val="Heading2"/>
        <w:keepNext/>
      </w:pPr>
      <w:r>
        <w:rPr>
          <w:rFonts w:ascii="Arial" w:hAnsi="Arial" w:eastAsia="Arial" w:cs="Arial"/>
        </w:rPr>
        <w:t>Key findings</w:t>
      </w:r>
    </w:p>
    <w:p>
      <w:pPr>
        <w:widowControl/>
        <w:spacing w:after="80" w:line="259" w:lineRule="auto"/>
        <w:ind w:left="432" w:hanging="432"/>
        <w:jc w:val="left"/>
      </w:pPr>
      <w:r>
        <w:rPr>
          <w:rFonts w:ascii="Arial" w:hAnsi="Arial" w:eastAsia="Arial" w:cs="Arial"/>
        </w:rPr>
        <w:t>1.</w:t>
        <w:tab/>
      </w:r>
      <w:r>
        <w:rPr>
          <w:rFonts w:ascii="Arial" w:hAnsi="Arial" w:eastAsia="Arial" w:cs="Arial"/>
          <w:b/>
        </w:rPr>
        <w:t>Where:</w:t>
      </w:r>
      <w:r>
        <w:rPr>
          <w:rFonts w:ascii="Arial" w:hAnsi="Arial" w:eastAsia="Arial" w:cs="Arial"/>
        </w:rPr>
        <w:t xml:space="preserve"> City of Melbourne two- and three-bedroom apartments had the highest shares of busy homes, then, less certainly, Yarra Ranges three-bedroom houses. All three stayed ahead a year later and had above-median revenue (Figures 2 and 5, Table 4).</w:t>
      </w:r>
    </w:p>
    <w:p>
      <w:pPr>
        <w:widowControl/>
        <w:spacing w:after="80" w:line="259" w:lineRule="auto"/>
        <w:ind w:left="432" w:hanging="432"/>
        <w:jc w:val="left"/>
      </w:pPr>
      <w:r>
        <w:rPr>
          <w:rFonts w:ascii="Arial" w:hAnsi="Arial" w:eastAsia="Arial" w:cs="Arial"/>
        </w:rPr>
        <w:t>2.</w:t>
        <w:tab/>
      </w:r>
      <w:r>
        <w:rPr>
          <w:rFonts w:ascii="Arial" w:hAnsi="Arial" w:eastAsia="Arial" w:cs="Arial"/>
          <w:b/>
        </w:rPr>
        <w:t>What goes with being busy:</w:t>
      </w:r>
      <w:r>
        <w:rPr>
          <w:rFonts w:ascii="Arial" w:hAnsi="Arial" w:eastAsia="Arial" w:cs="Arial"/>
        </w:rPr>
        <w:t xml:space="preserve"> one-night stays and a price at or below similar homes (Figure 3, Table 5), though shorter stays partly inflate review counts.</w:t>
      </w:r>
    </w:p>
    <w:p>
      <w:pPr>
        <w:widowControl/>
        <w:spacing w:after="80" w:line="259" w:lineRule="auto"/>
        <w:ind w:left="432" w:hanging="432"/>
        <w:jc w:val="left"/>
      </w:pPr>
      <w:r>
        <w:rPr>
          <w:rFonts w:ascii="Arial" w:hAnsi="Arial" w:eastAsia="Arial" w:cs="Arial"/>
        </w:rPr>
        <w:t>3.</w:t>
        <w:tab/>
      </w:r>
      <w:r>
        <w:rPr>
          <w:rFonts w:ascii="Arial" w:hAnsi="Arial" w:eastAsia="Arial" w:cs="Arial"/>
          <w:b/>
        </w:rPr>
        <w:t>Guest feedback:</w:t>
      </w:r>
      <w:r>
        <w:rPr>
          <w:rFonts w:ascii="Arial" w:hAnsi="Arial" w:eastAsia="Arial" w:cs="Arial"/>
        </w:rPr>
        <w:t xml:space="preserve"> busy homes had a higher mean rating and a smaller share of reviews classified as negative (Table 3).</w:t>
      </w:r>
    </w:p>
    <w:p>
      <w:pPr>
        <w:widowControl/>
        <w:spacing w:after="80" w:line="259" w:lineRule="auto"/>
        <w:ind w:left="432" w:hanging="432"/>
        <w:jc w:val="left"/>
      </w:pPr>
      <w:r>
        <w:rPr>
          <w:rFonts w:ascii="Arial" w:hAnsi="Arial" w:eastAsia="Arial" w:cs="Arial"/>
        </w:rPr>
        <w:t>4.</w:t>
        <w:tab/>
      </w:r>
      <w:r>
        <w:rPr>
          <w:rFonts w:ascii="Arial" w:hAnsi="Arial" w:eastAsia="Arial" w:cs="Arial"/>
          <w:b/>
        </w:rPr>
        <w:t>Which home first:</w:t>
      </w:r>
      <w:r>
        <w:rPr>
          <w:rFonts w:ascii="Arial" w:hAnsi="Arial" w:eastAsia="Arial" w:cs="Arial"/>
        </w:rPr>
        <w:t xml:space="preserve"> the two settings give a quick first check (Table 5). Tested on unseen hosts, 49.6% of the model's picks were busy, against 32.4% for random picking (Figure 4).</w:t>
      </w:r>
    </w:p>
    <w:p>
      <w:pPr>
        <w:pStyle w:val="Heading2"/>
        <w:keepNext/>
      </w:pPr>
      <w:r>
        <w:rPr>
          <w:rFonts w:ascii="Arial" w:hAnsi="Arial" w:eastAsia="Arial" w:cs="Arial"/>
        </w:rPr>
        <w:t>Recommendations</w:t>
      </w:r>
    </w:p>
    <w:p>
      <w:pPr>
        <w:widowControl/>
        <w:spacing w:after="80" w:line="259" w:lineRule="auto"/>
        <w:ind w:left="432" w:hanging="432"/>
        <w:jc w:val="left"/>
      </w:pPr>
      <w:r>
        <w:rPr>
          <w:rFonts w:ascii="Arial" w:hAnsi="Arial" w:eastAsia="Arial" w:cs="Arial"/>
        </w:rPr>
        <w:t>1.</w:t>
        <w:tab/>
      </w:r>
      <w:r>
        <w:rPr>
          <w:rFonts w:ascii="Arial" w:hAnsi="Arial" w:eastAsia="Arial" w:cs="Arial"/>
          <w:b/>
        </w:rPr>
        <w:t>Search City of Melbourne two- and three-bedroom apartments first, then Yarra Ranges three-bedroom houses</w:t>
      </w:r>
      <w:r>
        <w:rPr>
          <w:rFonts w:ascii="Arial" w:hAnsi="Arial" w:eastAsia="Arial" w:cs="Arial"/>
        </w:rPr>
        <w:t xml:space="preserve"> (Figure 2, Table 4). Between leases that pass Recommendation 3, choose the larger cash-flow margin; if margins are similar, choose the group with the higher share of busy homes.</w:t>
      </w:r>
    </w:p>
    <w:p>
      <w:pPr>
        <w:widowControl/>
        <w:spacing w:after="80" w:line="259" w:lineRule="auto"/>
        <w:ind w:left="432" w:hanging="432"/>
        <w:jc w:val="left"/>
      </w:pPr>
      <w:r>
        <w:rPr>
          <w:rFonts w:ascii="Arial" w:hAnsi="Arial" w:eastAsia="Arial" w:cs="Arial"/>
        </w:rPr>
        <w:t>2.</w:t>
        <w:tab/>
      </w:r>
      <w:r>
        <w:rPr>
          <w:rFonts w:ascii="Arial" w:hAnsi="Arial" w:eastAsia="Arial" w:cs="Arial"/>
          <w:b/>
        </w:rPr>
        <w:t>Favour homes that can take one-night stays at a price at or below similar listings</w:t>
      </w:r>
      <w:r>
        <w:rPr>
          <w:rFonts w:ascii="Arial" w:hAnsi="Arial" w:eastAsia="Arial" w:cs="Arial"/>
        </w:rPr>
        <w:t xml:space="preserve"> (Figure 3, Table 5); the evidence is strongest for City apartments. At inspection, check that building rules allow one-night stays and that this price covers costs. Trial these settings and track the results (Table 6).</w:t>
      </w:r>
    </w:p>
    <w:p>
      <w:pPr>
        <w:widowControl/>
        <w:spacing w:after="80" w:line="259" w:lineRule="auto"/>
        <w:ind w:left="432" w:hanging="432"/>
        <w:jc w:val="left"/>
      </w:pPr>
      <w:r>
        <w:rPr>
          <w:rFonts w:ascii="Arial" w:hAnsi="Arial" w:eastAsia="Arial" w:cs="Arial"/>
        </w:rPr>
        <w:t>3.</w:t>
        <w:tab/>
      </w:r>
      <w:r>
        <w:rPr>
          <w:rFonts w:ascii="Arial" w:hAnsi="Arial" w:eastAsia="Arial" w:cs="Arial"/>
          <w:b/>
        </w:rPr>
        <w:t>Drop leases whose weekly costs exceed the group's typical revenue</w:t>
      </w:r>
      <w:r>
        <w:rPr>
          <w:rFonts w:ascii="Arial" w:hAnsi="Arial" w:eastAsia="Arial" w:cs="Arial"/>
        </w:rPr>
        <w:t xml:space="preserve"> (Figure 6). Typical estimated weekly revenue is </w:t>
      </w:r>
      <w:r>
        <w:rPr>
          <w:rFonts w:ascii="Arial" w:hAnsi="Arial" w:eastAsia="Arial" w:cs="Arial"/>
          <w:b/>
        </w:rPr>
        <w:t>AUD 590</w:t>
      </w:r>
      <w:r>
        <w:rPr>
          <w:rFonts w:ascii="Arial" w:hAnsi="Arial" w:eastAsia="Arial" w:cs="Arial"/>
        </w:rPr>
        <w:t xml:space="preserve"> for City two-bedroom apartments, </w:t>
      </w:r>
      <w:r>
        <w:rPr>
          <w:rFonts w:ascii="Arial" w:hAnsi="Arial" w:eastAsia="Arial" w:cs="Arial"/>
          <w:b/>
        </w:rPr>
        <w:t>930</w:t>
      </w:r>
      <w:r>
        <w:rPr>
          <w:rFonts w:ascii="Arial" w:hAnsi="Arial" w:eastAsia="Arial" w:cs="Arial"/>
        </w:rPr>
        <w:t xml:space="preserve"> for City three-bedroom apartments and </w:t>
      </w:r>
      <w:r>
        <w:rPr>
          <w:rFonts w:ascii="Arial" w:hAnsi="Arial" w:eastAsia="Arial" w:cs="Arial"/>
          <w:b/>
        </w:rPr>
        <w:t>890</w:t>
      </w:r>
      <w:r>
        <w:rPr>
          <w:rFonts w:ascii="Arial" w:hAnsi="Arial" w:eastAsia="Arial" w:cs="Arial"/>
        </w:rPr>
        <w:t xml:space="preserve"> for Yarra Ranges houses, but only half of homes reach it; for homes that were not busy it was </w:t>
      </w:r>
      <w:r>
        <w:rPr>
          <w:rFonts w:ascii="Arial" w:hAnsi="Arial" w:eastAsia="Arial" w:cs="Arial"/>
          <w:b/>
        </w:rPr>
        <w:t>AUD 320, 620 and 600</w:t>
      </w:r>
      <w:r>
        <w:rPr>
          <w:rFonts w:ascii="Arial" w:hAnsi="Arial" w:eastAsia="Arial" w:cs="Arial"/>
        </w:rPr>
        <w:t>. Assess each remaining lease with its own cash-flow plan, and hold cash to cover a year's shortfall at that lower revenue.</w:t>
      </w:r>
    </w:p>
    <w:p>
      <w:pPr>
        <w:keepNext/>
        <w:widowControl/>
        <w:spacing w:after="80" w:before="80" w:line="259" w:lineRule="auto"/>
        <w:jc w:val="left"/>
      </w:pPr>
      <w:r>
        <w:rPr>
          <w:rFonts w:ascii="Arial" w:hAnsi="Arial" w:eastAsia="Arial" w:cs="Arial"/>
          <w:b/>
        </w:rPr>
        <w:t>Table 6. Four-week inspection plan</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1983"/>
        <w:gridCol w:w="4777"/>
        <w:gridCol w:w="3105"/>
      </w:tblGrid>
      <w:tr>
        <w:trPr>
          <w:cantSplit/>
          <w:tblHeader/>
        </w:trPr>
        <w:tc>
          <w:tcPr>
            <w:tcW w:type="dxa" w:w="1983"/>
            <w:vAlign w:val="center"/>
            <w:shd w:val="clear" w:color="auto" w:fill="E9EEF3"/>
          </w:tcPr>
          <w:p>
            <w:pPr>
              <w:keepNext/>
              <w:spacing w:before="40" w:after="40" w:line="240" w:lineRule="auto"/>
              <w:jc w:val="left"/>
            </w:pPr>
            <w:r>
              <w:rPr>
                <w:rFonts w:ascii="Arial" w:hAnsi="Arial" w:eastAsia="Arial" w:cs="Arial"/>
                <w:b/>
                <w:sz w:val="21"/>
              </w:rPr>
              <w:t>Timing and owner</w:t>
            </w:r>
          </w:p>
        </w:tc>
        <w:tc>
          <w:tcPr>
            <w:tcW w:type="dxa" w:w="4777"/>
            <w:vAlign w:val="center"/>
            <w:shd w:val="clear" w:color="auto" w:fill="E9EEF3"/>
          </w:tcPr>
          <w:p>
            <w:pPr>
              <w:keepNext/>
              <w:spacing w:before="40" w:after="40" w:line="240" w:lineRule="auto"/>
              <w:jc w:val="left"/>
            </w:pPr>
            <w:r>
              <w:rPr>
                <w:rFonts w:ascii="Arial" w:hAnsi="Arial" w:eastAsia="Arial" w:cs="Arial"/>
                <w:b/>
                <w:sz w:val="21"/>
              </w:rPr>
              <w:t>Action</w:t>
            </w:r>
          </w:p>
        </w:tc>
        <w:tc>
          <w:tcPr>
            <w:tcW w:type="dxa" w:w="3105"/>
            <w:vAlign w:val="center"/>
            <w:shd w:val="clear" w:color="auto" w:fill="E9EEF3"/>
          </w:tcPr>
          <w:p>
            <w:pPr>
              <w:keepNext/>
              <w:spacing w:before="40" w:after="40" w:line="240" w:lineRule="auto"/>
              <w:jc w:val="left"/>
            </w:pPr>
            <w:r>
              <w:rPr>
                <w:rFonts w:ascii="Arial" w:hAnsi="Arial" w:eastAsia="Arial" w:cs="Arial"/>
                <w:b/>
                <w:sz w:val="21"/>
              </w:rPr>
              <w:t>Decision condition</w:t>
            </w:r>
          </w:p>
        </w:tc>
      </w:tr>
      <w:tr>
        <w:trPr>
          <w:cantSplit/>
        </w:trPr>
        <w:tc>
          <w:tcPr>
            <w:tcW w:type="dxa" w:w="1983"/>
            <w:vAlign w:val="center"/>
            <w:shd w:val="clear" w:color="auto" w:fill="FFFFFF"/>
          </w:tcPr>
          <w:p>
            <w:pPr>
              <w:keepNext/>
              <w:spacing w:before="40" w:after="40" w:line="240" w:lineRule="auto"/>
              <w:jc w:val="left"/>
            </w:pPr>
            <w:r>
              <w:rPr>
                <w:rFonts w:ascii="Arial" w:hAnsi="Arial" w:eastAsia="Arial" w:cs="Arial"/>
                <w:b/>
                <w:sz w:val="21"/>
              </w:rPr>
              <w:t>Week 1</w:t>
            </w:r>
            <w:r>
              <w:rPr>
                <w:rFonts w:ascii="Arial" w:hAnsi="Arial" w:eastAsia="Arial" w:cs="Arial"/>
                <w:sz w:val="21"/>
              </w:rPr>
              <w:t xml:space="preserve"> (Operator)</w:t>
            </w:r>
          </w:p>
        </w:tc>
        <w:tc>
          <w:tcPr>
            <w:tcW w:type="dxa" w:w="4777"/>
            <w:vAlign w:val="center"/>
            <w:shd w:val="clear" w:color="auto" w:fill="FFFFFF"/>
          </w:tcPr>
          <w:p>
            <w:pPr>
              <w:keepNext/>
              <w:spacing w:before="40" w:after="40" w:line="240" w:lineRule="auto"/>
              <w:jc w:val="left"/>
            </w:pPr>
            <w:r>
              <w:rPr>
                <w:rFonts w:ascii="Arial" w:hAnsi="Arial" w:eastAsia="Arial" w:cs="Arial"/>
                <w:sz w:val="21"/>
              </w:rPr>
              <w:t>Pool ten candidate homes in the priority groups; check one-night stays and price</w:t>
            </w:r>
          </w:p>
        </w:tc>
        <w:tc>
          <w:tcPr>
            <w:tcW w:type="dxa" w:w="3105"/>
            <w:vAlign w:val="center"/>
            <w:shd w:val="clear" w:color="auto" w:fill="FFFFFF"/>
          </w:tcPr>
          <w:p>
            <w:pPr>
              <w:keepNext/>
              <w:spacing w:before="40" w:after="40" w:line="240" w:lineRule="auto"/>
              <w:jc w:val="left"/>
            </w:pPr>
            <w:r>
              <w:rPr>
                <w:rFonts w:ascii="Arial" w:hAnsi="Arial" w:eastAsia="Arial" w:cs="Arial"/>
                <w:sz w:val="21"/>
              </w:rPr>
              <w:t>Inspect homes meeting both first, in group order</w:t>
            </w:r>
          </w:p>
        </w:tc>
      </w:tr>
      <w:tr>
        <w:trPr>
          <w:cantSplit/>
        </w:trPr>
        <w:tc>
          <w:tcPr>
            <w:tcW w:type="dxa" w:w="1983"/>
            <w:vAlign w:val="center"/>
            <w:shd w:val="clear" w:color="auto" w:fill="FFFFFF"/>
          </w:tcPr>
          <w:p>
            <w:pPr>
              <w:keepNext/>
              <w:spacing w:before="40" w:after="40" w:line="240" w:lineRule="auto"/>
              <w:jc w:val="left"/>
            </w:pPr>
            <w:r>
              <w:rPr>
                <w:rFonts w:ascii="Arial" w:hAnsi="Arial" w:eastAsia="Arial" w:cs="Arial"/>
                <w:b/>
                <w:sz w:val="21"/>
              </w:rPr>
              <w:t>Weeks 2–3</w:t>
            </w:r>
            <w:r>
              <w:rPr>
                <w:rFonts w:ascii="Arial" w:hAnsi="Arial" w:eastAsia="Arial" w:cs="Arial"/>
                <w:sz w:val="21"/>
              </w:rPr>
              <w:t xml:space="preserve"> (Operator &amp; Analyst)</w:t>
            </w:r>
          </w:p>
        </w:tc>
        <w:tc>
          <w:tcPr>
            <w:tcW w:type="dxa" w:w="4777"/>
            <w:vAlign w:val="center"/>
            <w:shd w:val="clear" w:color="auto" w:fill="FFFFFF"/>
          </w:tcPr>
          <w:p>
            <w:pPr>
              <w:keepNext/>
              <w:spacing w:before="40" w:after="40" w:line="240" w:lineRule="auto"/>
              <w:jc w:val="left"/>
            </w:pPr>
            <w:r>
              <w:rPr>
                <w:rFonts w:ascii="Arial" w:hAnsi="Arial" w:eastAsia="Arial" w:cs="Arial"/>
                <w:sz w:val="21"/>
              </w:rPr>
              <w:t>Get written landlord consent; check owners' corporation rules on stays under 28 days (Consumer Affairs Victoria, n.d.); negotiate rent; get cost quotes</w:t>
            </w:r>
          </w:p>
        </w:tc>
        <w:tc>
          <w:tcPr>
            <w:tcW w:type="dxa" w:w="3105"/>
            <w:vAlign w:val="center"/>
            <w:shd w:val="clear" w:color="auto" w:fill="FFFFFF"/>
          </w:tcPr>
          <w:p>
            <w:pPr>
              <w:keepNext/>
              <w:spacing w:before="40" w:after="40" w:line="240" w:lineRule="auto"/>
              <w:jc w:val="left"/>
            </w:pPr>
            <w:r>
              <w:rPr>
                <w:rFonts w:ascii="Arial" w:hAnsi="Arial" w:eastAsia="Arial" w:cs="Arial"/>
                <w:sz w:val="21"/>
              </w:rPr>
              <w:t>Replace homes that fail any check</w:t>
            </w:r>
          </w:p>
        </w:tc>
      </w:tr>
      <w:tr>
        <w:trPr>
          <w:cantSplit/>
        </w:trPr>
        <w:tc>
          <w:tcPr>
            <w:tcW w:type="dxa" w:w="1983"/>
            <w:vAlign w:val="center"/>
            <w:shd w:val="clear" w:color="auto" w:fill="FFFFFF"/>
          </w:tcPr>
          <w:p>
            <w:pPr>
              <w:keepNext/>
              <w:spacing w:before="40" w:after="40" w:line="240" w:lineRule="auto"/>
              <w:jc w:val="left"/>
            </w:pPr>
            <w:r>
              <w:rPr>
                <w:rFonts w:ascii="Arial" w:hAnsi="Arial" w:eastAsia="Arial" w:cs="Arial"/>
                <w:b/>
                <w:sz w:val="21"/>
              </w:rPr>
              <w:t>Week 4</w:t>
            </w:r>
            <w:r>
              <w:rPr>
                <w:rFonts w:ascii="Arial" w:hAnsi="Arial" w:eastAsia="Arial" w:cs="Arial"/>
                <w:sz w:val="21"/>
              </w:rPr>
              <w:t xml:space="preserve"> (Client)</w:t>
            </w:r>
          </w:p>
        </w:tc>
        <w:tc>
          <w:tcPr>
            <w:tcW w:type="dxa" w:w="4777"/>
            <w:vAlign w:val="center"/>
            <w:shd w:val="clear" w:color="auto" w:fill="FFFFFF"/>
          </w:tcPr>
          <w:p>
            <w:pPr>
              <w:keepNext/>
              <w:spacing w:before="40" w:after="40" w:line="240" w:lineRule="auto"/>
              <w:jc w:val="left"/>
            </w:pPr>
            <w:r>
              <w:rPr>
                <w:rFonts w:ascii="Arial" w:hAnsi="Arial" w:eastAsia="Arial" w:cs="Arial"/>
                <w:sz w:val="21"/>
              </w:rPr>
              <w:t>Cash-flow plan: quotes and Victoria's 7.5% short-stay levy (State Revenue Office Victoria, n.d.) against typical and not-busy revenue (Recommendation 3)</w:t>
            </w:r>
          </w:p>
        </w:tc>
        <w:tc>
          <w:tcPr>
            <w:tcW w:type="dxa" w:w="3105"/>
            <w:vAlign w:val="center"/>
            <w:shd w:val="clear" w:color="auto" w:fill="FFFFFF"/>
          </w:tcPr>
          <w:p>
            <w:pPr>
              <w:keepNext/>
              <w:spacing w:before="40" w:after="40" w:line="240" w:lineRule="auto"/>
              <w:jc w:val="left"/>
            </w:pPr>
            <w:r>
              <w:rPr>
                <w:rFonts w:ascii="Arial" w:hAnsi="Arial" w:eastAsia="Arial" w:cs="Arial"/>
                <w:sz w:val="21"/>
              </w:rPr>
              <w:t>Sign only if the plan covers setup costs, required return and a year at the not-busy level</w:t>
            </w:r>
          </w:p>
        </w:tc>
      </w:tr>
      <w:tr>
        <w:trPr>
          <w:cantSplit/>
        </w:trPr>
        <w:tc>
          <w:tcPr>
            <w:tcW w:type="dxa" w:w="1983"/>
            <w:vAlign w:val="center"/>
            <w:shd w:val="clear" w:color="auto" w:fill="FFFFFF"/>
          </w:tcPr>
          <w:p>
            <w:pPr>
              <w:spacing w:before="40" w:after="40" w:line="240" w:lineRule="auto"/>
              <w:jc w:val="left"/>
            </w:pPr>
            <w:r>
              <w:rPr>
                <w:rFonts w:ascii="Arial" w:hAnsi="Arial" w:eastAsia="Arial" w:cs="Arial"/>
                <w:b/>
                <w:sz w:val="21"/>
              </w:rPr>
              <w:t>First 30 days</w:t>
            </w:r>
            <w:r>
              <w:rPr>
                <w:rFonts w:ascii="Arial" w:hAnsi="Arial" w:eastAsia="Arial" w:cs="Arial"/>
                <w:sz w:val="21"/>
              </w:rPr>
              <w:t xml:space="preserve"> (Operator)</w:t>
            </w:r>
          </w:p>
        </w:tc>
        <w:tc>
          <w:tcPr>
            <w:tcW w:type="dxa" w:w="4777"/>
            <w:vAlign w:val="center"/>
            <w:shd w:val="clear" w:color="auto" w:fill="FFFFFF"/>
          </w:tcPr>
          <w:p>
            <w:pPr>
              <w:spacing w:before="40" w:after="40" w:line="240" w:lineRule="auto"/>
              <w:jc w:val="left"/>
            </w:pPr>
            <w:r>
              <w:rPr>
                <w:rFonts w:ascii="Arial" w:hAnsi="Arial" w:eastAsia="Arial" w:cs="Arial"/>
                <w:sz w:val="21"/>
              </w:rPr>
              <w:t>Record paid nights, stay length, workload, net cash flow and reviews</w:t>
            </w:r>
          </w:p>
        </w:tc>
        <w:tc>
          <w:tcPr>
            <w:tcW w:type="dxa" w:w="3105"/>
            <w:vAlign w:val="center"/>
            <w:shd w:val="clear" w:color="auto" w:fill="FFFFFF"/>
          </w:tcPr>
          <w:p>
            <w:pPr>
              <w:spacing w:before="40" w:after="40" w:line="240" w:lineRule="auto"/>
              <w:jc w:val="left"/>
            </w:pPr>
            <w:r>
              <w:rPr>
                <w:rFonts w:ascii="Arial" w:hAnsi="Arial" w:eastAsia="Arial" w:cs="Arial"/>
                <w:sz w:val="21"/>
              </w:rPr>
              <w:t>Expand only if results match the plan</w:t>
            </w:r>
          </w:p>
        </w:tc>
      </w:tr>
    </w:tbl>
    <w:p>
      <w:pPr>
        <w:widowControl/>
        <w:spacing w:after="80" w:line="240" w:lineRule="auto"/>
        <w:jc w:val="left"/>
      </w:pPr>
    </w:p>
    <w:p>
      <w:pPr>
        <w:keepNext/>
        <w:widowControl/>
        <w:spacing w:after="40" w:before="80" w:line="240" w:lineRule="auto"/>
        <w:jc w:val="center"/>
      </w:pPr>
      <w:r>
        <w:drawing>
          <wp:inline xmlns:a="http://schemas.openxmlformats.org/drawingml/2006/main" xmlns:pic="http://schemas.openxmlformats.org/drawingml/2006/picture">
            <wp:extent cx="6035040" cy="2482294"/>
            <wp:docPr id="6" name="Picture 6"/>
            <wp:cNvGraphicFramePr>
              <a:graphicFrameLocks noChangeAspect="1"/>
            </wp:cNvGraphicFramePr>
            <a:graphic>
              <a:graphicData uri="http://schemas.openxmlformats.org/drawingml/2006/picture">
                <pic:pic>
                  <pic:nvPicPr>
                    <pic:cNvPr id="0" name="figure_6_weekly_reach.png"/>
                    <pic:cNvPicPr/>
                  </pic:nvPicPr>
                  <pic:blipFill>
                    <a:blip r:embed="rId25"/>
                    <a:stretch>
                      <a:fillRect/>
                    </a:stretch>
                  </pic:blipFill>
                  <pic:spPr>
                    <a:xfrm>
                      <a:off x="0" y="0"/>
                      <a:ext cx="6035040" cy="2482294"/>
                    </a:xfrm>
                    <a:prstGeom prst="rect"/>
                  </pic:spPr>
                </pic:pic>
              </a:graphicData>
            </a:graphic>
          </wp:inline>
        </w:drawing>
      </w:r>
    </w:p>
    <w:p>
      <w:pPr>
        <w:pStyle w:val="Caption"/>
      </w:pPr>
      <w:r>
        <w:rPr>
          <w:rFonts w:ascii="Arial" w:hAnsi="Arial" w:eastAsia="Arial" w:cs="Arial"/>
          <w:b/>
        </w:rPr>
        <w:t>Figure 6.</w:t>
      </w:r>
      <w:r>
        <w:rPr>
          <w:rFonts w:ascii="Arial" w:hAnsi="Arial" w:eastAsia="Arial" w:cs="Arial"/>
        </w:rPr>
        <w:t xml:space="preserve"> Share of each priority group's homes whose estimated weekly revenue reached a given weekly cost.</w:t>
      </w:r>
    </w:p>
    <w:p>
      <w:pPr>
        <w:widowControl/>
        <w:spacing w:after="120" w:line="259" w:lineRule="auto"/>
        <w:jc w:val="left"/>
      </w:pPr>
      <w:r>
        <w:rPr>
          <w:rFonts w:ascii="Arial" w:hAnsi="Arial" w:eastAsia="Arial" w:cs="Arial"/>
          <w:b/>
        </w:rPr>
        <w:t>Worked example (illustrative costs).</w:t>
      </w:r>
      <w:r>
        <w:rPr>
          <w:rFonts w:ascii="Arial" w:hAnsi="Arial" w:eastAsia="Arial" w:cs="Arial"/>
        </w:rPr>
        <w:t xml:space="preserve"> A City two-bedroom apartment costing </w:t>
      </w:r>
      <w:r>
        <w:rPr>
          <w:rFonts w:ascii="Arial" w:hAnsi="Arial" w:eastAsia="Arial" w:cs="Arial"/>
          <w:b/>
        </w:rPr>
        <w:t>AUD 620</w:t>
      </w:r>
      <w:r>
        <w:rPr>
          <w:rFonts w:ascii="Arial" w:hAnsi="Arial" w:eastAsia="Arial" w:cs="Arial"/>
        </w:rPr>
        <w:t xml:space="preserve"> a week exceeds its group's typical AUD 590, so it is dropped. A Yarra Ranges house costing </w:t>
      </w:r>
      <w:r>
        <w:rPr>
          <w:rFonts w:ascii="Arial" w:hAnsi="Arial" w:eastAsia="Arial" w:cs="Arial"/>
          <w:b/>
        </w:rPr>
        <w:t>AUD 700</w:t>
      </w:r>
      <w:r>
        <w:rPr>
          <w:rFonts w:ascii="Arial" w:hAnsi="Arial" w:eastAsia="Arial" w:cs="Arial"/>
        </w:rPr>
        <w:t xml:space="preserve"> clears its typical AUD 890. Earning like a home that is not busy (AUD 600), it would need a buffer of AUD 5,200 for the year.</w:t>
      </w:r>
    </w:p>
    <w:p>
      <w:pPr>
        <w:pStyle w:val="Heading1"/>
        <w:keepNext/>
        <w:pageBreakBefore w:val="0"/>
      </w:pPr>
      <w:r>
        <w:rPr>
          <w:rFonts w:ascii="Arial" w:hAnsi="Arial" w:eastAsia="Arial" w:cs="Arial"/>
        </w:rPr>
        <w:t>7. Limitations and Future Work</w:t>
      </w:r>
    </w:p>
    <w:p>
      <w:pPr>
        <w:pStyle w:val="ListBullet"/>
        <w:widowControl/>
        <w:spacing w:after="80" w:line="259" w:lineRule="auto"/>
        <w:jc w:val="left"/>
      </w:pPr>
      <w:r>
        <w:rPr>
          <w:rFonts w:ascii="Arial" w:hAnsi="Arial" w:eastAsia="Arial" w:cs="Arial"/>
          <w:b/>
        </w:rPr>
        <w:t>Reviews measure activity indirectly.</w:t>
      </w:r>
      <w:r>
        <w:rPr>
          <w:rFonts w:ascii="Arial" w:hAnsi="Arial" w:eastAsia="Arial" w:cs="Arial"/>
        </w:rPr>
        <w:t xml:space="preserve"> Inside Airbnb's 50% review rate sits within published estimates of 30.5%–72% (Inside Airbnb, n.d.), so nights and dollar figures are rough. Ratings are lifetime averages, and VADER does not translate reviews written in other languages.</w:t>
      </w:r>
    </w:p>
    <w:p>
      <w:pPr>
        <w:pStyle w:val="ListBullet"/>
        <w:widowControl/>
        <w:spacing w:after="80" w:line="259" w:lineRule="auto"/>
        <w:jc w:val="left"/>
      </w:pPr>
      <w:r>
        <w:rPr>
          <w:rFonts w:ascii="Arial" w:hAnsi="Arial" w:eastAsia="Arial" w:cs="Arial"/>
          <w:b/>
        </w:rPr>
        <w:t>One snapshot of surviving homes.</w:t>
      </w:r>
      <w:r>
        <w:rPr>
          <w:rFonts w:ascii="Arial" w:hAnsi="Arial" w:eastAsia="Arial" w:cs="Arial"/>
        </w:rPr>
        <w:t xml:space="preserve"> Departed, new, unpriced and outer-area listings are missing, and revenue uses June–July prices. The two-year check uses the same snapshot.</w:t>
      </w:r>
    </w:p>
    <w:p>
      <w:pPr>
        <w:pStyle w:val="ListBullet"/>
        <w:widowControl/>
        <w:spacing w:after="80" w:line="259" w:lineRule="auto"/>
        <w:jc w:val="left"/>
      </w:pPr>
      <w:r>
        <w:rPr>
          <w:rFonts w:ascii="Arial" w:hAnsi="Arial" w:eastAsia="Arial" w:cs="Arial"/>
          <w:b/>
        </w:rPr>
        <w:t>Short stays inflate reviews.</w:t>
      </w:r>
      <w:r>
        <w:rPr>
          <w:rFonts w:ascii="Arial" w:hAnsi="Arial" w:eastAsia="Arial" w:cs="Arial"/>
        </w:rPr>
        <w:t xml:space="preserve"> A one-night minimum allows more stays for the same nights booked.</w:t>
      </w:r>
    </w:p>
    <w:p>
      <w:pPr>
        <w:pStyle w:val="ListBullet"/>
        <w:widowControl/>
        <w:spacing w:after="80" w:line="259" w:lineRule="auto"/>
        <w:jc w:val="left"/>
      </w:pPr>
      <w:r>
        <w:rPr>
          <w:rFonts w:ascii="Arial" w:hAnsi="Arial" w:eastAsia="Arial" w:cs="Arial"/>
          <w:b/>
        </w:rPr>
        <w:t>Associations, not causes.</w:t>
      </w:r>
      <w:r>
        <w:rPr>
          <w:rFonts w:ascii="Arial" w:hAnsi="Arial" w:eastAsia="Arial" w:cs="Arial"/>
        </w:rPr>
        <w:t xml:space="preserve"> Settings may respond to past performance, and we chose the inputs, rule and priority groups after seeing all homes.</w:t>
      </w:r>
    </w:p>
    <w:p>
      <w:pPr>
        <w:pStyle w:val="ListBullet"/>
        <w:widowControl/>
        <w:spacing w:after="80" w:line="259" w:lineRule="auto"/>
        <w:jc w:val="left"/>
      </w:pPr>
      <w:r>
        <w:rPr>
          <w:rFonts w:ascii="Arial" w:hAnsi="Arial" w:eastAsia="Arial" w:cs="Arial"/>
          <w:b/>
        </w:rPr>
        <w:t>No rent, cost or regulation data.</w:t>
      </w:r>
      <w:r>
        <w:rPr>
          <w:rFonts w:ascii="Arial" w:hAnsi="Arial" w:eastAsia="Arial" w:cs="Arial"/>
        </w:rPr>
        <w:t xml:space="preserve"> Recommendation 3 relies on the client's own quotes.</w:t>
      </w:r>
    </w:p>
    <w:p>
      <w:pPr>
        <w:widowControl/>
        <w:spacing w:after="120" w:line="259" w:lineRule="auto"/>
        <w:jc w:val="left"/>
      </w:pPr>
      <w:r>
        <w:rPr>
          <w:rFonts w:ascii="Arial" w:hAnsi="Arial" w:eastAsia="Arial" w:cs="Arial"/>
        </w:rPr>
        <w:t>Future work should:</w:t>
      </w:r>
    </w:p>
    <w:p>
      <w:pPr>
        <w:widowControl/>
        <w:spacing w:after="80" w:line="259" w:lineRule="auto"/>
        <w:ind w:left="432" w:hanging="432"/>
        <w:jc w:val="left"/>
      </w:pPr>
      <w:r>
        <w:rPr>
          <w:rFonts w:ascii="Arial" w:hAnsi="Arial" w:eastAsia="Arial" w:cs="Arial"/>
        </w:rPr>
        <w:t>1.</w:t>
        <w:tab/>
      </w:r>
      <w:r>
        <w:rPr>
          <w:rFonts w:ascii="Arial" w:hAnsi="Arial" w:eastAsia="Arial" w:cs="Arial"/>
        </w:rPr>
        <w:t>collect rent and cost quotes and track paid nights and net cash flow, to test whether busy homes are also profitable;</w:t>
      </w:r>
    </w:p>
    <w:p>
      <w:pPr>
        <w:widowControl/>
        <w:spacing w:after="80" w:line="259" w:lineRule="auto"/>
        <w:ind w:left="432" w:hanging="432"/>
        <w:jc w:val="left"/>
      </w:pPr>
      <w:r>
        <w:rPr>
          <w:rFonts w:ascii="Arial" w:hAnsi="Arial" w:eastAsia="Arial" w:cs="Arial"/>
        </w:rPr>
        <w:t>2.</w:t>
        <w:tab/>
      </w:r>
      <w:r>
        <w:rPr>
          <w:rFonts w:ascii="Arial" w:hAnsi="Arial" w:eastAsia="Arial" w:cs="Arial"/>
        </w:rPr>
        <w:t>retest the groups, model and two-setting rule, unchanged, on the next snapshot;</w:t>
      </w:r>
    </w:p>
    <w:p>
      <w:pPr>
        <w:widowControl/>
        <w:spacing w:after="80" w:line="259" w:lineRule="auto"/>
        <w:ind w:left="432" w:hanging="432"/>
        <w:jc w:val="left"/>
      </w:pPr>
      <w:r>
        <w:rPr>
          <w:rFonts w:ascii="Arial" w:hAnsi="Arial" w:eastAsia="Arial" w:cs="Arial"/>
        </w:rPr>
        <w:t>3.</w:t>
        <w:tab/>
      </w:r>
      <w:r>
        <w:rPr>
          <w:rFonts w:ascii="Arial" w:hAnsi="Arial" w:eastAsia="Arial" w:cs="Arial"/>
        </w:rPr>
        <w:t>read the negative reviews of priority-group homes to find problems an operator can fix.</w:t>
      </w:r>
    </w:p>
    <w:p>
      <w:pPr>
        <w:pStyle w:val="Heading1"/>
        <w:keepNext/>
        <w:pageBreakBefore w:val="0"/>
      </w:pPr>
      <w:r>
        <w:rPr>
          <w:rFonts w:ascii="Arial" w:hAnsi="Arial" w:eastAsia="Arial" w:cs="Arial"/>
        </w:rPr>
        <w:t>8. References</w:t>
      </w:r>
    </w:p>
    <w:p>
      <w:pPr>
        <w:keepLines/>
        <w:widowControl/>
        <w:spacing w:after="120" w:line="360" w:lineRule="auto"/>
        <w:ind w:left="720" w:hanging="720"/>
        <w:jc w:val="left"/>
      </w:pPr>
      <w:r>
        <w:rPr>
          <w:rFonts w:ascii="Arial" w:hAnsi="Arial" w:eastAsia="Arial" w:cs="Arial"/>
        </w:rPr>
        <w:t xml:space="preserve">Consumer Affairs Victoria. (n.d.). </w:t>
      </w:r>
      <w:r>
        <w:rPr>
          <w:rFonts w:ascii="Arial" w:hAnsi="Arial" w:eastAsia="Arial" w:cs="Arial"/>
          <w:i/>
        </w:rPr>
        <w:t>Making rules to ban short stay accommodation</w:t>
      </w:r>
      <w:r>
        <w:rPr>
          <w:rFonts w:ascii="Arial" w:hAnsi="Arial" w:eastAsia="Arial" w:cs="Arial"/>
        </w:rPr>
        <w:t xml:space="preserve">. Retrieved October 16, 2026, from </w:t>
      </w:r>
      <w:hyperlink r:id="rId26">
        <w:r>
          <w:rPr>
            <w:rFonts w:ascii="Arial" w:hAnsi="Arial" w:eastAsia="Arial" w:cs="Arial"/>
            <w:color w:val="0563C1"/>
            <w:u w:val="single"/>
          </w:rPr>
          <w:t xml:space="preserve">https://www.consumer.vic.gov.au/housing/owners-corporations/rules/making-rules-to-ban-short-stay-accommodation</w:t>
        </w:r>
      </w:hyperlink>
    </w:p>
    <w:p>
      <w:pPr>
        <w:keepLines/>
        <w:widowControl/>
        <w:spacing w:after="120" w:line="360" w:lineRule="auto"/>
        <w:ind w:left="720" w:hanging="720"/>
        <w:jc w:val="left"/>
      </w:pPr>
      <w:r>
        <w:rPr>
          <w:rFonts w:ascii="Arial" w:hAnsi="Arial" w:eastAsia="Arial" w:cs="Arial"/>
        </w:rPr>
        <w:t xml:space="preserve">Huang, E., &amp; Xu, M. (2026). </w:t>
      </w:r>
      <w:r>
        <w:rPr>
          <w:rFonts w:ascii="Arial" w:hAnsi="Arial" w:eastAsia="Arial" w:cs="Arial"/>
          <w:i/>
        </w:rPr>
        <w:t>Melbourne Airbnb market screening</w:t>
      </w:r>
      <w:r>
        <w:rPr>
          <w:rFonts w:ascii="Arial" w:hAnsi="Arial" w:eastAsia="Arial" w:cs="Arial"/>
        </w:rPr>
        <w:t xml:space="preserve"> [Source code]. GitHub. </w:t>
      </w:r>
      <w:hyperlink r:id="rId13">
        <w:r>
          <w:rPr>
            <w:rFonts w:ascii="Arial" w:hAnsi="Arial" w:eastAsia="Arial" w:cs="Arial"/>
            <w:color w:val="0563C1"/>
            <w:u w:val="single"/>
          </w:rPr>
          <w:t xml:space="preserve">https://github.com/maksym-xu/CMCE30005-TheNextChapter/tree/main</w:t>
        </w:r>
      </w:hyperlink>
    </w:p>
    <w:p>
      <w:pPr>
        <w:keepLines/>
        <w:widowControl/>
        <w:spacing w:after="120" w:line="360" w:lineRule="auto"/>
        <w:ind w:left="720" w:hanging="720"/>
        <w:jc w:val="left"/>
      </w:pPr>
      <w:r>
        <w:rPr>
          <w:rFonts w:ascii="Arial" w:hAnsi="Arial" w:eastAsia="Arial" w:cs="Arial"/>
        </w:rPr>
        <w:t xml:space="preserve">Hutto, C., &amp; Gilbert, E. (2014). VADER: A parsimonious rule-based model for sentiment analysis of social media text. </w:t>
      </w:r>
      <w:r>
        <w:rPr>
          <w:rFonts w:ascii="Arial" w:hAnsi="Arial" w:eastAsia="Arial" w:cs="Arial"/>
          <w:i/>
        </w:rPr>
        <w:t>Proceedings of the International AAAI Conference on Web and Social Media, 8</w:t>
      </w:r>
      <w:r>
        <w:rPr>
          <w:rFonts w:ascii="Arial" w:hAnsi="Arial" w:eastAsia="Arial" w:cs="Arial"/>
        </w:rPr>
        <w:t xml:space="preserve">(1), 216–225. </w:t>
      </w:r>
      <w:hyperlink r:id="rId27">
        <w:r>
          <w:rPr>
            <w:rFonts w:ascii="Arial" w:hAnsi="Arial" w:eastAsia="Arial" w:cs="Arial"/>
            <w:color w:val="0563C1"/>
            <w:u w:val="single"/>
          </w:rPr>
          <w:t xml:space="preserve">https://doi.org/10.1609/icwsm.v8i1.14550</w:t>
        </w:r>
      </w:hyperlink>
    </w:p>
    <w:p>
      <w:pPr>
        <w:keepLines/>
        <w:widowControl/>
        <w:spacing w:after="120" w:line="360" w:lineRule="auto"/>
        <w:ind w:left="720" w:hanging="720"/>
        <w:jc w:val="left"/>
      </w:pPr>
      <w:r>
        <w:rPr>
          <w:rFonts w:ascii="Arial" w:hAnsi="Arial" w:eastAsia="Arial" w:cs="Arial"/>
        </w:rPr>
        <w:t xml:space="preserve">Inside Airbnb. (n.d.). </w:t>
      </w:r>
      <w:r>
        <w:rPr>
          <w:rFonts w:ascii="Arial" w:hAnsi="Arial" w:eastAsia="Arial" w:cs="Arial"/>
          <w:i/>
        </w:rPr>
        <w:t>Data assumptions</w:t>
      </w:r>
      <w:r>
        <w:rPr>
          <w:rFonts w:ascii="Arial" w:hAnsi="Arial" w:eastAsia="Arial" w:cs="Arial"/>
        </w:rPr>
        <w:t xml:space="preserve">. Retrieved October 16, 2026, from </w:t>
      </w:r>
      <w:hyperlink r:id="rId28">
        <w:r>
          <w:rPr>
            <w:rFonts w:ascii="Arial" w:hAnsi="Arial" w:eastAsia="Arial" w:cs="Arial"/>
            <w:color w:val="0563C1"/>
            <w:u w:val="single"/>
          </w:rPr>
          <w:t xml:space="preserve">https://insideairbnb.com/data-assumptions/</w:t>
        </w:r>
      </w:hyperlink>
    </w:p>
    <w:p>
      <w:pPr>
        <w:keepLines/>
        <w:widowControl/>
        <w:spacing w:after="120" w:line="360" w:lineRule="auto"/>
        <w:ind w:left="720" w:hanging="720"/>
        <w:jc w:val="left"/>
      </w:pPr>
      <w:r>
        <w:rPr>
          <w:rFonts w:ascii="Arial" w:hAnsi="Arial" w:eastAsia="Arial" w:cs="Arial"/>
        </w:rPr>
        <w:t xml:space="preserve">Inside Airbnb. (2026). </w:t>
      </w:r>
      <w:r>
        <w:rPr>
          <w:rFonts w:ascii="Arial" w:hAnsi="Arial" w:eastAsia="Arial" w:cs="Arial"/>
          <w:i/>
        </w:rPr>
        <w:t>Melbourne, Victoria, Australia: Listings and reviews</w:t>
      </w:r>
      <w:r>
        <w:rPr>
          <w:rFonts w:ascii="Arial" w:hAnsi="Arial" w:eastAsia="Arial" w:cs="Arial"/>
        </w:rPr>
        <w:t xml:space="preserve"> (June 2026 snapshot, via CMCE30005 LMS) [Data set]. </w:t>
      </w:r>
      <w:hyperlink r:id="rId17">
        <w:r>
          <w:rPr>
            <w:rFonts w:ascii="Arial" w:hAnsi="Arial" w:eastAsia="Arial" w:cs="Arial"/>
            <w:color w:val="0563C1"/>
            <w:u w:val="single"/>
          </w:rPr>
          <w:t xml:space="preserve">https://insideairbnb.com/get-the-data/</w:t>
        </w:r>
      </w:hyperlink>
    </w:p>
    <w:p>
      <w:pPr>
        <w:keepLines/>
        <w:widowControl/>
        <w:spacing w:after="120" w:line="360" w:lineRule="auto"/>
        <w:ind w:left="720" w:hanging="720"/>
        <w:jc w:val="left"/>
      </w:pPr>
      <w:r>
        <w:rPr>
          <w:rFonts w:ascii="Arial" w:hAnsi="Arial" w:eastAsia="Arial" w:cs="Arial"/>
        </w:rPr>
        <w:t xml:space="preserve">R Core Team. (2026). </w:t>
      </w:r>
      <w:r>
        <w:rPr>
          <w:rFonts w:ascii="Arial" w:hAnsi="Arial" w:eastAsia="Arial" w:cs="Arial"/>
          <w:i/>
        </w:rPr>
        <w:t>R: A language and environment for statistical computing</w:t>
      </w:r>
      <w:r>
        <w:rPr>
          <w:rFonts w:ascii="Arial" w:hAnsi="Arial" w:eastAsia="Arial" w:cs="Arial"/>
        </w:rPr>
        <w:t xml:space="preserve"> (Version 4.5.3) [Computer software]. R Foundation for Statistical Computing. </w:t>
      </w:r>
      <w:hyperlink r:id="rId29">
        <w:r>
          <w:rPr>
            <w:rFonts w:ascii="Arial" w:hAnsi="Arial" w:eastAsia="Arial" w:cs="Arial"/>
            <w:color w:val="0563C1"/>
            <w:u w:val="single"/>
          </w:rPr>
          <w:t xml:space="preserve">https://www.R-project.org/</w:t>
        </w:r>
      </w:hyperlink>
    </w:p>
    <w:p>
      <w:pPr>
        <w:keepLines/>
        <w:widowControl/>
        <w:spacing w:after="120" w:line="360" w:lineRule="auto"/>
        <w:ind w:left="720" w:hanging="720"/>
        <w:jc w:val="left"/>
      </w:pPr>
      <w:r>
        <w:rPr>
          <w:rFonts w:ascii="Arial" w:hAnsi="Arial" w:eastAsia="Arial" w:cs="Arial"/>
        </w:rPr>
        <w:t xml:space="preserve">State Revenue Office Victoria. (n.d.). </w:t>
      </w:r>
      <w:r>
        <w:rPr>
          <w:rFonts w:ascii="Arial" w:hAnsi="Arial" w:eastAsia="Arial" w:cs="Arial"/>
          <w:i/>
        </w:rPr>
        <w:t>Understanding the short stay levy</w:t>
      </w:r>
      <w:r>
        <w:rPr>
          <w:rFonts w:ascii="Arial" w:hAnsi="Arial" w:eastAsia="Arial" w:cs="Arial"/>
        </w:rPr>
        <w:t xml:space="preserve">. Retrieved October 16, 2026, from </w:t>
      </w:r>
      <w:hyperlink r:id="rId30">
        <w:r>
          <w:rPr>
            <w:rFonts w:ascii="Arial" w:hAnsi="Arial" w:eastAsia="Arial" w:cs="Arial"/>
            <w:color w:val="0563C1"/>
            <w:u w:val="single"/>
          </w:rPr>
          <w:t xml:space="preserve">https://www.sro.vic.gov.au/owning-property/short-stay-levy/understanding-short-stay-levy</w:t>
        </w:r>
      </w:hyperlink>
    </w:p>
    <w:p>
      <w:pPr>
        <w:pStyle w:val="Heading2"/>
        <w:keepNext/>
      </w:pPr>
      <w:r>
        <w:rPr>
          <w:rFonts w:ascii="Arial" w:hAnsi="Arial" w:eastAsia="Arial" w:cs="Arial"/>
        </w:rPr>
        <w:t>AI acknowledgement</w:t>
      </w:r>
    </w:p>
    <w:p>
      <w:pPr>
        <w:widowControl/>
        <w:spacing w:after="120" w:line="259" w:lineRule="auto"/>
        <w:jc w:val="left"/>
      </w:pPr>
      <w:r>
        <w:rPr>
          <w:rFonts w:ascii="Arial" w:hAnsi="Arial" w:eastAsia="Arial" w:cs="Arial"/>
        </w:rPr>
        <w:t>ChatGPT, Gemini and Claude Code assisted with writing and coding; Eric Huang and Maksym Xu reviewed the outputs.</w:t>
      </w:r>
    </w:p>
    <w:p>
      <w:pPr>
        <w:pStyle w:val="Heading2"/>
        <w:keepNext/>
      </w:pPr>
      <w:r>
        <w:rPr>
          <w:rFonts w:ascii="Arial" w:hAnsi="Arial" w:eastAsia="Arial" w:cs="Arial"/>
        </w:rPr>
        <w:t>Author contributions</w:t>
      </w:r>
    </w:p>
    <w:p>
      <w:pPr>
        <w:widowControl/>
        <w:spacing w:after="120" w:line="259" w:lineRule="auto"/>
        <w:jc w:val="left"/>
      </w:pPr>
      <w:r>
        <w:rPr>
          <w:rFonts w:ascii="Arial" w:hAnsi="Arial" w:eastAsia="Arial" w:cs="Arial"/>
        </w:rPr>
        <w:t>Maksym Xu led data preparation, modelling and validation; Eric Huang led report drafting and review. Earlier team contributions are recorded in the repository guide.</w:t>
      </w:r>
    </w:p>
    <w:p>
      <w:pPr>
        <w:pStyle w:val="Heading1"/>
        <w:keepNext/>
        <w:pageBreakBefore/>
      </w:pPr>
      <w:r>
        <w:rPr>
          <w:rFonts w:ascii="Arial" w:hAnsi="Arial" w:eastAsia="Arial" w:cs="Arial"/>
        </w:rPr>
        <w:t>Appendix A. Model Details and Further Checks</w:t>
      </w:r>
    </w:p>
    <w:p>
      <w:pPr>
        <w:widowControl/>
        <w:spacing w:after="120" w:line="259" w:lineRule="auto"/>
        <w:jc w:val="left"/>
      </w:pPr>
      <w:r>
        <w:rPr>
          <w:rFonts w:ascii="Arial" w:hAnsi="Arial" w:eastAsia="Arial" w:cs="Arial"/>
        </w:rPr>
        <w:t>Group median prices, and the most common minimum stay used to fill gaps, come only from the homes each model was built on. In Table A1, each odds ratio multiplies the odds of being busy (busy homes per home that is not busy), averaged over the 50 fits; above 1 raises the chance, below 1 lowers it.</w:t>
      </w:r>
    </w:p>
    <w:p>
      <w:pPr>
        <w:keepNext/>
        <w:widowControl/>
        <w:spacing w:after="80" w:before="80" w:line="259" w:lineRule="auto"/>
        <w:jc w:val="left"/>
      </w:pPr>
      <w:r>
        <w:rPr>
          <w:rFonts w:ascii="Arial" w:hAnsi="Arial" w:eastAsia="Arial" w:cs="Arial"/>
          <w:b/>
        </w:rPr>
        <w:t>Table A1. Odds ratios across 50 fits</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5870"/>
        <w:gridCol w:w="1461"/>
        <w:gridCol w:w="2533"/>
      </w:tblGrid>
      <w:tr>
        <w:trPr>
          <w:cantSplit/>
          <w:tblHeader/>
        </w:trPr>
        <w:tc>
          <w:tcPr>
            <w:tcW w:type="dxa" w:w="5870"/>
            <w:vAlign w:val="center"/>
            <w:shd w:val="clear" w:color="auto" w:fill="E9EEF3"/>
          </w:tcPr>
          <w:p>
            <w:pPr>
              <w:keepNext/>
              <w:spacing w:before="40" w:after="40" w:line="240" w:lineRule="auto"/>
              <w:jc w:val="left"/>
            </w:pPr>
            <w:r>
              <w:rPr>
                <w:rFonts w:ascii="Arial" w:hAnsi="Arial" w:eastAsia="Arial" w:cs="Arial"/>
                <w:b/>
                <w:sz w:val="21"/>
              </w:rPr>
              <w:t>Input (compared with)</w:t>
            </w:r>
          </w:p>
        </w:tc>
        <w:tc>
          <w:tcPr>
            <w:tcW w:type="dxa" w:w="1461"/>
            <w:vAlign w:val="center"/>
            <w:shd w:val="clear" w:color="auto" w:fill="E9EEF3"/>
          </w:tcPr>
          <w:p>
            <w:pPr>
              <w:keepNext/>
              <w:spacing w:before="40" w:after="40" w:line="240" w:lineRule="auto"/>
              <w:jc w:val="left"/>
            </w:pPr>
            <w:r>
              <w:rPr>
                <w:rFonts w:ascii="Arial" w:hAnsi="Arial" w:eastAsia="Arial" w:cs="Arial"/>
                <w:b/>
                <w:sz w:val="21"/>
              </w:rPr>
              <w:t>Odds ratio</w:t>
            </w:r>
          </w:p>
        </w:tc>
        <w:tc>
          <w:tcPr>
            <w:tcW w:type="dxa" w:w="2533"/>
            <w:vAlign w:val="center"/>
            <w:shd w:val="clear" w:color="auto" w:fill="E9EEF3"/>
          </w:tcPr>
          <w:p>
            <w:pPr>
              <w:keepNext/>
              <w:spacing w:before="40" w:after="40" w:line="240" w:lineRule="auto"/>
              <w:jc w:val="left"/>
            </w:pPr>
            <w:r>
              <w:rPr>
                <w:rFonts w:ascii="Arial" w:hAnsi="Arial" w:eastAsia="Arial" w:cs="Arial"/>
                <w:b/>
                <w:sz w:val="21"/>
              </w:rPr>
              <w:t>Range across fits</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Accepts one-night stays (no)</w:t>
            </w:r>
          </w:p>
        </w:tc>
        <w:tc>
          <w:tcPr>
            <w:tcW w:type="dxa" w:w="1461"/>
            <w:vAlign w:val="center"/>
            <w:shd w:val="clear" w:color="auto" w:fill="FFFFFF"/>
          </w:tcPr>
          <w:p>
            <w:pPr>
              <w:keepNext/>
              <w:spacing w:before="40" w:after="40" w:line="240" w:lineRule="auto"/>
              <w:jc w:val="right"/>
            </w:pPr>
            <w:r>
              <w:rPr>
                <w:rFonts w:ascii="Arial" w:hAnsi="Arial" w:eastAsia="Arial" w:cs="Arial"/>
                <w:sz w:val="21"/>
              </w:rPr>
              <w:t>3.27</w:t>
            </w:r>
          </w:p>
        </w:tc>
        <w:tc>
          <w:tcPr>
            <w:tcW w:type="dxa" w:w="2533"/>
            <w:vAlign w:val="center"/>
            <w:shd w:val="clear" w:color="auto" w:fill="FFFFFF"/>
          </w:tcPr>
          <w:p>
            <w:pPr>
              <w:keepNext/>
              <w:spacing w:before="40" w:after="40" w:line="240" w:lineRule="auto"/>
              <w:jc w:val="right"/>
            </w:pPr>
            <w:r>
              <w:rPr>
                <w:rFonts w:ascii="Arial" w:hAnsi="Arial" w:eastAsia="Arial" w:cs="Arial"/>
                <w:sz w:val="21"/>
              </w:rPr>
              <w:t>2.53–4.05</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Ten more amenities</w:t>
            </w:r>
          </w:p>
        </w:tc>
        <w:tc>
          <w:tcPr>
            <w:tcW w:type="dxa" w:w="1461"/>
            <w:vAlign w:val="center"/>
            <w:shd w:val="clear" w:color="auto" w:fill="FFFFFF"/>
          </w:tcPr>
          <w:p>
            <w:pPr>
              <w:keepNext/>
              <w:spacing w:before="40" w:after="40" w:line="240" w:lineRule="auto"/>
              <w:jc w:val="right"/>
            </w:pPr>
            <w:r>
              <w:rPr>
                <w:rFonts w:ascii="Arial" w:hAnsi="Arial" w:eastAsia="Arial" w:cs="Arial"/>
                <w:sz w:val="21"/>
              </w:rPr>
              <w:t>1.27</w:t>
            </w:r>
          </w:p>
        </w:tc>
        <w:tc>
          <w:tcPr>
            <w:tcW w:type="dxa" w:w="2533"/>
            <w:vAlign w:val="center"/>
            <w:shd w:val="clear" w:color="auto" w:fill="FFFFFF"/>
          </w:tcPr>
          <w:p>
            <w:pPr>
              <w:keepNext/>
              <w:spacing w:before="40" w:after="40" w:line="240" w:lineRule="auto"/>
              <w:jc w:val="right"/>
            </w:pPr>
            <w:r>
              <w:rPr>
                <w:rFonts w:ascii="Arial" w:hAnsi="Arial" w:eastAsia="Arial" w:cs="Arial"/>
                <w:sz w:val="21"/>
              </w:rPr>
              <w:t>1.15–1.41</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Price 10% above similar homes</w:t>
            </w:r>
          </w:p>
        </w:tc>
        <w:tc>
          <w:tcPr>
            <w:tcW w:type="dxa" w:w="1461"/>
            <w:vAlign w:val="center"/>
            <w:shd w:val="clear" w:color="auto" w:fill="FFFFFF"/>
          </w:tcPr>
          <w:p>
            <w:pPr>
              <w:keepNext/>
              <w:spacing w:before="40" w:after="40" w:line="240" w:lineRule="auto"/>
              <w:jc w:val="right"/>
            </w:pPr>
            <w:r>
              <w:rPr>
                <w:rFonts w:ascii="Arial" w:hAnsi="Arial" w:eastAsia="Arial" w:cs="Arial"/>
                <w:sz w:val="21"/>
              </w:rPr>
              <w:t>0.88</w:t>
            </w:r>
          </w:p>
        </w:tc>
        <w:tc>
          <w:tcPr>
            <w:tcW w:type="dxa" w:w="2533"/>
            <w:vAlign w:val="center"/>
            <w:shd w:val="clear" w:color="auto" w:fill="FFFFFF"/>
          </w:tcPr>
          <w:p>
            <w:pPr>
              <w:keepNext/>
              <w:spacing w:before="40" w:after="40" w:line="240" w:lineRule="auto"/>
              <w:jc w:val="right"/>
            </w:pPr>
            <w:r>
              <w:rPr>
                <w:rFonts w:ascii="Arial" w:hAnsi="Arial" w:eastAsia="Arial" w:cs="Arial"/>
                <w:sz w:val="21"/>
              </w:rPr>
              <w:t>0.83–0.94</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b/>
                <w:sz w:val="21"/>
              </w:rPr>
              <w:t>Council area (City of Melbourne)</w:t>
            </w:r>
          </w:p>
        </w:tc>
        <w:tc>
          <w:tcPr>
            <w:tcW w:type="dxa" w:w="1461"/>
            <w:vAlign w:val="center"/>
            <w:shd w:val="clear" w:color="auto" w:fill="FFFFFF"/>
          </w:tcPr>
          <w:p>
            <w:pPr>
              <w:keepNext/>
              <w:spacing w:before="40" w:after="40" w:line="240" w:lineRule="auto"/>
              <w:jc w:val="right"/>
            </w:pPr>
          </w:p>
        </w:tc>
        <w:tc>
          <w:tcPr>
            <w:tcW w:type="dxa" w:w="2533"/>
            <w:vAlign w:val="center"/>
            <w:shd w:val="clear" w:color="auto" w:fill="FFFFFF"/>
          </w:tcPr>
          <w:p>
            <w:pPr>
              <w:keepNext/>
              <w:spacing w:before="40" w:after="40" w:line="240" w:lineRule="auto"/>
              <w:jc w:val="right"/>
            </w:pP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Port Phillip</w:t>
            </w:r>
          </w:p>
        </w:tc>
        <w:tc>
          <w:tcPr>
            <w:tcW w:type="dxa" w:w="1461"/>
            <w:vAlign w:val="center"/>
            <w:shd w:val="clear" w:color="auto" w:fill="FFFFFF"/>
          </w:tcPr>
          <w:p>
            <w:pPr>
              <w:keepNext/>
              <w:spacing w:before="40" w:after="40" w:line="240" w:lineRule="auto"/>
              <w:jc w:val="right"/>
            </w:pPr>
            <w:r>
              <w:rPr>
                <w:rFonts w:ascii="Arial" w:hAnsi="Arial" w:eastAsia="Arial" w:cs="Arial"/>
                <w:sz w:val="21"/>
              </w:rPr>
              <w:t>0.50</w:t>
            </w:r>
          </w:p>
        </w:tc>
        <w:tc>
          <w:tcPr>
            <w:tcW w:type="dxa" w:w="2533"/>
            <w:vAlign w:val="center"/>
            <w:shd w:val="clear" w:color="auto" w:fill="FFFFFF"/>
          </w:tcPr>
          <w:p>
            <w:pPr>
              <w:keepNext/>
              <w:spacing w:before="40" w:after="40" w:line="240" w:lineRule="auto"/>
              <w:jc w:val="right"/>
            </w:pPr>
            <w:r>
              <w:rPr>
                <w:rFonts w:ascii="Arial" w:hAnsi="Arial" w:eastAsia="Arial" w:cs="Arial"/>
                <w:sz w:val="21"/>
              </w:rPr>
              <w:t>0.33–0.66</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Stonnington</w:t>
            </w:r>
          </w:p>
        </w:tc>
        <w:tc>
          <w:tcPr>
            <w:tcW w:type="dxa" w:w="1461"/>
            <w:vAlign w:val="center"/>
            <w:shd w:val="clear" w:color="auto" w:fill="FFFFFF"/>
          </w:tcPr>
          <w:p>
            <w:pPr>
              <w:keepNext/>
              <w:spacing w:before="40" w:after="40" w:line="240" w:lineRule="auto"/>
              <w:jc w:val="right"/>
            </w:pPr>
            <w:r>
              <w:rPr>
                <w:rFonts w:ascii="Arial" w:hAnsi="Arial" w:eastAsia="Arial" w:cs="Arial"/>
                <w:sz w:val="21"/>
              </w:rPr>
              <w:t>0.48</w:t>
            </w:r>
          </w:p>
        </w:tc>
        <w:tc>
          <w:tcPr>
            <w:tcW w:type="dxa" w:w="2533"/>
            <w:vAlign w:val="center"/>
            <w:shd w:val="clear" w:color="auto" w:fill="FFFFFF"/>
          </w:tcPr>
          <w:p>
            <w:pPr>
              <w:keepNext/>
              <w:spacing w:before="40" w:after="40" w:line="240" w:lineRule="auto"/>
              <w:jc w:val="right"/>
            </w:pPr>
            <w:r>
              <w:rPr>
                <w:rFonts w:ascii="Arial" w:hAnsi="Arial" w:eastAsia="Arial" w:cs="Arial"/>
                <w:sz w:val="21"/>
              </w:rPr>
              <w:t>0.26–0.68</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Yarra</w:t>
            </w:r>
          </w:p>
        </w:tc>
        <w:tc>
          <w:tcPr>
            <w:tcW w:type="dxa" w:w="1461"/>
            <w:vAlign w:val="center"/>
            <w:shd w:val="clear" w:color="auto" w:fill="FFFFFF"/>
          </w:tcPr>
          <w:p>
            <w:pPr>
              <w:keepNext/>
              <w:spacing w:before="40" w:after="40" w:line="240" w:lineRule="auto"/>
              <w:jc w:val="right"/>
            </w:pPr>
            <w:r>
              <w:rPr>
                <w:rFonts w:ascii="Arial" w:hAnsi="Arial" w:eastAsia="Arial" w:cs="Arial"/>
                <w:sz w:val="21"/>
              </w:rPr>
              <w:t>0.83</w:t>
            </w:r>
          </w:p>
        </w:tc>
        <w:tc>
          <w:tcPr>
            <w:tcW w:type="dxa" w:w="2533"/>
            <w:vAlign w:val="center"/>
            <w:shd w:val="clear" w:color="auto" w:fill="FFFFFF"/>
          </w:tcPr>
          <w:p>
            <w:pPr>
              <w:keepNext/>
              <w:spacing w:before="40" w:after="40" w:line="240" w:lineRule="auto"/>
              <w:jc w:val="right"/>
            </w:pPr>
            <w:r>
              <w:rPr>
                <w:rFonts w:ascii="Arial" w:hAnsi="Arial" w:eastAsia="Arial" w:cs="Arial"/>
                <w:sz w:val="21"/>
              </w:rPr>
              <w:t>0.59–1.11</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Yarra Ranges</w:t>
            </w:r>
          </w:p>
        </w:tc>
        <w:tc>
          <w:tcPr>
            <w:tcW w:type="dxa" w:w="1461"/>
            <w:vAlign w:val="center"/>
            <w:shd w:val="clear" w:color="auto" w:fill="FFFFFF"/>
          </w:tcPr>
          <w:p>
            <w:pPr>
              <w:keepNext/>
              <w:spacing w:before="40" w:after="40" w:line="240" w:lineRule="auto"/>
              <w:jc w:val="right"/>
            </w:pPr>
            <w:r>
              <w:rPr>
                <w:rFonts w:ascii="Arial" w:hAnsi="Arial" w:eastAsia="Arial" w:cs="Arial"/>
                <w:sz w:val="21"/>
              </w:rPr>
              <w:t>1.22</w:t>
            </w:r>
          </w:p>
        </w:tc>
        <w:tc>
          <w:tcPr>
            <w:tcW w:type="dxa" w:w="2533"/>
            <w:vAlign w:val="center"/>
            <w:shd w:val="clear" w:color="auto" w:fill="FFFFFF"/>
          </w:tcPr>
          <w:p>
            <w:pPr>
              <w:keepNext/>
              <w:spacing w:before="40" w:after="40" w:line="240" w:lineRule="auto"/>
              <w:jc w:val="right"/>
            </w:pPr>
            <w:r>
              <w:rPr>
                <w:rFonts w:ascii="Arial" w:hAnsi="Arial" w:eastAsia="Arial" w:cs="Arial"/>
                <w:sz w:val="21"/>
              </w:rPr>
              <w:t>0.76–1.97</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Merri-bek</w:t>
            </w:r>
          </w:p>
        </w:tc>
        <w:tc>
          <w:tcPr>
            <w:tcW w:type="dxa" w:w="1461"/>
            <w:vAlign w:val="center"/>
            <w:shd w:val="clear" w:color="auto" w:fill="FFFFFF"/>
          </w:tcPr>
          <w:p>
            <w:pPr>
              <w:keepNext/>
              <w:spacing w:before="40" w:after="40" w:line="240" w:lineRule="auto"/>
              <w:jc w:val="right"/>
            </w:pPr>
            <w:r>
              <w:rPr>
                <w:rFonts w:ascii="Arial" w:hAnsi="Arial" w:eastAsia="Arial" w:cs="Arial"/>
                <w:sz w:val="21"/>
              </w:rPr>
              <w:t>0.75</w:t>
            </w:r>
          </w:p>
        </w:tc>
        <w:tc>
          <w:tcPr>
            <w:tcW w:type="dxa" w:w="2533"/>
            <w:vAlign w:val="center"/>
            <w:shd w:val="clear" w:color="auto" w:fill="FFFFFF"/>
          </w:tcPr>
          <w:p>
            <w:pPr>
              <w:keepNext/>
              <w:spacing w:before="40" w:after="40" w:line="240" w:lineRule="auto"/>
              <w:jc w:val="right"/>
            </w:pPr>
            <w:r>
              <w:rPr>
                <w:rFonts w:ascii="Arial" w:hAnsi="Arial" w:eastAsia="Arial" w:cs="Arial"/>
                <w:sz w:val="21"/>
              </w:rPr>
              <w:t>0.36–1.19</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House or townhouse (apartment)</w:t>
            </w:r>
          </w:p>
        </w:tc>
        <w:tc>
          <w:tcPr>
            <w:tcW w:type="dxa" w:w="1461"/>
            <w:vAlign w:val="center"/>
            <w:shd w:val="clear" w:color="auto" w:fill="FFFFFF"/>
          </w:tcPr>
          <w:p>
            <w:pPr>
              <w:keepNext/>
              <w:spacing w:before="40" w:after="40" w:line="240" w:lineRule="auto"/>
              <w:jc w:val="right"/>
            </w:pPr>
            <w:r>
              <w:rPr>
                <w:rFonts w:ascii="Arial" w:hAnsi="Arial" w:eastAsia="Arial" w:cs="Arial"/>
                <w:sz w:val="21"/>
              </w:rPr>
              <w:t>0.78</w:t>
            </w:r>
          </w:p>
        </w:tc>
        <w:tc>
          <w:tcPr>
            <w:tcW w:type="dxa" w:w="2533"/>
            <w:vAlign w:val="center"/>
            <w:shd w:val="clear" w:color="auto" w:fill="FFFFFF"/>
          </w:tcPr>
          <w:p>
            <w:pPr>
              <w:keepNext/>
              <w:spacing w:before="40" w:after="40" w:line="240" w:lineRule="auto"/>
              <w:jc w:val="right"/>
            </w:pPr>
            <w:r>
              <w:rPr>
                <w:rFonts w:ascii="Arial" w:hAnsi="Arial" w:eastAsia="Arial" w:cs="Arial"/>
                <w:sz w:val="21"/>
              </w:rPr>
              <w:t>0.57–1.30</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Two bedrooms (one)</w:t>
            </w:r>
          </w:p>
        </w:tc>
        <w:tc>
          <w:tcPr>
            <w:tcW w:type="dxa" w:w="1461"/>
            <w:vAlign w:val="center"/>
            <w:shd w:val="clear" w:color="auto" w:fill="FFFFFF"/>
          </w:tcPr>
          <w:p>
            <w:pPr>
              <w:keepNext/>
              <w:spacing w:before="40" w:after="40" w:line="240" w:lineRule="auto"/>
              <w:jc w:val="right"/>
            </w:pPr>
            <w:r>
              <w:rPr>
                <w:rFonts w:ascii="Arial" w:hAnsi="Arial" w:eastAsia="Arial" w:cs="Arial"/>
                <w:sz w:val="21"/>
              </w:rPr>
              <w:t>1.16</w:t>
            </w:r>
          </w:p>
        </w:tc>
        <w:tc>
          <w:tcPr>
            <w:tcW w:type="dxa" w:w="2533"/>
            <w:vAlign w:val="center"/>
            <w:shd w:val="clear" w:color="auto" w:fill="FFFFFF"/>
          </w:tcPr>
          <w:p>
            <w:pPr>
              <w:keepNext/>
              <w:spacing w:before="40" w:after="40" w:line="240" w:lineRule="auto"/>
              <w:jc w:val="right"/>
            </w:pPr>
            <w:r>
              <w:rPr>
                <w:rFonts w:ascii="Arial" w:hAnsi="Arial" w:eastAsia="Arial" w:cs="Arial"/>
                <w:sz w:val="21"/>
              </w:rPr>
              <w:t>0.89–1.41</w:t>
            </w:r>
          </w:p>
        </w:tc>
      </w:tr>
      <w:tr>
        <w:trPr>
          <w:cantSplit/>
        </w:trPr>
        <w:tc>
          <w:tcPr>
            <w:tcW w:type="dxa" w:w="5870"/>
            <w:vAlign w:val="center"/>
            <w:shd w:val="clear" w:color="auto" w:fill="FFFFFF"/>
          </w:tcPr>
          <w:p>
            <w:pPr>
              <w:spacing w:before="40" w:after="40" w:line="240" w:lineRule="auto"/>
              <w:jc w:val="left"/>
            </w:pPr>
            <w:r>
              <w:rPr>
                <w:rFonts w:ascii="Arial" w:hAnsi="Arial" w:eastAsia="Arial" w:cs="Arial"/>
                <w:sz w:val="21"/>
              </w:rPr>
              <w:t>Three bedrooms (one)</w:t>
            </w:r>
          </w:p>
        </w:tc>
        <w:tc>
          <w:tcPr>
            <w:tcW w:type="dxa" w:w="1461"/>
            <w:vAlign w:val="center"/>
            <w:shd w:val="clear" w:color="auto" w:fill="FFFFFF"/>
          </w:tcPr>
          <w:p>
            <w:pPr>
              <w:spacing w:before="40" w:after="40" w:line="240" w:lineRule="auto"/>
              <w:jc w:val="right"/>
            </w:pPr>
            <w:r>
              <w:rPr>
                <w:rFonts w:ascii="Arial" w:hAnsi="Arial" w:eastAsia="Arial" w:cs="Arial"/>
                <w:sz w:val="21"/>
              </w:rPr>
              <w:t>1.31</w:t>
            </w:r>
          </w:p>
        </w:tc>
        <w:tc>
          <w:tcPr>
            <w:tcW w:type="dxa" w:w="2533"/>
            <w:vAlign w:val="center"/>
            <w:shd w:val="clear" w:color="auto" w:fill="FFFFFF"/>
          </w:tcPr>
          <w:p>
            <w:pPr>
              <w:spacing w:before="40" w:after="40" w:line="240" w:lineRule="auto"/>
              <w:jc w:val="right"/>
            </w:pPr>
            <w:r>
              <w:rPr>
                <w:rFonts w:ascii="Arial" w:hAnsi="Arial" w:eastAsia="Arial" w:cs="Arial"/>
                <w:sz w:val="21"/>
              </w:rPr>
              <w:t>0.86–1.84</w:t>
            </w:r>
          </w:p>
        </w:tc>
      </w:tr>
    </w:tbl>
    <w:p>
      <w:pPr>
        <w:widowControl/>
        <w:spacing w:after="80" w:line="240" w:lineRule="auto"/>
        <w:jc w:val="left"/>
      </w:pPr>
    </w:p>
    <w:p>
      <w:pPr>
        <w:widowControl/>
        <w:spacing w:after="120" w:line="259" w:lineRule="auto"/>
        <w:jc w:val="left"/>
      </w:pPr>
      <w:r>
        <w:rPr>
          <w:rFonts w:ascii="Arial" w:hAnsi="Arial" w:eastAsia="Arial" w:cs="Arial"/>
        </w:rPr>
        <w:t>Ranges show stability across fits, not confidence intervals; those including 1 (for example, Yarra Ranges) leave the direction uncertain. Across the 50 tests on all 14 groups, the model ranked a random busy home above a random home that was not busy 71% of the time, against 60% for group rates (AUC 0.71 and 0.60). Treating same-host homes as related widens margins of error to 1.1–2.6 times ordinary ones. Inputs overlap little (variance inflation factors below 3). An ordinary test of curved price and amenity effects suggests slight curvature (p = 0.03; amenities alone, p = 0.011), but this is unclear once same-host homes are treated as related (amenities, p = 0.17). Full evaluation tables are in the repository (Huang &amp; Xu, 2026).</w:t>
      </w:r>
    </w:p>
    <w:p>
      <w:pPr>
        <w:keepNext/>
        <w:widowControl/>
        <w:spacing w:after="80" w:before="80" w:line="259" w:lineRule="auto"/>
        <w:jc w:val="left"/>
      </w:pPr>
      <w:r>
        <w:rPr>
          <w:rFonts w:ascii="Arial" w:hAnsi="Arial" w:eastAsia="Arial" w:cs="Arial"/>
          <w:b/>
        </w:rPr>
        <w:t>Table A2. Hits and misses: top quarter picked across all 14 groups</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4628"/>
        <w:gridCol w:w="1404"/>
        <w:gridCol w:w="1866"/>
        <w:gridCol w:w="1966"/>
      </w:tblGrid>
      <w:tr>
        <w:trPr>
          <w:cantSplit/>
          <w:tblHeader/>
        </w:trPr>
        <w:tc>
          <w:tcPr>
            <w:tcW w:type="dxa" w:w="4628"/>
            <w:vAlign w:val="center"/>
            <w:shd w:val="clear" w:color="auto" w:fill="E9EEF3"/>
          </w:tcPr>
          <w:p>
            <w:pPr>
              <w:keepNext/>
              <w:spacing w:before="40" w:after="40" w:line="240" w:lineRule="auto"/>
              <w:jc w:val="left"/>
            </w:pPr>
            <w:r>
              <w:rPr>
                <w:rFonts w:ascii="Arial" w:hAnsi="Arial" w:eastAsia="Arial" w:cs="Arial"/>
                <w:b/>
                <w:sz w:val="21"/>
              </w:rPr>
              <w:t>Selection</w:t>
            </w:r>
          </w:p>
        </w:tc>
        <w:tc>
          <w:tcPr>
            <w:tcW w:type="dxa" w:w="1404"/>
            <w:vAlign w:val="center"/>
            <w:shd w:val="clear" w:color="auto" w:fill="E9EEF3"/>
          </w:tcPr>
          <w:p>
            <w:pPr>
              <w:keepNext/>
              <w:spacing w:before="40" w:after="40" w:line="240" w:lineRule="auto"/>
              <w:jc w:val="left"/>
            </w:pPr>
            <w:r>
              <w:rPr>
                <w:rFonts w:ascii="Arial" w:hAnsi="Arial" w:eastAsia="Arial" w:cs="Arial"/>
                <w:b/>
                <w:sz w:val="21"/>
              </w:rPr>
              <w:t>Busy</w:t>
            </w:r>
          </w:p>
        </w:tc>
        <w:tc>
          <w:tcPr>
            <w:tcW w:type="dxa" w:w="1866"/>
            <w:vAlign w:val="center"/>
            <w:shd w:val="clear" w:color="auto" w:fill="E9EEF3"/>
          </w:tcPr>
          <w:p>
            <w:pPr>
              <w:keepNext/>
              <w:spacing w:before="40" w:after="40" w:line="240" w:lineRule="auto"/>
              <w:jc w:val="left"/>
            </w:pPr>
            <w:r>
              <w:rPr>
                <w:rFonts w:ascii="Arial" w:hAnsi="Arial" w:eastAsia="Arial" w:cs="Arial"/>
                <w:b/>
                <w:sz w:val="21"/>
              </w:rPr>
              <w:t>Not busy</w:t>
            </w:r>
          </w:p>
        </w:tc>
        <w:tc>
          <w:tcPr>
            <w:tcW w:type="dxa" w:w="1966"/>
            <w:vAlign w:val="center"/>
            <w:shd w:val="clear" w:color="auto" w:fill="E9EEF3"/>
          </w:tcPr>
          <w:p>
            <w:pPr>
              <w:keepNext/>
              <w:spacing w:before="40" w:after="40" w:line="240" w:lineRule="auto"/>
              <w:jc w:val="left"/>
            </w:pPr>
            <w:r>
              <w:rPr>
                <w:rFonts w:ascii="Arial" w:hAnsi="Arial" w:eastAsia="Arial" w:cs="Arial"/>
                <w:b/>
                <w:sz w:val="21"/>
              </w:rPr>
              <w:t>Total</w:t>
            </w:r>
          </w:p>
        </w:tc>
      </w:tr>
      <w:tr>
        <w:trPr>
          <w:cantSplit/>
        </w:trPr>
        <w:tc>
          <w:tcPr>
            <w:tcW w:type="dxa" w:w="4628"/>
            <w:vAlign w:val="center"/>
            <w:shd w:val="clear" w:color="auto" w:fill="FFFFFF"/>
          </w:tcPr>
          <w:p>
            <w:pPr>
              <w:keepNext/>
              <w:spacing w:before="40" w:after="40" w:line="240" w:lineRule="auto"/>
              <w:jc w:val="left"/>
            </w:pPr>
            <w:r>
              <w:rPr>
                <w:rFonts w:ascii="Arial" w:hAnsi="Arial" w:eastAsia="Arial" w:cs="Arial"/>
                <w:sz w:val="21"/>
              </w:rPr>
              <w:t>Picked by model</w:t>
            </w:r>
          </w:p>
        </w:tc>
        <w:tc>
          <w:tcPr>
            <w:tcW w:type="dxa" w:w="1404"/>
            <w:vAlign w:val="center"/>
            <w:shd w:val="clear" w:color="auto" w:fill="FFFFFF"/>
          </w:tcPr>
          <w:p>
            <w:pPr>
              <w:keepNext/>
              <w:spacing w:before="40" w:after="40" w:line="240" w:lineRule="auto"/>
              <w:jc w:val="right"/>
            </w:pPr>
            <w:r>
              <w:rPr>
                <w:rFonts w:ascii="Arial" w:hAnsi="Arial" w:eastAsia="Arial" w:cs="Arial"/>
                <w:sz w:val="21"/>
              </w:rPr>
              <w:t>423</w:t>
            </w:r>
          </w:p>
        </w:tc>
        <w:tc>
          <w:tcPr>
            <w:tcW w:type="dxa" w:w="1866"/>
            <w:vAlign w:val="center"/>
            <w:shd w:val="clear" w:color="auto" w:fill="FFFFFF"/>
          </w:tcPr>
          <w:p>
            <w:pPr>
              <w:keepNext/>
              <w:spacing w:before="40" w:after="40" w:line="240" w:lineRule="auto"/>
              <w:jc w:val="right"/>
            </w:pPr>
            <w:r>
              <w:rPr>
                <w:rFonts w:ascii="Arial" w:hAnsi="Arial" w:eastAsia="Arial" w:cs="Arial"/>
                <w:sz w:val="21"/>
              </w:rPr>
              <w:t>546</w:t>
            </w:r>
          </w:p>
        </w:tc>
        <w:tc>
          <w:tcPr>
            <w:tcW w:type="dxa" w:w="1966"/>
            <w:vAlign w:val="center"/>
            <w:shd w:val="clear" w:color="auto" w:fill="FFFFFF"/>
          </w:tcPr>
          <w:p>
            <w:pPr>
              <w:keepNext/>
              <w:spacing w:before="40" w:after="40" w:line="240" w:lineRule="auto"/>
              <w:jc w:val="right"/>
            </w:pPr>
            <w:r>
              <w:rPr>
                <w:rFonts w:ascii="Arial" w:hAnsi="Arial" w:eastAsia="Arial" w:cs="Arial"/>
                <w:sz w:val="21"/>
              </w:rPr>
              <w:t>969</w:t>
            </w:r>
          </w:p>
        </w:tc>
      </w:tr>
      <w:tr>
        <w:trPr>
          <w:cantSplit/>
        </w:trPr>
        <w:tc>
          <w:tcPr>
            <w:tcW w:type="dxa" w:w="4628"/>
            <w:vAlign w:val="center"/>
            <w:shd w:val="clear" w:color="auto" w:fill="FFFFFF"/>
          </w:tcPr>
          <w:p>
            <w:pPr>
              <w:spacing w:before="40" w:after="40" w:line="240" w:lineRule="auto"/>
              <w:jc w:val="left"/>
            </w:pPr>
            <w:r>
              <w:rPr>
                <w:rFonts w:ascii="Arial" w:hAnsi="Arial" w:eastAsia="Arial" w:cs="Arial"/>
                <w:sz w:val="21"/>
              </w:rPr>
              <w:t>Not picked</w:t>
            </w:r>
          </w:p>
        </w:tc>
        <w:tc>
          <w:tcPr>
            <w:tcW w:type="dxa" w:w="1404"/>
            <w:vAlign w:val="center"/>
            <w:shd w:val="clear" w:color="auto" w:fill="FFFFFF"/>
          </w:tcPr>
          <w:p>
            <w:pPr>
              <w:spacing w:before="40" w:after="40" w:line="240" w:lineRule="auto"/>
              <w:jc w:val="right"/>
            </w:pPr>
            <w:r>
              <w:rPr>
                <w:rFonts w:ascii="Arial" w:hAnsi="Arial" w:eastAsia="Arial" w:cs="Arial"/>
                <w:sz w:val="21"/>
              </w:rPr>
              <w:t>558</w:t>
            </w:r>
          </w:p>
        </w:tc>
        <w:tc>
          <w:tcPr>
            <w:tcW w:type="dxa" w:w="1866"/>
            <w:vAlign w:val="center"/>
            <w:shd w:val="clear" w:color="auto" w:fill="FFFFFF"/>
          </w:tcPr>
          <w:p>
            <w:pPr>
              <w:spacing w:before="40" w:after="40" w:line="240" w:lineRule="auto"/>
              <w:jc w:val="right"/>
            </w:pPr>
            <w:r>
              <w:rPr>
                <w:rFonts w:ascii="Arial" w:hAnsi="Arial" w:eastAsia="Arial" w:cs="Arial"/>
                <w:sz w:val="21"/>
              </w:rPr>
              <w:t>2,346</w:t>
            </w:r>
          </w:p>
        </w:tc>
        <w:tc>
          <w:tcPr>
            <w:tcW w:type="dxa" w:w="1966"/>
            <w:vAlign w:val="center"/>
            <w:shd w:val="clear" w:color="auto" w:fill="FFFFFF"/>
          </w:tcPr>
          <w:p>
            <w:pPr>
              <w:spacing w:before="40" w:after="40" w:line="240" w:lineRule="auto"/>
              <w:jc w:val="right"/>
            </w:pPr>
            <w:r>
              <w:rPr>
                <w:rFonts w:ascii="Arial" w:hAnsi="Arial" w:eastAsia="Arial" w:cs="Arial"/>
                <w:sz w:val="21"/>
              </w:rPr>
              <w:t>2,904</w:t>
            </w:r>
          </w:p>
        </w:tc>
      </w:tr>
    </w:tbl>
    <w:p>
      <w:pPr>
        <w:widowControl/>
        <w:spacing w:after="80" w:line="240" w:lineRule="auto"/>
        <w:jc w:val="left"/>
      </w:pPr>
    </w:p>
    <w:p>
      <w:pPr>
        <w:widowControl/>
        <w:spacing w:after="120" w:line="259" w:lineRule="auto"/>
        <w:jc w:val="left"/>
      </w:pPr>
      <w:r>
        <w:rPr>
          <w:rFonts w:ascii="Arial" w:hAnsi="Arial" w:eastAsia="Arial" w:cs="Arial"/>
        </w:rPr>
        <w:t>Each home was scored by a model built without its host (five folds of hosts). Of the 969 picked, 43.7% were busy (precision), against 25.3% overall, and they included 43.1% of busy homes (recall). Accuracy (71.5%) is not a useful guide here, because calling every home "not busy" scores 74.7%.</w:t>
      </w:r>
    </w:p>
    <w:p>
      <w:pPr>
        <w:keepNext/>
        <w:widowControl/>
        <w:spacing w:after="80" w:before="80" w:line="259" w:lineRule="auto"/>
        <w:jc w:val="left"/>
      </w:pPr>
      <w:r>
        <w:rPr>
          <w:rFonts w:ascii="Arial" w:hAnsi="Arial" w:eastAsia="Arial" w:cs="Arial"/>
          <w:b/>
        </w:rPr>
        <w:t>Table A3. Further checks</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4116"/>
        <w:gridCol w:w="5749"/>
      </w:tblGrid>
      <w:tr>
        <w:trPr>
          <w:cantSplit/>
          <w:tblHeader/>
        </w:trPr>
        <w:tc>
          <w:tcPr>
            <w:tcW w:type="dxa" w:w="4116"/>
            <w:vAlign w:val="center"/>
            <w:shd w:val="clear" w:color="auto" w:fill="E9EEF3"/>
          </w:tcPr>
          <w:p>
            <w:pPr>
              <w:keepNext/>
              <w:spacing w:before="40" w:after="40" w:line="240" w:lineRule="auto"/>
              <w:jc w:val="left"/>
            </w:pPr>
            <w:r>
              <w:rPr>
                <w:rFonts w:ascii="Arial" w:hAnsi="Arial" w:eastAsia="Arial" w:cs="Arial"/>
                <w:b/>
                <w:sz w:val="21"/>
              </w:rPr>
              <w:t>Check</w:t>
            </w:r>
          </w:p>
        </w:tc>
        <w:tc>
          <w:tcPr>
            <w:tcW w:type="dxa" w:w="5749"/>
            <w:vAlign w:val="center"/>
            <w:shd w:val="clear" w:color="auto" w:fill="E9EEF3"/>
          </w:tcPr>
          <w:p>
            <w:pPr>
              <w:keepNext/>
              <w:spacing w:before="40" w:after="40" w:line="240" w:lineRule="auto"/>
              <w:jc w:val="left"/>
            </w:pPr>
            <w:r>
              <w:rPr>
                <w:rFonts w:ascii="Arial" w:hAnsi="Arial" w:eastAsia="Arial" w:cs="Arial"/>
                <w:b/>
                <w:sz w:val="21"/>
              </w:rPr>
              <w:t>Result</w:t>
            </w:r>
          </w:p>
        </w:tc>
      </w:tr>
      <w:tr>
        <w:trPr>
          <w:cantSplit/>
        </w:trPr>
        <w:tc>
          <w:tcPr>
            <w:tcW w:type="dxa" w:w="4116"/>
            <w:vAlign w:val="center"/>
            <w:shd w:val="clear" w:color="auto" w:fill="FFFFFF"/>
          </w:tcPr>
          <w:p>
            <w:pPr>
              <w:keepNext/>
              <w:spacing w:before="40" w:after="40" w:line="240" w:lineRule="auto"/>
              <w:jc w:val="left"/>
            </w:pPr>
            <w:r>
              <w:rPr>
                <w:rFonts w:ascii="Arial" w:hAnsi="Arial" w:eastAsia="Arial" w:cs="Arial"/>
                <w:sz w:val="21"/>
              </w:rPr>
              <w:t>Top three in 1,000 host redraws</w:t>
            </w:r>
          </w:p>
        </w:tc>
        <w:tc>
          <w:tcPr>
            <w:tcW w:type="dxa" w:w="5749"/>
            <w:vAlign w:val="center"/>
            <w:shd w:val="clear" w:color="auto" w:fill="FFFFFF"/>
          </w:tcPr>
          <w:p>
            <w:pPr>
              <w:keepNext/>
              <w:spacing w:before="40" w:after="40" w:line="240" w:lineRule="auto"/>
              <w:jc w:val="left"/>
            </w:pPr>
            <w:r>
              <w:rPr>
                <w:rFonts w:ascii="Arial" w:hAnsi="Arial" w:eastAsia="Arial" w:cs="Arial"/>
                <w:sz w:val="21"/>
              </w:rPr>
              <w:t>City 3-bed 94%, City 2-bed 90%, Yarra Ranges 64% of redraws</w:t>
            </w:r>
          </w:p>
        </w:tc>
      </w:tr>
      <w:tr>
        <w:trPr>
          <w:cantSplit/>
        </w:trPr>
        <w:tc>
          <w:tcPr>
            <w:tcW w:type="dxa" w:w="4116"/>
            <w:vAlign w:val="center"/>
            <w:shd w:val="clear" w:color="auto" w:fill="FFFFFF"/>
          </w:tcPr>
          <w:p>
            <w:pPr>
              <w:keepNext/>
              <w:spacing w:before="40" w:after="40" w:line="240" w:lineRule="auto"/>
              <w:jc w:val="left"/>
            </w:pPr>
            <w:r>
              <w:rPr>
                <w:rFonts w:ascii="Arial" w:hAnsi="Arial" w:eastAsia="Arial" w:cs="Arial"/>
                <w:sz w:val="21"/>
              </w:rPr>
              <w:t>Without the price rule, or without the one-year review rule</w:t>
            </w:r>
          </w:p>
        </w:tc>
        <w:tc>
          <w:tcPr>
            <w:tcW w:type="dxa" w:w="5749"/>
            <w:vAlign w:val="center"/>
            <w:shd w:val="clear" w:color="auto" w:fill="FFFFFF"/>
          </w:tcPr>
          <w:p>
            <w:pPr>
              <w:keepNext/>
              <w:spacing w:before="40" w:after="40" w:line="240" w:lineRule="auto"/>
              <w:jc w:val="left"/>
            </w:pPr>
            <w:r>
              <w:rPr>
                <w:rFonts w:ascii="Arial" w:hAnsi="Arial" w:eastAsia="Arial" w:cs="Arial"/>
                <w:sz w:val="21"/>
              </w:rPr>
              <w:t>Same three groups; Yarra Ranges houses rank second</w:t>
            </w:r>
          </w:p>
        </w:tc>
      </w:tr>
      <w:tr>
        <w:trPr>
          <w:cantSplit/>
        </w:trPr>
        <w:tc>
          <w:tcPr>
            <w:tcW w:type="dxa" w:w="4116"/>
            <w:vAlign w:val="center"/>
            <w:shd w:val="clear" w:color="auto" w:fill="FFFFFF"/>
          </w:tcPr>
          <w:p>
            <w:pPr>
              <w:keepNext/>
              <w:spacing w:before="40" w:after="40" w:line="240" w:lineRule="auto"/>
              <w:jc w:val="left"/>
            </w:pPr>
            <w:r>
              <w:rPr>
                <w:rFonts w:ascii="Arial" w:hAnsi="Arial" w:eastAsia="Arial" w:cs="Arial"/>
                <w:sz w:val="21"/>
              </w:rPr>
              <w:t>Minimum group size of 30 or 75 homes</w:t>
            </w:r>
          </w:p>
        </w:tc>
        <w:tc>
          <w:tcPr>
            <w:tcW w:type="dxa" w:w="5749"/>
            <w:vAlign w:val="center"/>
            <w:shd w:val="clear" w:color="auto" w:fill="FFFFFF"/>
          </w:tcPr>
          <w:p>
            <w:pPr>
              <w:keepNext/>
              <w:spacing w:before="40" w:after="40" w:line="240" w:lineRule="auto"/>
              <w:jc w:val="left"/>
            </w:pPr>
            <w:r>
              <w:rPr>
                <w:rFonts w:ascii="Arial" w:hAnsi="Arial" w:eastAsia="Arial" w:cs="Arial"/>
                <w:sz w:val="21"/>
              </w:rPr>
              <w:t>Same three groups, same order</w:t>
            </w:r>
          </w:p>
        </w:tc>
      </w:tr>
      <w:tr>
        <w:trPr>
          <w:cantSplit/>
        </w:trPr>
        <w:tc>
          <w:tcPr>
            <w:tcW w:type="dxa" w:w="4116"/>
            <w:vAlign w:val="center"/>
            <w:shd w:val="clear" w:color="auto" w:fill="FFFFFF"/>
          </w:tcPr>
          <w:p>
            <w:pPr>
              <w:keepNext/>
              <w:spacing w:before="40" w:after="40" w:line="240" w:lineRule="auto"/>
              <w:jc w:val="left"/>
            </w:pPr>
            <w:r>
              <w:rPr>
                <w:rFonts w:ascii="Arial" w:hAnsi="Arial" w:eastAsia="Arial" w:cs="Arial"/>
                <w:sz w:val="21"/>
              </w:rPr>
              <w:t>Two-year check with hosts weighted equally</w:t>
            </w:r>
          </w:p>
        </w:tc>
        <w:tc>
          <w:tcPr>
            <w:tcW w:type="dxa" w:w="5749"/>
            <w:vAlign w:val="center"/>
            <w:shd w:val="clear" w:color="auto" w:fill="FFFFFF"/>
          </w:tcPr>
          <w:p>
            <w:pPr>
              <w:keepNext/>
              <w:spacing w:before="40" w:after="40" w:line="240" w:lineRule="auto"/>
              <w:jc w:val="left"/>
            </w:pPr>
            <w:r>
              <w:rPr>
                <w:rFonts w:ascii="Arial" w:hAnsi="Arial" w:eastAsia="Arial" w:cs="Arial"/>
                <w:sz w:val="21"/>
              </w:rPr>
              <w:t>Later-year lead of 8.7 points</w:t>
            </w:r>
          </w:p>
        </w:tc>
      </w:tr>
      <w:tr>
        <w:trPr>
          <w:cantSplit/>
        </w:trPr>
        <w:tc>
          <w:tcPr>
            <w:tcW w:type="dxa" w:w="4116"/>
            <w:vAlign w:val="center"/>
            <w:shd w:val="clear" w:color="auto" w:fill="FFFFFF"/>
          </w:tcPr>
          <w:p>
            <w:pPr>
              <w:keepNext/>
              <w:spacing w:before="40" w:after="40" w:line="240" w:lineRule="auto"/>
              <w:jc w:val="left"/>
            </w:pPr>
            <w:r>
              <w:rPr>
                <w:rFonts w:ascii="Arial" w:hAnsi="Arial" w:eastAsia="Arial" w:cs="Arial"/>
                <w:sz w:val="21"/>
              </w:rPr>
              <w:t>Model against random picking, 50 tests</w:t>
            </w:r>
          </w:p>
        </w:tc>
        <w:tc>
          <w:tcPr>
            <w:tcW w:type="dxa" w:w="5749"/>
            <w:vAlign w:val="center"/>
            <w:shd w:val="clear" w:color="auto" w:fill="FFFFFF"/>
          </w:tcPr>
          <w:p>
            <w:pPr>
              <w:keepNext/>
              <w:spacing w:before="40" w:after="40" w:line="240" w:lineRule="auto"/>
              <w:jc w:val="left"/>
            </w:pPr>
            <w:r>
              <w:rPr>
                <w:rFonts w:ascii="Arial" w:hAnsi="Arial" w:eastAsia="Arial" w:cs="Arial"/>
                <w:sz w:val="21"/>
              </w:rPr>
              <w:t>Model better in 46 tests</w:t>
            </w:r>
          </w:p>
        </w:tc>
      </w:tr>
      <w:tr>
        <w:trPr>
          <w:cantSplit/>
        </w:trPr>
        <w:tc>
          <w:tcPr>
            <w:tcW w:type="dxa" w:w="4116"/>
            <w:vAlign w:val="center"/>
            <w:shd w:val="clear" w:color="auto" w:fill="FFFFFF"/>
          </w:tcPr>
          <w:p>
            <w:pPr>
              <w:keepNext/>
              <w:spacing w:before="40" w:after="40" w:line="240" w:lineRule="auto"/>
              <w:jc w:val="left"/>
            </w:pPr>
            <w:r>
              <w:rPr>
                <w:rFonts w:ascii="Arial" w:hAnsi="Arial" w:eastAsia="Arial" w:cs="Arial"/>
                <w:sz w:val="21"/>
              </w:rPr>
              <w:t>Model picks 10%, 25% or 50% of each priority group</w:t>
            </w:r>
          </w:p>
        </w:tc>
        <w:tc>
          <w:tcPr>
            <w:tcW w:type="dxa" w:w="5749"/>
            <w:vAlign w:val="center"/>
            <w:shd w:val="clear" w:color="auto" w:fill="FFFFFF"/>
          </w:tcPr>
          <w:p>
            <w:pPr>
              <w:keepNext/>
              <w:spacing w:before="40" w:after="40" w:line="240" w:lineRule="auto"/>
              <w:jc w:val="left"/>
            </w:pPr>
            <w:r>
              <w:rPr>
                <w:rFonts w:ascii="Arial" w:hAnsi="Arial" w:eastAsia="Arial" w:cs="Arial"/>
                <w:sz w:val="21"/>
              </w:rPr>
              <w:t>54.5%, 49.6% and 43.1% of picks busy; they include 17.1%, 38.3% and 66.7% of busy homes</w:t>
            </w:r>
          </w:p>
        </w:tc>
      </w:tr>
      <w:tr>
        <w:trPr>
          <w:cantSplit/>
        </w:trPr>
        <w:tc>
          <w:tcPr>
            <w:tcW w:type="dxa" w:w="4116"/>
            <w:vAlign w:val="center"/>
            <w:shd w:val="clear" w:color="auto" w:fill="FFFFFF"/>
          </w:tcPr>
          <w:p>
            <w:pPr>
              <w:spacing w:before="40" w:after="40" w:line="240" w:lineRule="auto"/>
              <w:jc w:val="left"/>
            </w:pPr>
            <w:r>
              <w:rPr>
                <w:rFonts w:ascii="Arial" w:hAnsi="Arial" w:eastAsia="Arial" w:cs="Arial"/>
                <w:sz w:val="21"/>
              </w:rPr>
              <w:t>Reduced model against random picking, by group</w:t>
            </w:r>
          </w:p>
        </w:tc>
        <w:tc>
          <w:tcPr>
            <w:tcW w:type="dxa" w:w="5749"/>
            <w:vAlign w:val="center"/>
            <w:shd w:val="clear" w:color="auto" w:fill="FFFFFF"/>
          </w:tcPr>
          <w:p>
            <w:pPr>
              <w:spacing w:before="40" w:after="40" w:line="240" w:lineRule="auto"/>
              <w:jc w:val="left"/>
            </w:pPr>
            <w:r>
              <w:rPr>
                <w:rFonts w:ascii="Arial" w:hAnsi="Arial" w:eastAsia="Arial" w:cs="Arial"/>
                <w:sz w:val="21"/>
              </w:rPr>
              <w:t>City 2-bed 38.9% vs 31.7%; City 3-bed 33.9% vs 35.9%; Yarra Ranges 49.7% vs 30.4%</w:t>
            </w:r>
          </w:p>
        </w:tc>
      </w:tr>
    </w:tbl>
    <w:p>
      <w:pPr>
        <w:widowControl/>
        <w:spacing w:after="80" w:line="240" w:lineRule="auto"/>
        <w:jc w:val="left"/>
      </w:pPr>
    </w:p>
    <w:sectPr w:rsidR="00FC693F" w:rsidRPr="0006063C" w:rsidSect="00034616">
      <w:footerReference w:type="default" r:id="rId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line="259" w:lineRule="auto"/>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120" w:line="259" w:lineRule="auto"/>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heme="majorHAnsi" w:eastAsiaTheme="majorEastAsia" w:hAnsiTheme="majorHAnsi" w:cstheme="majorBidi" w:ascii="Arial" w:hAnsi="Arial"/>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9" w:lineRule="auto" w:after="180"/>
    </w:pPr>
    <w:rPr>
      <w:rFonts w:ascii="Arial" w:hAnsi="Arial"/>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maksym-xu/CMCE30005-TheNextChapter/tree/final-report-reader-friendly-2026-10-04"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footer" Target="footer1.xml"/><Relationship Id="rId17" Type="http://schemas.openxmlformats.org/officeDocument/2006/relationships/hyperlink" Target="https://insideairbnb.com/get-the-data/" TargetMode="External"/><Relationship Id="rId18" Type="http://schemas.openxmlformats.org/officeDocument/2006/relationships/hyperlink" Target="https://github.com/maksym-xu/CMCE30005-TheNextChapter/tree/4e2dd2373f72d3a418d8cd7a2908bee39add083d" TargetMode="External"/><Relationship Id="rId19" Type="http://schemas.openxmlformats.org/officeDocument/2006/relationships/hyperlink" Target="https://insideairbnb.com/get-the-data/" TargetMode="External"/><Relationship Id="rId20" Type="http://schemas.openxmlformats.org/officeDocument/2006/relationships/hyperlink" Target="https://stat.ethz.ch/R-manual/R-devel/library/stats/html/glm.html" TargetMode="External"/><Relationship Id="rId13" Type="http://schemas.openxmlformats.org/officeDocument/2006/relationships/hyperlink" Target="https://github.com/maksym-xu/CMCE30005-TheNextChapter/tree/main" TargetMode="External"/><Relationship Id="rId14"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hyperlink" Target="https://www.consumer.vic.gov.au/housing/owners-corporations/rules/making-rules-to-ban-short-stay-accommodation" TargetMode="External"/><Relationship Id="rId27" Type="http://schemas.openxmlformats.org/officeDocument/2006/relationships/hyperlink" Target="https://doi.org/10.1609/icwsm.v8i1.14550" TargetMode="External"/><Relationship Id="rId28" Type="http://schemas.openxmlformats.org/officeDocument/2006/relationships/hyperlink" Target="https://insideairbnb.com/data-assumptions/" TargetMode="External"/><Relationship Id="rId29" Type="http://schemas.openxmlformats.org/officeDocument/2006/relationships/hyperlink" Target="https://www.R-project.org/" TargetMode="External"/><Relationship Id="rId30" Type="http://schemas.openxmlformats.org/officeDocument/2006/relationships/hyperlink" Target="https://www.sro.vic.gov.au/owning-property/short-stay-levy/understanding-short-stay-lev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Melbourne Airbnb Market Screening</dc:title>
  <dc:subject>CMCE30005 Final Project Report</dc:subject>
  <dc:creator>Eric Huang and Maksym Xu</dc:creator>
  <cp:keywords/>
  <dc:description>generated by python-docx</dc:description>
  <cp:lastModifiedBy>Group 2</cp:lastModifiedBy>
  <cp:revision>1</cp:revision>
  <dcterms:created xsi:type="dcterms:W3CDTF">2013-12-23T23:15:00Z</dcterms:created>
  <dcterms:modified xsi:type="dcterms:W3CDTF">2013-12-23T23:15:00Z</dcterms:modified>
  <cp:category/>
</cp:coreProperties>
</file>