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w:t>
        </w:r>
      </w:hyperlink>
      <w:r>
        <w:rPr>
          <w:rFonts w:ascii="Arial" w:hAnsi="Arial" w:eastAsia="Arial" w:cs="Arial"/>
        </w:rPr>
        <w:t xml:space="preserve"> (branch final-report-marking-fixes-2026-10-16)</w:t>
      </w:r>
    </w:p>
    <w:p>
      <w:pPr>
        <w:pStyle w:val="Heading1"/>
        <w:keepNext/>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 This report shows where to search and which homes to inspect first.</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each lasting at least three nights, and caps estimated nights at 70% of the year (255); on that rule,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review-based nights by the advertised price, and without rents a higher price does not mean a better lease; we report revenue alongside. Rents, costs and profit are outside our data.</w:t>
      </w:r>
    </w:p>
    <w:p>
      <w:pPr>
        <w:widowControl/>
        <w:spacing w:after="120" w:line="259" w:lineRule="auto"/>
        <w:jc w:val="left"/>
      </w:pPr>
      <w:r>
        <w:rPr>
          <w:rFonts w:ascii="Arial" w:hAnsi="Arial" w:eastAsia="Arial" w:cs="Arial"/>
        </w:rPr>
        <w:t>Building on the interim report, we keep its group comparison, replace its hard-to-explain random forest with one logistic regression, and add a test within the leading groups.</w:t>
      </w:r>
    </w:p>
    <w:p>
      <w:pPr>
        <w:pStyle w:val="Heading1"/>
        <w:keepNext/>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between 17 June and 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entire rental units and condos (</w:t>
      </w:r>
      <w:r>
        <w:rPr>
          <w:rFonts w:ascii="Arial" w:hAnsi="Arial" w:eastAsia="Arial" w:cs="Arial"/>
          <w:i/>
        </w:rPr>
        <w:t>apartments</w:t>
      </w:r>
      <w:r>
        <w:rPr>
          <w:rFonts w:ascii="Arial" w:hAnsi="Arial" w:eastAsia="Arial" w:cs="Arial"/>
        </w:rPr>
        <w:t>) and entire homes and townhouses (</w:t>
      </w:r>
      <w:r>
        <w:rPr>
          <w:rFonts w:ascii="Arial" w:hAnsi="Arial" w:eastAsia="Arial" w:cs="Arial"/>
          <w:i/>
        </w:rPr>
        <w:t>houses/townhouses</w:t>
      </w:r>
      <w:r>
        <w:rPr>
          <w:rFonts w:ascii="Arial" w:hAnsi="Arial" w:eastAsia="Arial" w:cs="Arial"/>
        </w:rPr>
        <w:t>) with one to three bedrooms. Each home needs a nightly price of AUD 30–1,500, which removes unpriced listings and extreme prices, and a first review at least a year before collection, so a full year of activity is visible.</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(75th percentile 29.75, rounded up; Table 1).</w:t>
      </w:r>
    </w:p>
    <w:p>
      <w:pPr>
        <w:keepNext/>
        <w:widowControl/>
        <w:spacing w:after="80" w:before="80" w:line="259" w:lineRule="auto"/>
        <w:jc w:val="left"/>
      </w:pPr>
      <w:r>
        <w:rPr>
          <w:rFonts w:ascii="Arial" w:hAnsi="Arial" w:eastAsia="Arial" w:cs="Arial"/>
          <w:b/>
        </w:rPr>
        <w:t>Table 1. From the supplied listings to the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43"/>
        <w:gridCol w:w="1722"/>
      </w:tblGrid>
      <w:tr>
        <w:trPr>
          <w:cantSplit/>
          <w:tblHeader/>
        </w:trPr>
        <w:tc>
          <w:tcPr>
            <w:tcW w:type="dxa" w:w="8143"/>
            <w:shd w:val="clear" w:color="auto" w:fill="E9EEF3"/>
          </w:tcPr>
          <w:p>
            <w:pPr>
              <w:keepNext/>
              <w:spacing w:before="40" w:after="40" w:line="240" w:lineRule="auto"/>
              <w:jc w:val="left"/>
            </w:pPr>
            <w:r>
              <w:rPr>
                <w:rFonts w:ascii="Arial" w:hAnsi="Arial" w:eastAsia="Arial" w:cs="Arial"/>
                <w:b/>
                <w:sz w:val="21"/>
              </w:rPr>
              <w:t>Step</w:t>
            </w:r>
          </w:p>
        </w:tc>
        <w:tc>
          <w:tcPr>
            <w:tcW w:type="dxa" w:w="1722"/>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All listings in the snapshot</w:t>
            </w:r>
          </w:p>
        </w:tc>
        <w:tc>
          <w:tcPr>
            <w:tcW w:type="dxa" w:w="1722"/>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22"/>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22"/>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Priced AUD 30–1,500</w:t>
            </w:r>
          </w:p>
        </w:tc>
        <w:tc>
          <w:tcPr>
            <w:tcW w:type="dxa" w:w="1722"/>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22"/>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43"/>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22"/>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43"/>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22"/>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43"/>
            <w:shd w:val="clear" w:color="auto" w:fill="FFFFFF"/>
          </w:tcPr>
          <w:p>
            <w:pPr>
              <w:spacing w:before="40" w:after="40" w:line="240" w:lineRule="auto"/>
              <w:jc w:val="left"/>
            </w:pPr>
            <w:r>
              <w:rPr>
                <w:rFonts w:ascii="Arial" w:hAnsi="Arial" w:eastAsia="Arial" w:cs="Arial"/>
                <w:sz w:val="21"/>
              </w:rPr>
              <w:t>Reference homes in the same 14 groups (target only)</w:t>
            </w:r>
          </w:p>
        </w:tc>
        <w:tc>
          <w:tcPr>
            <w:tcW w:type="dxa" w:w="1722"/>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64% are in the City of Melbourne. The price rule mainly removes inactive listings: 77.8% of the 3,796 residential listings it removes had no review in the past year, against 17.0% of those kept.</w:t>
      </w:r>
    </w:p>
    <w:p>
      <w:pPr>
        <w:pStyle w:val="Heading1"/>
        <w:keepNext/>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 keeping each host's homes together.</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adds to or subtracts from a score, which is turned into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376"/>
        <w:gridCol w:w="6489"/>
      </w:tblGrid>
      <w:tr>
        <w:trPr>
          <w:cantSplit/>
          <w:tblHeader/>
        </w:trPr>
        <w:tc>
          <w:tcPr>
            <w:tcW w:type="dxa" w:w="3376"/>
            <w:shd w:val="clear" w:color="auto" w:fill="E9EEF3"/>
          </w:tcPr>
          <w:p>
            <w:pPr>
              <w:keepNext/>
              <w:spacing w:before="40" w:after="40" w:line="240" w:lineRule="auto"/>
              <w:jc w:val="left"/>
            </w:pPr>
            <w:r>
              <w:rPr>
                <w:rFonts w:ascii="Arial" w:hAnsi="Arial" w:eastAsia="Arial" w:cs="Arial"/>
                <w:b/>
                <w:sz w:val="21"/>
              </w:rPr>
              <w:t>Variable</w:t>
            </w:r>
          </w:p>
        </w:tc>
        <w:tc>
          <w:tcPr>
            <w:tcW w:type="dxa" w:w="6489"/>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376"/>
            <w:shd w:val="clear" w:color="auto" w:fill="FFFFFF"/>
          </w:tcPr>
          <w:p>
            <w:pPr>
              <w:keepNext/>
              <w:spacing w:before="40" w:after="40" w:line="240" w:lineRule="auto"/>
              <w:jc w:val="left"/>
            </w:pPr>
            <w:r>
              <w:rPr>
                <w:rFonts w:ascii="Arial" w:hAnsi="Arial" w:eastAsia="Arial" w:cs="Arial"/>
                <w:b/>
                <w:sz w:val="21"/>
              </w:rPr>
              <w:t>Outcome</w:t>
            </w:r>
          </w:p>
        </w:tc>
        <w:tc>
          <w:tcPr>
            <w:tcW w:type="dxa" w:w="6489"/>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376"/>
            <w:shd w:val="clear" w:color="auto" w:fill="FFFFFF"/>
          </w:tcPr>
          <w:p>
            <w:pPr>
              <w:keepNext/>
              <w:spacing w:before="40" w:after="40" w:line="240" w:lineRule="auto"/>
              <w:jc w:val="left"/>
            </w:pPr>
            <w:r>
              <w:rPr>
                <w:rFonts w:ascii="Arial" w:hAnsi="Arial" w:eastAsia="Arial" w:cs="Arial"/>
                <w:sz w:val="21"/>
              </w:rPr>
              <w:t>Council area</w:t>
            </w:r>
          </w:p>
        </w:tc>
        <w:tc>
          <w:tcPr>
            <w:tcW w:type="dxa" w:w="6489"/>
            <w:shd w:val="clear" w:color="auto" w:fill="FFFFFF"/>
          </w:tcPr>
          <w:p>
            <w:pPr>
              <w:keepNext/>
              <w:spacing w:before="40" w:after="40" w:line="240" w:lineRule="auto"/>
              <w:jc w:val="left"/>
            </w:pPr>
            <w:r>
              <w:rPr>
                <w:rFonts w:ascii="Arial" w:hAnsi="Arial" w:eastAsia="Arial" w:cs="Arial"/>
                <w:sz w:val="21"/>
              </w:rPr>
              <w:t>One of six council areas</w:t>
            </w:r>
          </w:p>
        </w:tc>
      </w:tr>
      <w:tr>
        <w:trPr>
          <w:cantSplit/>
        </w:trPr>
        <w:tc>
          <w:tcPr>
            <w:tcW w:type="dxa" w:w="3376"/>
            <w:shd w:val="clear" w:color="auto" w:fill="FFFFFF"/>
          </w:tcPr>
          <w:p>
            <w:pPr>
              <w:keepNext/>
              <w:spacing w:before="40" w:after="40" w:line="240" w:lineRule="auto"/>
              <w:jc w:val="left"/>
            </w:pPr>
            <w:r>
              <w:rPr>
                <w:rFonts w:ascii="Arial" w:hAnsi="Arial" w:eastAsia="Arial" w:cs="Arial"/>
                <w:sz w:val="21"/>
              </w:rPr>
              <w:t>Dwelling type</w:t>
            </w:r>
          </w:p>
        </w:tc>
        <w:tc>
          <w:tcPr>
            <w:tcW w:type="dxa" w:w="6489"/>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376"/>
            <w:shd w:val="clear" w:color="auto" w:fill="FFFFFF"/>
          </w:tcPr>
          <w:p>
            <w:pPr>
              <w:keepNext/>
              <w:spacing w:before="40" w:after="40" w:line="240" w:lineRule="auto"/>
              <w:jc w:val="left"/>
            </w:pPr>
            <w:r>
              <w:rPr>
                <w:rFonts w:ascii="Arial" w:hAnsi="Arial" w:eastAsia="Arial" w:cs="Arial"/>
                <w:sz w:val="21"/>
              </w:rPr>
              <w:t>Bedrooms</w:t>
            </w:r>
          </w:p>
        </w:tc>
        <w:tc>
          <w:tcPr>
            <w:tcW w:type="dxa" w:w="6489"/>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376"/>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489"/>
            <w:shd w:val="clear" w:color="auto" w:fill="FFFFFF"/>
          </w:tcPr>
          <w:p>
            <w:pPr>
              <w:keepNext/>
              <w:spacing w:before="40" w:after="40" w:line="240" w:lineRule="auto"/>
              <w:jc w:val="left"/>
            </w:pPr>
            <w:r>
              <w:rPr>
                <w:rFonts w:ascii="Arial" w:hAnsi="Arial" w:eastAsia="Arial" w:cs="Arial"/>
                <w:sz w:val="21"/>
              </w:rPr>
              <w:t>Nightly price relative to the median of the same group, in steps of 10%</w:t>
            </w:r>
          </w:p>
        </w:tc>
      </w:tr>
      <w:tr>
        <w:trPr>
          <w:cantSplit/>
        </w:trPr>
        <w:tc>
          <w:tcPr>
            <w:tcW w:type="dxa" w:w="3376"/>
            <w:shd w:val="clear" w:color="auto" w:fill="FFFFFF"/>
          </w:tcPr>
          <w:p>
            <w:pPr>
              <w:keepNext/>
              <w:spacing w:before="40" w:after="40" w:line="240" w:lineRule="auto"/>
              <w:jc w:val="left"/>
            </w:pPr>
            <w:r>
              <w:rPr>
                <w:rFonts w:ascii="Arial" w:hAnsi="Arial" w:eastAsia="Arial" w:cs="Arial"/>
                <w:sz w:val="21"/>
              </w:rPr>
              <w:t>Accepts one-night stays</w:t>
            </w:r>
          </w:p>
        </w:tc>
        <w:tc>
          <w:tcPr>
            <w:tcW w:type="dxa" w:w="6489"/>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376"/>
            <w:shd w:val="clear" w:color="auto" w:fill="FFFFFF"/>
          </w:tcPr>
          <w:p>
            <w:pPr>
              <w:spacing w:before="40" w:after="40" w:line="240" w:lineRule="auto"/>
              <w:jc w:val="left"/>
            </w:pPr>
            <w:r>
              <w:rPr>
                <w:rFonts w:ascii="Arial" w:hAnsi="Arial" w:eastAsia="Arial" w:cs="Arial"/>
                <w:sz w:val="21"/>
              </w:rPr>
              <w:t>Amenity count</w:t>
            </w:r>
          </w:p>
        </w:tc>
        <w:tc>
          <w:tcPr>
            <w:tcW w:type="dxa" w:w="6489"/>
            <w:shd w:val="clear" w:color="auto" w:fill="FFFFFF"/>
          </w:tcPr>
          <w:p>
            <w:pPr>
              <w:spacing w:before="40" w:after="40" w:line="240" w:lineRule="auto"/>
              <w:jc w:val="left"/>
            </w:pPr>
            <w:r>
              <w:rPr>
                <w:rFonts w:ascii="Arial" w:hAnsi="Arial" w:eastAsia="Arial" w:cs="Arial"/>
                <w:sz w:val="21"/>
              </w:rPr>
              <w:t>Number of 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which an unlisted home does not yet have.</w:t>
      </w:r>
    </w:p>
    <w:p>
      <w:pPr>
        <w:widowControl/>
        <w:spacing w:after="120" w:line="259" w:lineRule="auto"/>
        <w:jc w:val="left"/>
      </w:pPr>
      <w:r>
        <w:rPr>
          <w:rFonts w:ascii="Arial" w:hAnsi="Arial" w:eastAsia="Arial" w:cs="Arial"/>
          <w:b/>
        </w:rPr>
        <w:t>Assumptions.</w:t>
      </w:r>
      <w:r>
        <w:rPr>
          <w:rFonts w:ascii="Arial" w:hAnsi="Arial" w:eastAsia="Arial" w:cs="Arial"/>
        </w:rPr>
        <w:t xml:space="preserve"> A host's homes tend to perform alike; allowing for this widens each effect's margin of error 1.1–2.6 times, so every test keeps a host's homes together. The inputs barely overlap: a standard check (variance inflation factor) stays below 3, under the usual warning level of 5. Each input is assumed to have a steady effect; amenities flatten slightly at high counts, but not reliably once hosts are grouped.</w:t>
      </w:r>
    </w:p>
    <w:p>
      <w:pPr>
        <w:widowControl/>
        <w:spacing w:after="120" w:line="259" w:lineRule="auto"/>
        <w:jc w:val="left"/>
      </w:pPr>
      <w:r>
        <w:rPr>
          <w:rFonts w:ascii="Arial" w:hAnsi="Arial" w:eastAsia="Arial" w:cs="Arial"/>
          <w:b/>
        </w:rPr>
        <w:t>Testing.</w:t>
      </w:r>
      <w:r>
        <w:rPr>
          <w:rFonts w:ascii="Arial" w:hAnsi="Arial" w:eastAsia="Arial" w:cs="Arial"/>
        </w:rPr>
        <w:t xml:space="preserve"> We ran 50 tests. Each builds the model from 70% of hosts and scores the homes of the other 30%, which it has never seen.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71"/>
        <w:gridCol w:w="1698"/>
        <w:gridCol w:w="1448"/>
        <w:gridCol w:w="1448"/>
      </w:tblGrid>
      <w:tr>
        <w:trPr>
          <w:cantSplit/>
          <w:tblHeader/>
        </w:trPr>
        <w:tc>
          <w:tcPr>
            <w:tcW w:type="dxa" w:w="5271"/>
            <w:shd w:val="clear" w:color="auto" w:fill="E9EEF3"/>
          </w:tcPr>
          <w:p>
            <w:pPr>
              <w:keepNext/>
              <w:spacing w:before="40" w:after="40" w:line="240" w:lineRule="auto"/>
              <w:jc w:val="left"/>
            </w:pPr>
            <w:r>
              <w:rPr>
                <w:rFonts w:ascii="Arial" w:hAnsi="Arial" w:eastAsia="Arial" w:cs="Arial"/>
                <w:b/>
                <w:sz w:val="21"/>
              </w:rPr>
              <w:t>Characteristic</w:t>
            </w:r>
          </w:p>
        </w:tc>
        <w:tc>
          <w:tcPr>
            <w:tcW w:type="dxa" w:w="1698"/>
            <w:shd w:val="clear" w:color="auto" w:fill="E9EEF3"/>
          </w:tcPr>
          <w:p>
            <w:pPr>
              <w:keepNext/>
              <w:spacing w:before="40" w:after="40" w:line="240" w:lineRule="auto"/>
              <w:jc w:val="left"/>
            </w:pPr>
            <w:r>
              <w:rPr>
                <w:rFonts w:ascii="Arial" w:hAnsi="Arial" w:eastAsia="Arial" w:cs="Arial"/>
                <w:b/>
                <w:sz w:val="21"/>
              </w:rPr>
              <w:t>Busy (30+ reviews)</w:t>
            </w:r>
          </w:p>
        </w:tc>
        <w:tc>
          <w:tcPr>
            <w:tcW w:type="dxa" w:w="1448"/>
            <w:shd w:val="clear" w:color="auto" w:fill="E9EEF3"/>
          </w:tcPr>
          <w:p>
            <w:pPr>
              <w:keepNext/>
              <w:spacing w:before="40" w:after="40" w:line="240" w:lineRule="auto"/>
              <w:jc w:val="left"/>
            </w:pPr>
            <w:r>
              <w:rPr>
                <w:rFonts w:ascii="Arial" w:hAnsi="Arial" w:eastAsia="Arial" w:cs="Arial"/>
                <w:b/>
                <w:sz w:val="21"/>
              </w:rPr>
              <w:t>Below 30</w:t>
            </w:r>
          </w:p>
        </w:tc>
        <w:tc>
          <w:tcPr>
            <w:tcW w:type="dxa" w:w="1448"/>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Homes</w:t>
            </w:r>
          </w:p>
        </w:tc>
        <w:tc>
          <w:tcPr>
            <w:tcW w:type="dxa" w:w="1698"/>
            <w:shd w:val="clear" w:color="auto" w:fill="FFFFFF"/>
          </w:tcPr>
          <w:p>
            <w:pPr>
              <w:keepNext/>
              <w:spacing w:before="40" w:after="40" w:line="240" w:lineRule="auto"/>
              <w:jc w:val="right"/>
            </w:pPr>
            <w:r>
              <w:rPr>
                <w:rFonts w:ascii="Arial" w:hAnsi="Arial" w:eastAsia="Arial" w:cs="Arial"/>
                <w:sz w:val="21"/>
              </w:rPr>
              <w:t>981</w:t>
            </w:r>
          </w:p>
        </w:tc>
        <w:tc>
          <w:tcPr>
            <w:tcW w:type="dxa" w:w="1448"/>
            <w:shd w:val="clear" w:color="auto" w:fill="FFFFFF"/>
          </w:tcPr>
          <w:p>
            <w:pPr>
              <w:keepNext/>
              <w:spacing w:before="40" w:after="40" w:line="240" w:lineRule="auto"/>
              <w:jc w:val="right"/>
            </w:pPr>
            <w:r>
              <w:rPr>
                <w:rFonts w:ascii="Arial" w:hAnsi="Arial" w:eastAsia="Arial" w:cs="Arial"/>
                <w:sz w:val="21"/>
              </w:rPr>
              <w:t>2,892</w:t>
            </w:r>
          </w:p>
        </w:tc>
        <w:tc>
          <w:tcPr>
            <w:tcW w:type="dxa" w:w="1448"/>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Median nightly price (AUD)</w:t>
            </w:r>
          </w:p>
        </w:tc>
        <w:tc>
          <w:tcPr>
            <w:tcW w:type="dxa" w:w="1698"/>
            <w:shd w:val="clear" w:color="auto" w:fill="FFFFFF"/>
          </w:tcPr>
          <w:p>
            <w:pPr>
              <w:keepNext/>
              <w:spacing w:before="40" w:after="40" w:line="240" w:lineRule="auto"/>
              <w:jc w:val="right"/>
            </w:pPr>
            <w:r>
              <w:rPr>
                <w:rFonts w:ascii="Arial" w:hAnsi="Arial" w:eastAsia="Arial" w:cs="Arial"/>
                <w:sz w:val="21"/>
              </w:rPr>
              <w:t>254</w:t>
            </w:r>
          </w:p>
        </w:tc>
        <w:tc>
          <w:tcPr>
            <w:tcW w:type="dxa" w:w="1448"/>
            <w:shd w:val="clear" w:color="auto" w:fill="FFFFFF"/>
          </w:tcPr>
          <w:p>
            <w:pPr>
              <w:keepNext/>
              <w:spacing w:before="40" w:after="40" w:line="240" w:lineRule="auto"/>
              <w:jc w:val="right"/>
            </w:pPr>
            <w:r>
              <w:rPr>
                <w:rFonts w:ascii="Arial" w:hAnsi="Arial" w:eastAsia="Arial" w:cs="Arial"/>
                <w:sz w:val="21"/>
              </w:rPr>
              <w:t>266</w:t>
            </w:r>
          </w:p>
        </w:tc>
        <w:tc>
          <w:tcPr>
            <w:tcW w:type="dxa" w:w="1448"/>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Median amenity count</w:t>
            </w:r>
          </w:p>
        </w:tc>
        <w:tc>
          <w:tcPr>
            <w:tcW w:type="dxa" w:w="1698"/>
            <w:shd w:val="clear" w:color="auto" w:fill="FFFFFF"/>
          </w:tcPr>
          <w:p>
            <w:pPr>
              <w:keepNext/>
              <w:spacing w:before="40" w:after="40" w:line="240" w:lineRule="auto"/>
              <w:jc w:val="right"/>
            </w:pPr>
            <w:r>
              <w:rPr>
                <w:rFonts w:ascii="Arial" w:hAnsi="Arial" w:eastAsia="Arial" w:cs="Arial"/>
                <w:sz w:val="21"/>
              </w:rPr>
              <w:t>44</w:t>
            </w:r>
          </w:p>
        </w:tc>
        <w:tc>
          <w:tcPr>
            <w:tcW w:type="dxa" w:w="1448"/>
            <w:shd w:val="clear" w:color="auto" w:fill="FFFFFF"/>
          </w:tcPr>
          <w:p>
            <w:pPr>
              <w:keepNext/>
              <w:spacing w:before="40" w:after="40" w:line="240" w:lineRule="auto"/>
              <w:jc w:val="right"/>
            </w:pPr>
            <w:r>
              <w:rPr>
                <w:rFonts w:ascii="Arial" w:hAnsi="Arial" w:eastAsia="Arial" w:cs="Arial"/>
                <w:sz w:val="21"/>
              </w:rPr>
              <w:t>43</w:t>
            </w:r>
          </w:p>
        </w:tc>
        <w:tc>
          <w:tcPr>
            <w:tcW w:type="dxa" w:w="1448"/>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Accept one-night stays</w:t>
            </w:r>
          </w:p>
        </w:tc>
        <w:tc>
          <w:tcPr>
            <w:tcW w:type="dxa" w:w="1698"/>
            <w:shd w:val="clear" w:color="auto" w:fill="FFFFFF"/>
          </w:tcPr>
          <w:p>
            <w:pPr>
              <w:keepNext/>
              <w:spacing w:before="40" w:after="40" w:line="240" w:lineRule="auto"/>
              <w:jc w:val="right"/>
            </w:pPr>
            <w:r>
              <w:rPr>
                <w:rFonts w:ascii="Arial" w:hAnsi="Arial" w:eastAsia="Arial" w:cs="Arial"/>
                <w:sz w:val="21"/>
              </w:rPr>
              <w:t>67.7%</w:t>
            </w:r>
          </w:p>
        </w:tc>
        <w:tc>
          <w:tcPr>
            <w:tcW w:type="dxa" w:w="1448"/>
            <w:shd w:val="clear" w:color="auto" w:fill="FFFFFF"/>
          </w:tcPr>
          <w:p>
            <w:pPr>
              <w:keepNext/>
              <w:spacing w:before="40" w:after="40" w:line="240" w:lineRule="auto"/>
              <w:jc w:val="right"/>
            </w:pPr>
            <w:r>
              <w:rPr>
                <w:rFonts w:ascii="Arial" w:hAnsi="Arial" w:eastAsia="Arial" w:cs="Arial"/>
                <w:sz w:val="21"/>
              </w:rPr>
              <w:t>37.5%</w:t>
            </w:r>
          </w:p>
        </w:tc>
        <w:tc>
          <w:tcPr>
            <w:tcW w:type="dxa" w:w="1448"/>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698"/>
            <w:shd w:val="clear" w:color="auto" w:fill="FFFFFF"/>
          </w:tcPr>
          <w:p>
            <w:pPr>
              <w:keepNext/>
              <w:spacing w:before="40" w:after="40" w:line="240" w:lineRule="auto"/>
              <w:jc w:val="right"/>
            </w:pPr>
            <w:r>
              <w:rPr>
                <w:rFonts w:ascii="Arial" w:hAnsi="Arial" w:eastAsia="Arial" w:cs="Arial"/>
                <w:sz w:val="21"/>
              </w:rPr>
              <w:t>0.0%</w:t>
            </w:r>
          </w:p>
        </w:tc>
        <w:tc>
          <w:tcPr>
            <w:tcW w:type="dxa" w:w="1448"/>
            <w:shd w:val="clear" w:color="auto" w:fill="FFFFFF"/>
          </w:tcPr>
          <w:p>
            <w:pPr>
              <w:keepNext/>
              <w:spacing w:before="40" w:after="40" w:line="240" w:lineRule="auto"/>
              <w:jc w:val="right"/>
            </w:pPr>
            <w:r>
              <w:rPr>
                <w:rFonts w:ascii="Arial" w:hAnsi="Arial" w:eastAsia="Arial" w:cs="Arial"/>
                <w:sz w:val="21"/>
              </w:rPr>
              <w:t>5.7%</w:t>
            </w:r>
          </w:p>
        </w:tc>
        <w:tc>
          <w:tcPr>
            <w:tcW w:type="dxa" w:w="1448"/>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In the City of Melbourne</w:t>
            </w:r>
          </w:p>
        </w:tc>
        <w:tc>
          <w:tcPr>
            <w:tcW w:type="dxa" w:w="1698"/>
            <w:shd w:val="clear" w:color="auto" w:fill="FFFFFF"/>
          </w:tcPr>
          <w:p>
            <w:pPr>
              <w:keepNext/>
              <w:spacing w:before="40" w:after="40" w:line="240" w:lineRule="auto"/>
              <w:jc w:val="right"/>
            </w:pPr>
            <w:r>
              <w:rPr>
                <w:rFonts w:ascii="Arial" w:hAnsi="Arial" w:eastAsia="Arial" w:cs="Arial"/>
                <w:sz w:val="21"/>
              </w:rPr>
              <w:t>76.9%</w:t>
            </w:r>
          </w:p>
        </w:tc>
        <w:tc>
          <w:tcPr>
            <w:tcW w:type="dxa" w:w="1448"/>
            <w:shd w:val="clear" w:color="auto" w:fill="FFFFFF"/>
          </w:tcPr>
          <w:p>
            <w:pPr>
              <w:keepNext/>
              <w:spacing w:before="40" w:after="40" w:line="240" w:lineRule="auto"/>
              <w:jc w:val="right"/>
            </w:pPr>
            <w:r>
              <w:rPr>
                <w:rFonts w:ascii="Arial" w:hAnsi="Arial" w:eastAsia="Arial" w:cs="Arial"/>
                <w:sz w:val="21"/>
              </w:rPr>
              <w:t>59.6%</w:t>
            </w:r>
          </w:p>
        </w:tc>
        <w:tc>
          <w:tcPr>
            <w:tcW w:type="dxa" w:w="1448"/>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71"/>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698"/>
            <w:shd w:val="clear" w:color="auto" w:fill="FFFFFF"/>
          </w:tcPr>
          <w:p>
            <w:pPr>
              <w:keepNext/>
              <w:spacing w:before="40" w:after="40" w:line="240" w:lineRule="auto"/>
              <w:jc w:val="right"/>
            </w:pPr>
            <w:r>
              <w:rPr>
                <w:rFonts w:ascii="Arial" w:hAnsi="Arial" w:eastAsia="Arial" w:cs="Arial"/>
                <w:sz w:val="21"/>
              </w:rPr>
              <w:t>255</w:t>
            </w:r>
          </w:p>
        </w:tc>
        <w:tc>
          <w:tcPr>
            <w:tcW w:type="dxa" w:w="1448"/>
            <w:shd w:val="clear" w:color="auto" w:fill="FFFFFF"/>
          </w:tcPr>
          <w:p>
            <w:pPr>
              <w:keepNext/>
              <w:spacing w:before="40" w:after="40" w:line="240" w:lineRule="auto"/>
              <w:jc w:val="right"/>
            </w:pPr>
            <w:r>
              <w:rPr>
                <w:rFonts w:ascii="Arial" w:hAnsi="Arial" w:eastAsia="Arial" w:cs="Arial"/>
                <w:sz w:val="21"/>
              </w:rPr>
              <w:t>60</w:t>
            </w:r>
          </w:p>
        </w:tc>
        <w:tc>
          <w:tcPr>
            <w:tcW w:type="dxa" w:w="1448"/>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71"/>
            <w:shd w:val="clear" w:color="auto" w:fill="FFFFFF"/>
          </w:tcPr>
          <w:p>
            <w:pPr>
              <w:spacing w:before="40" w:after="40" w:line="240" w:lineRule="auto"/>
              <w:jc w:val="left"/>
            </w:pPr>
            <w:r>
              <w:rPr>
                <w:rFonts w:ascii="Arial" w:hAnsi="Arial" w:eastAsia="Arial" w:cs="Arial"/>
                <w:sz w:val="21"/>
              </w:rPr>
              <w:t>Median estimated revenue (AUD a year)</w:t>
            </w:r>
          </w:p>
        </w:tc>
        <w:tc>
          <w:tcPr>
            <w:tcW w:type="dxa" w:w="1698"/>
            <w:shd w:val="clear" w:color="auto" w:fill="FFFFFF"/>
          </w:tcPr>
          <w:p>
            <w:pPr>
              <w:spacing w:before="40" w:after="40" w:line="240" w:lineRule="auto"/>
              <w:jc w:val="right"/>
            </w:pPr>
            <w:r>
              <w:rPr>
                <w:rFonts w:ascii="Arial" w:hAnsi="Arial" w:eastAsia="Arial" w:cs="Arial"/>
                <w:sz w:val="21"/>
              </w:rPr>
              <w:t>58,400</w:t>
            </w:r>
          </w:p>
        </w:tc>
        <w:tc>
          <w:tcPr>
            <w:tcW w:type="dxa" w:w="1448"/>
            <w:shd w:val="clear" w:color="auto" w:fill="FFFFFF"/>
          </w:tcPr>
          <w:p>
            <w:pPr>
              <w:spacing w:before="40" w:after="40" w:line="240" w:lineRule="auto"/>
              <w:jc w:val="right"/>
            </w:pPr>
            <w:r>
              <w:rPr>
                <w:rFonts w:ascii="Arial" w:hAnsi="Arial" w:eastAsia="Arial" w:cs="Arial"/>
                <w:sz w:val="21"/>
              </w:rPr>
              <w:t>16,600</w:t>
            </w:r>
          </w:p>
        </w:tc>
        <w:tc>
          <w:tcPr>
            <w:tcW w:type="dxa" w:w="1448"/>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and listed about as many amenities (Table 3). They were far more likely to accept one-night stays and to be in the City of Melbourne, and none of the 165 homes requiring seven nights or more was busy. Their estimated revenue was 3.5 times higher, but it is built from reviews, and 255 nights is Inside Airbnb's cap.</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(Figure 2). City of Melbourne three-bedroom apartments lead at 36.6% (112 of 306 homes), followed by City two-bedroom apartments at 32.8% (405 of 1,235) and Yarra Ranges three-bedroom houses and townhouses at 30.0% (27 of 90).</w:t>
      </w:r>
    </w:p>
    <w:p>
      <w:pPr>
        <w:keepNext/>
        <w:widowControl/>
        <w:spacing w:after="40" w:before="80" w:line="240" w:lineRule="auto"/>
        <w:jc w:val="center"/>
      </w:pPr>
      <w:r>
        <w:drawing>
          <wp:inline xmlns:a="http://schemas.openxmlformats.org/drawingml/2006/main" xmlns:pic="http://schemas.openxmlformats.org/drawingml/2006/picture">
            <wp:extent cx="6035040" cy="4212182"/>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4212182"/>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 Source: Inside Airbnb (2026); Group 2 analysis.</w:t>
      </w:r>
    </w:p>
    <w:p>
      <w:pPr>
        <w:keepNext/>
        <w:widowControl/>
        <w:spacing w:after="80" w:before="80" w:line="259" w:lineRule="auto"/>
        <w:jc w:val="left"/>
      </w:pPr>
      <w:r>
        <w:rPr>
          <w:rFonts w:ascii="Arial" w:hAnsi="Arial" w:eastAsia="Arial" w:cs="Arial"/>
          <w:b/>
        </w:rPr>
        <w:t>Table 4. The three priority groups in nights and dollars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370"/>
        <w:gridCol w:w="995"/>
        <w:gridCol w:w="995"/>
        <w:gridCol w:w="1052"/>
        <w:gridCol w:w="1120"/>
        <w:gridCol w:w="1677"/>
        <w:gridCol w:w="1654"/>
      </w:tblGrid>
      <w:tr>
        <w:trPr>
          <w:cantSplit/>
          <w:tblHeader/>
        </w:trPr>
        <w:tc>
          <w:tcPr>
            <w:tcW w:type="dxa" w:w="2370"/>
            <w:shd w:val="clear" w:color="auto" w:fill="E9EEF3"/>
          </w:tcPr>
          <w:p>
            <w:pPr>
              <w:keepNext/>
              <w:spacing w:before="40" w:after="40" w:line="240" w:lineRule="auto"/>
              <w:jc w:val="left"/>
            </w:pPr>
            <w:r>
              <w:rPr>
                <w:rFonts w:ascii="Arial" w:hAnsi="Arial" w:eastAsia="Arial" w:cs="Arial"/>
                <w:b/>
                <w:sz w:val="21"/>
              </w:rPr>
              <w:t>Group</w:t>
            </w:r>
          </w:p>
        </w:tc>
        <w:tc>
          <w:tcPr>
            <w:tcW w:type="dxa" w:w="995"/>
            <w:shd w:val="clear" w:color="auto" w:fill="E9EEF3"/>
          </w:tcPr>
          <w:p>
            <w:pPr>
              <w:keepNext/>
              <w:spacing w:before="40" w:after="40" w:line="240" w:lineRule="auto"/>
              <w:jc w:val="left"/>
            </w:pPr>
            <w:r>
              <w:rPr>
                <w:rFonts w:ascii="Arial" w:hAnsi="Arial" w:eastAsia="Arial" w:cs="Arial"/>
                <w:b/>
                <w:sz w:val="21"/>
              </w:rPr>
              <w:t>Homes</w:t>
            </w:r>
          </w:p>
        </w:tc>
        <w:tc>
          <w:tcPr>
            <w:tcW w:type="dxa" w:w="995"/>
            <w:shd w:val="clear" w:color="auto" w:fill="E9EEF3"/>
          </w:tcPr>
          <w:p>
            <w:pPr>
              <w:keepNext/>
              <w:spacing w:before="40" w:after="40" w:line="240" w:lineRule="auto"/>
              <w:jc w:val="left"/>
            </w:pPr>
            <w:r>
              <w:rPr>
                <w:rFonts w:ascii="Arial" w:hAnsi="Arial" w:eastAsia="Arial" w:cs="Arial"/>
                <w:b/>
                <w:sz w:val="21"/>
              </w:rPr>
              <w:t>Busy</w:t>
            </w:r>
          </w:p>
        </w:tc>
        <w:tc>
          <w:tcPr>
            <w:tcW w:type="dxa" w:w="1052"/>
            <w:shd w:val="clear" w:color="auto" w:fill="E9EEF3"/>
          </w:tcPr>
          <w:p>
            <w:pPr>
              <w:keepNext/>
              <w:spacing w:before="40" w:after="40" w:line="240" w:lineRule="auto"/>
              <w:jc w:val="left"/>
            </w:pPr>
            <w:r>
              <w:rPr>
                <w:rFonts w:ascii="Arial" w:hAnsi="Arial" w:eastAsia="Arial" w:cs="Arial"/>
                <w:b/>
                <w:sz w:val="21"/>
              </w:rPr>
              <w:t>Median price (AUD a night)</w:t>
            </w:r>
          </w:p>
        </w:tc>
        <w:tc>
          <w:tcPr>
            <w:tcW w:type="dxa" w:w="1120"/>
            <w:shd w:val="clear" w:color="auto" w:fill="E9EEF3"/>
          </w:tcPr>
          <w:p>
            <w:pPr>
              <w:keepNext/>
              <w:spacing w:before="40" w:after="40" w:line="240" w:lineRule="auto"/>
              <w:jc w:val="left"/>
            </w:pPr>
            <w:r>
              <w:rPr>
                <w:rFonts w:ascii="Arial" w:hAnsi="Arial" w:eastAsia="Arial" w:cs="Arial"/>
                <w:b/>
                <w:sz w:val="21"/>
              </w:rPr>
              <w:t>Accept one night</w:t>
            </w:r>
          </w:p>
        </w:tc>
        <w:tc>
          <w:tcPr>
            <w:tcW w:type="dxa" w:w="1677"/>
            <w:shd w:val="clear" w:color="auto" w:fill="E9EEF3"/>
          </w:tcPr>
          <w:p>
            <w:pPr>
              <w:keepNext/>
              <w:spacing w:before="40" w:after="40" w:line="240" w:lineRule="auto"/>
              <w:jc w:val="left"/>
            </w:pPr>
            <w:r>
              <w:rPr>
                <w:rFonts w:ascii="Arial" w:hAnsi="Arial" w:eastAsia="Arial" w:cs="Arial"/>
                <w:b/>
                <w:sz w:val="21"/>
              </w:rPr>
              <w:t>Median nights booked (estimated)</w:t>
            </w:r>
          </w:p>
        </w:tc>
        <w:tc>
          <w:tcPr>
            <w:tcW w:type="dxa" w:w="1654"/>
            <w:shd w:val="clear" w:color="auto" w:fill="E9EEF3"/>
          </w:tcPr>
          <w:p>
            <w:pPr>
              <w:keepNext/>
              <w:spacing w:before="40" w:after="40" w:line="240" w:lineRule="auto"/>
              <w:jc w:val="left"/>
            </w:pPr>
            <w:r>
              <w:rPr>
                <w:rFonts w:ascii="Arial" w:hAnsi="Arial" w:eastAsia="Arial" w:cs="Arial"/>
                <w:b/>
                <w:sz w:val="21"/>
              </w:rPr>
              <w:t>Median revenue (AUD a year, estimated)</w:t>
            </w:r>
          </w:p>
        </w:tc>
      </w:tr>
      <w:tr>
        <w:trPr>
          <w:cantSplit/>
        </w:trPr>
        <w:tc>
          <w:tcPr>
            <w:tcW w:type="dxa" w:w="2370"/>
            <w:shd w:val="clear" w:color="auto" w:fill="FFFFFF"/>
          </w:tcPr>
          <w:p>
            <w:pPr>
              <w:keepNext/>
              <w:spacing w:before="40" w:after="40" w:line="240" w:lineRule="auto"/>
              <w:jc w:val="left"/>
            </w:pPr>
            <w:r>
              <w:rPr>
                <w:rFonts w:ascii="Arial" w:hAnsi="Arial" w:eastAsia="Arial" w:cs="Arial"/>
                <w:sz w:val="21"/>
              </w:rPr>
              <w:t>City · 3-bed apartments</w:t>
            </w:r>
          </w:p>
        </w:tc>
        <w:tc>
          <w:tcPr>
            <w:tcW w:type="dxa" w:w="995"/>
            <w:shd w:val="clear" w:color="auto" w:fill="FFFFFF"/>
          </w:tcPr>
          <w:p>
            <w:pPr>
              <w:keepNext/>
              <w:spacing w:before="40" w:after="40" w:line="240" w:lineRule="auto"/>
              <w:jc w:val="right"/>
            </w:pPr>
            <w:r>
              <w:rPr>
                <w:rFonts w:ascii="Arial" w:hAnsi="Arial" w:eastAsia="Arial" w:cs="Arial"/>
                <w:sz w:val="21"/>
              </w:rPr>
              <w:t>306</w:t>
            </w:r>
          </w:p>
        </w:tc>
        <w:tc>
          <w:tcPr>
            <w:tcW w:type="dxa" w:w="995"/>
            <w:shd w:val="clear" w:color="auto" w:fill="FFFFFF"/>
          </w:tcPr>
          <w:p>
            <w:pPr>
              <w:keepNext/>
              <w:spacing w:before="40" w:after="40" w:line="240" w:lineRule="auto"/>
              <w:jc w:val="right"/>
            </w:pPr>
            <w:r>
              <w:rPr>
                <w:rFonts w:ascii="Arial" w:hAnsi="Arial" w:eastAsia="Arial" w:cs="Arial"/>
                <w:sz w:val="21"/>
              </w:rPr>
              <w:t>36.6%</w:t>
            </w:r>
          </w:p>
        </w:tc>
        <w:tc>
          <w:tcPr>
            <w:tcW w:type="dxa" w:w="1052"/>
            <w:shd w:val="clear" w:color="auto" w:fill="FFFFFF"/>
          </w:tcPr>
          <w:p>
            <w:pPr>
              <w:keepNext/>
              <w:spacing w:before="40" w:after="40" w:line="240" w:lineRule="auto"/>
              <w:jc w:val="right"/>
            </w:pPr>
            <w:r>
              <w:rPr>
                <w:rFonts w:ascii="Arial" w:hAnsi="Arial" w:eastAsia="Arial" w:cs="Arial"/>
                <w:sz w:val="21"/>
              </w:rPr>
              <w:t>450</w:t>
            </w:r>
          </w:p>
        </w:tc>
        <w:tc>
          <w:tcPr>
            <w:tcW w:type="dxa" w:w="1120"/>
            <w:shd w:val="clear" w:color="auto" w:fill="FFFFFF"/>
          </w:tcPr>
          <w:p>
            <w:pPr>
              <w:keepNext/>
              <w:spacing w:before="40" w:after="40" w:line="240" w:lineRule="auto"/>
              <w:jc w:val="right"/>
            </w:pPr>
            <w:r>
              <w:rPr>
                <w:rFonts w:ascii="Arial" w:hAnsi="Arial" w:eastAsia="Arial" w:cs="Arial"/>
                <w:sz w:val="21"/>
              </w:rPr>
              <w:t>58.8%</w:t>
            </w:r>
          </w:p>
        </w:tc>
        <w:tc>
          <w:tcPr>
            <w:tcW w:type="dxa" w:w="1677"/>
            <w:shd w:val="clear" w:color="auto" w:fill="FFFFFF"/>
          </w:tcPr>
          <w:p>
            <w:pPr>
              <w:keepNext/>
              <w:spacing w:before="40" w:after="40" w:line="240" w:lineRule="auto"/>
              <w:jc w:val="right"/>
            </w:pPr>
            <w:r>
              <w:rPr>
                <w:rFonts w:ascii="Arial" w:hAnsi="Arial" w:eastAsia="Arial" w:cs="Arial"/>
                <w:sz w:val="21"/>
              </w:rPr>
              <w:t>126</w:t>
            </w:r>
          </w:p>
        </w:tc>
        <w:tc>
          <w:tcPr>
            <w:tcW w:type="dxa" w:w="1654"/>
            <w:shd w:val="clear" w:color="auto" w:fill="FFFFFF"/>
          </w:tcPr>
          <w:p>
            <w:pPr>
              <w:keepNext/>
              <w:spacing w:before="40" w:after="40" w:line="240" w:lineRule="auto"/>
              <w:jc w:val="right"/>
            </w:pPr>
            <w:r>
              <w:rPr>
                <w:rFonts w:ascii="Arial" w:hAnsi="Arial" w:eastAsia="Arial" w:cs="Arial"/>
                <w:sz w:val="21"/>
              </w:rPr>
              <w:t>48,600</w:t>
            </w:r>
          </w:p>
        </w:tc>
      </w:tr>
      <w:tr>
        <w:trPr>
          <w:cantSplit/>
        </w:trPr>
        <w:tc>
          <w:tcPr>
            <w:tcW w:type="dxa" w:w="2370"/>
            <w:shd w:val="clear" w:color="auto" w:fill="FFFFFF"/>
          </w:tcPr>
          <w:p>
            <w:pPr>
              <w:keepNext/>
              <w:spacing w:before="40" w:after="40" w:line="240" w:lineRule="auto"/>
              <w:jc w:val="left"/>
            </w:pPr>
            <w:r>
              <w:rPr>
                <w:rFonts w:ascii="Arial" w:hAnsi="Arial" w:eastAsia="Arial" w:cs="Arial"/>
                <w:sz w:val="21"/>
              </w:rPr>
              <w:t>City · 2-bed apartments</w:t>
            </w:r>
          </w:p>
        </w:tc>
        <w:tc>
          <w:tcPr>
            <w:tcW w:type="dxa" w:w="995"/>
            <w:shd w:val="clear" w:color="auto" w:fill="FFFFFF"/>
          </w:tcPr>
          <w:p>
            <w:pPr>
              <w:keepNext/>
              <w:spacing w:before="40" w:after="40" w:line="240" w:lineRule="auto"/>
              <w:jc w:val="right"/>
            </w:pPr>
            <w:r>
              <w:rPr>
                <w:rFonts w:ascii="Arial" w:hAnsi="Arial" w:eastAsia="Arial" w:cs="Arial"/>
                <w:sz w:val="21"/>
              </w:rPr>
              <w:t>1,235</w:t>
            </w:r>
          </w:p>
        </w:tc>
        <w:tc>
          <w:tcPr>
            <w:tcW w:type="dxa" w:w="995"/>
            <w:shd w:val="clear" w:color="auto" w:fill="FFFFFF"/>
          </w:tcPr>
          <w:p>
            <w:pPr>
              <w:keepNext/>
              <w:spacing w:before="40" w:after="40" w:line="240" w:lineRule="auto"/>
              <w:jc w:val="right"/>
            </w:pPr>
            <w:r>
              <w:rPr>
                <w:rFonts w:ascii="Arial" w:hAnsi="Arial" w:eastAsia="Arial" w:cs="Arial"/>
                <w:sz w:val="21"/>
              </w:rPr>
              <w:t>32.8%</w:t>
            </w:r>
          </w:p>
        </w:tc>
        <w:tc>
          <w:tcPr>
            <w:tcW w:type="dxa" w:w="1052"/>
            <w:shd w:val="clear" w:color="auto" w:fill="FFFFFF"/>
          </w:tcPr>
          <w:p>
            <w:pPr>
              <w:keepNext/>
              <w:spacing w:before="40" w:after="40" w:line="240" w:lineRule="auto"/>
              <w:jc w:val="right"/>
            </w:pPr>
            <w:r>
              <w:rPr>
                <w:rFonts w:ascii="Arial" w:hAnsi="Arial" w:eastAsia="Arial" w:cs="Arial"/>
                <w:sz w:val="21"/>
              </w:rPr>
              <w:t>285</w:t>
            </w:r>
          </w:p>
        </w:tc>
        <w:tc>
          <w:tcPr>
            <w:tcW w:type="dxa" w:w="1120"/>
            <w:shd w:val="clear" w:color="auto" w:fill="FFFFFF"/>
          </w:tcPr>
          <w:p>
            <w:pPr>
              <w:keepNext/>
              <w:spacing w:before="40" w:after="40" w:line="240" w:lineRule="auto"/>
              <w:jc w:val="right"/>
            </w:pPr>
            <w:r>
              <w:rPr>
                <w:rFonts w:ascii="Arial" w:hAnsi="Arial" w:eastAsia="Arial" w:cs="Arial"/>
                <w:sz w:val="21"/>
              </w:rPr>
              <w:t>59.8%</w:t>
            </w:r>
          </w:p>
        </w:tc>
        <w:tc>
          <w:tcPr>
            <w:tcW w:type="dxa" w:w="1677"/>
            <w:shd w:val="clear" w:color="auto" w:fill="FFFFFF"/>
          </w:tcPr>
          <w:p>
            <w:pPr>
              <w:keepNext/>
              <w:spacing w:before="40" w:after="40" w:line="240" w:lineRule="auto"/>
              <w:jc w:val="right"/>
            </w:pPr>
            <w:r>
              <w:rPr>
                <w:rFonts w:ascii="Arial" w:hAnsi="Arial" w:eastAsia="Arial" w:cs="Arial"/>
                <w:sz w:val="21"/>
              </w:rPr>
              <w:t>108</w:t>
            </w:r>
          </w:p>
        </w:tc>
        <w:tc>
          <w:tcPr>
            <w:tcW w:type="dxa" w:w="1654"/>
            <w:shd w:val="clear" w:color="auto" w:fill="FFFFFF"/>
          </w:tcPr>
          <w:p>
            <w:pPr>
              <w:keepNext/>
              <w:spacing w:before="40" w:after="40" w:line="240" w:lineRule="auto"/>
              <w:jc w:val="right"/>
            </w:pPr>
            <w:r>
              <w:rPr>
                <w:rFonts w:ascii="Arial" w:hAnsi="Arial" w:eastAsia="Arial" w:cs="Arial"/>
                <w:sz w:val="21"/>
              </w:rPr>
              <w:t>30,600</w:t>
            </w:r>
          </w:p>
        </w:tc>
      </w:tr>
      <w:tr>
        <w:trPr>
          <w:cantSplit/>
        </w:trPr>
        <w:tc>
          <w:tcPr>
            <w:tcW w:type="dxa" w:w="2370"/>
            <w:shd w:val="clear" w:color="auto" w:fill="FFFFFF"/>
          </w:tcPr>
          <w:p>
            <w:pPr>
              <w:keepNext/>
              <w:spacing w:before="40" w:after="40" w:line="240" w:lineRule="auto"/>
              <w:jc w:val="left"/>
            </w:pPr>
            <w:r>
              <w:rPr>
                <w:rFonts w:ascii="Arial" w:hAnsi="Arial" w:eastAsia="Arial" w:cs="Arial"/>
                <w:sz w:val="21"/>
              </w:rPr>
              <w:t>Yarra Ranges · 3-bed houses</w:t>
            </w:r>
          </w:p>
        </w:tc>
        <w:tc>
          <w:tcPr>
            <w:tcW w:type="dxa" w:w="995"/>
            <w:shd w:val="clear" w:color="auto" w:fill="FFFFFF"/>
          </w:tcPr>
          <w:p>
            <w:pPr>
              <w:keepNext/>
              <w:spacing w:before="40" w:after="40" w:line="240" w:lineRule="auto"/>
              <w:jc w:val="right"/>
            </w:pPr>
            <w:r>
              <w:rPr>
                <w:rFonts w:ascii="Arial" w:hAnsi="Arial" w:eastAsia="Arial" w:cs="Arial"/>
                <w:sz w:val="21"/>
              </w:rPr>
              <w:t>90</w:t>
            </w:r>
          </w:p>
        </w:tc>
        <w:tc>
          <w:tcPr>
            <w:tcW w:type="dxa" w:w="995"/>
            <w:shd w:val="clear" w:color="auto" w:fill="FFFFFF"/>
          </w:tcPr>
          <w:p>
            <w:pPr>
              <w:keepNext/>
              <w:spacing w:before="40" w:after="40" w:line="240" w:lineRule="auto"/>
              <w:jc w:val="right"/>
            </w:pPr>
            <w:r>
              <w:rPr>
                <w:rFonts w:ascii="Arial" w:hAnsi="Arial" w:eastAsia="Arial" w:cs="Arial"/>
                <w:sz w:val="21"/>
              </w:rPr>
              <w:t>30.0%</w:t>
            </w:r>
          </w:p>
        </w:tc>
        <w:tc>
          <w:tcPr>
            <w:tcW w:type="dxa" w:w="1052"/>
            <w:shd w:val="clear" w:color="auto" w:fill="FFFFFF"/>
          </w:tcPr>
          <w:p>
            <w:pPr>
              <w:keepNext/>
              <w:spacing w:before="40" w:after="40" w:line="240" w:lineRule="auto"/>
              <w:jc w:val="right"/>
            </w:pPr>
            <w:r>
              <w:rPr>
                <w:rFonts w:ascii="Arial" w:hAnsi="Arial" w:eastAsia="Arial" w:cs="Arial"/>
                <w:sz w:val="21"/>
              </w:rPr>
              <w:t>426</w:t>
            </w:r>
          </w:p>
        </w:tc>
        <w:tc>
          <w:tcPr>
            <w:tcW w:type="dxa" w:w="1120"/>
            <w:shd w:val="clear" w:color="auto" w:fill="FFFFFF"/>
          </w:tcPr>
          <w:p>
            <w:pPr>
              <w:keepNext/>
              <w:spacing w:before="40" w:after="40" w:line="240" w:lineRule="auto"/>
              <w:jc w:val="right"/>
            </w:pPr>
            <w:r>
              <w:rPr>
                <w:rFonts w:ascii="Arial" w:hAnsi="Arial" w:eastAsia="Arial" w:cs="Arial"/>
                <w:sz w:val="21"/>
              </w:rPr>
              <w:t>22.2%</w:t>
            </w:r>
          </w:p>
        </w:tc>
        <w:tc>
          <w:tcPr>
            <w:tcW w:type="dxa" w:w="1677"/>
            <w:shd w:val="clear" w:color="auto" w:fill="FFFFFF"/>
          </w:tcPr>
          <w:p>
            <w:pPr>
              <w:keepNext/>
              <w:spacing w:before="40" w:after="40" w:line="240" w:lineRule="auto"/>
              <w:jc w:val="right"/>
            </w:pPr>
            <w:r>
              <w:rPr>
                <w:rFonts w:ascii="Arial" w:hAnsi="Arial" w:eastAsia="Arial" w:cs="Arial"/>
                <w:sz w:val="21"/>
              </w:rPr>
              <w:t>120</w:t>
            </w:r>
          </w:p>
        </w:tc>
        <w:tc>
          <w:tcPr>
            <w:tcW w:type="dxa" w:w="1654"/>
            <w:shd w:val="clear" w:color="auto" w:fill="FFFFFF"/>
          </w:tcPr>
          <w:p>
            <w:pPr>
              <w:keepNext/>
              <w:spacing w:before="40" w:after="40" w:line="240" w:lineRule="auto"/>
              <w:jc w:val="right"/>
            </w:pPr>
            <w:r>
              <w:rPr>
                <w:rFonts w:ascii="Arial" w:hAnsi="Arial" w:eastAsia="Arial" w:cs="Arial"/>
                <w:sz w:val="21"/>
              </w:rPr>
              <w:t>46,100</w:t>
            </w:r>
          </w:p>
        </w:tc>
      </w:tr>
      <w:tr>
        <w:trPr>
          <w:cantSplit/>
        </w:trPr>
        <w:tc>
          <w:tcPr>
            <w:tcW w:type="dxa" w:w="2370"/>
            <w:shd w:val="clear" w:color="auto" w:fill="FFFFFF"/>
          </w:tcPr>
          <w:p>
            <w:pPr>
              <w:spacing w:before="40" w:after="40" w:line="240" w:lineRule="auto"/>
              <w:jc w:val="left"/>
            </w:pPr>
            <w:r>
              <w:rPr>
                <w:rFonts w:ascii="Arial" w:hAnsi="Arial" w:eastAsia="Arial" w:cs="Arial"/>
                <w:sz w:val="21"/>
              </w:rPr>
              <w:t>All 14 groups</w:t>
            </w:r>
          </w:p>
        </w:tc>
        <w:tc>
          <w:tcPr>
            <w:tcW w:type="dxa" w:w="995"/>
            <w:shd w:val="clear" w:color="auto" w:fill="FFFFFF"/>
          </w:tcPr>
          <w:p>
            <w:pPr>
              <w:spacing w:before="40" w:after="40" w:line="240" w:lineRule="auto"/>
              <w:jc w:val="right"/>
            </w:pPr>
            <w:r>
              <w:rPr>
                <w:rFonts w:ascii="Arial" w:hAnsi="Arial" w:eastAsia="Arial" w:cs="Arial"/>
                <w:sz w:val="21"/>
              </w:rPr>
              <w:t>3,873</w:t>
            </w:r>
          </w:p>
        </w:tc>
        <w:tc>
          <w:tcPr>
            <w:tcW w:type="dxa" w:w="995"/>
            <w:shd w:val="clear" w:color="auto" w:fill="FFFFFF"/>
          </w:tcPr>
          <w:p>
            <w:pPr>
              <w:spacing w:before="40" w:after="40" w:line="240" w:lineRule="auto"/>
              <w:jc w:val="right"/>
            </w:pPr>
            <w:r>
              <w:rPr>
                <w:rFonts w:ascii="Arial" w:hAnsi="Arial" w:eastAsia="Arial" w:cs="Arial"/>
                <w:sz w:val="21"/>
              </w:rPr>
              <w:t>25.3%</w:t>
            </w:r>
          </w:p>
        </w:tc>
        <w:tc>
          <w:tcPr>
            <w:tcW w:type="dxa" w:w="1052"/>
            <w:shd w:val="clear" w:color="auto" w:fill="FFFFFF"/>
          </w:tcPr>
          <w:p>
            <w:pPr>
              <w:spacing w:before="40" w:after="40" w:line="240" w:lineRule="auto"/>
              <w:jc w:val="right"/>
            </w:pPr>
            <w:r>
              <w:rPr>
                <w:rFonts w:ascii="Arial" w:hAnsi="Arial" w:eastAsia="Arial" w:cs="Arial"/>
                <w:sz w:val="21"/>
              </w:rPr>
              <w:t>262</w:t>
            </w:r>
          </w:p>
        </w:tc>
        <w:tc>
          <w:tcPr>
            <w:tcW w:type="dxa" w:w="1120"/>
            <w:shd w:val="clear" w:color="auto" w:fill="FFFFFF"/>
          </w:tcPr>
          <w:p>
            <w:pPr>
              <w:spacing w:before="40" w:after="40" w:line="240" w:lineRule="auto"/>
              <w:jc w:val="right"/>
            </w:pPr>
            <w:r>
              <w:rPr>
                <w:rFonts w:ascii="Arial" w:hAnsi="Arial" w:eastAsia="Arial" w:cs="Arial"/>
                <w:sz w:val="21"/>
              </w:rPr>
              <w:t>45.1%</w:t>
            </w:r>
          </w:p>
        </w:tc>
        <w:tc>
          <w:tcPr>
            <w:tcW w:type="dxa" w:w="1677"/>
            <w:shd w:val="clear" w:color="auto" w:fill="FFFFFF"/>
          </w:tcPr>
          <w:p>
            <w:pPr>
              <w:spacing w:before="40" w:after="40" w:line="240" w:lineRule="auto"/>
              <w:jc w:val="right"/>
            </w:pPr>
            <w:r>
              <w:rPr>
                <w:rFonts w:ascii="Arial" w:hAnsi="Arial" w:eastAsia="Arial" w:cs="Arial"/>
                <w:sz w:val="21"/>
              </w:rPr>
              <w:t>96</w:t>
            </w:r>
          </w:p>
        </w:tc>
        <w:tc>
          <w:tcPr>
            <w:tcW w:type="dxa" w:w="1654"/>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Each priority group's estimated revenue beats the all-group median, although City two-bedroom apartments rank only fifth of 14 (Table 4); prices are advertised nightly rates, not rents. The same three groups lead when the price rule or the review-history rule is removed. The two City groups are the most reliable, staying in the top three in 94% and 90% of 1,000 host redraws; Yarra Ranges houses did so in only 64%, a less certain second option.</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homes within each priority group, the full model found busy homes 49.6% of the time, against 38.6% for the reduced model and 32.4% for random picking (Figure 3). That is five busy homes instead of three in a list of ten.</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 Source: Inside Airbnb (2026); Group 2 analysis.</w:t>
      </w:r>
    </w:p>
    <w:p>
      <w:pPr>
        <w:widowControl/>
        <w:spacing w:after="120" w:line="259" w:lineRule="auto"/>
        <w:jc w:val="left"/>
      </w:pPr>
      <w:r>
        <w:rPr>
          <w:rFonts w:ascii="Arial" w:hAnsi="Arial" w:eastAsia="Arial" w:cs="Arial"/>
        </w:rPr>
        <w:t>The full model beat random picking in 46 of the 50 tests; the middle 90% of its gains ran from −0.7 to +31.8 percentage points, so results depend on the homes available.</w:t>
      </w:r>
    </w:p>
    <w:p>
      <w:pPr>
        <w:widowControl/>
        <w:spacing w:after="120" w:line="259" w:lineRule="auto"/>
        <w:jc w:val="left"/>
      </w:pPr>
      <w:r>
        <w:rPr>
          <w:rFonts w:ascii="Arial" w:hAnsi="Arial" w:eastAsia="Arial" w:cs="Arial"/>
        </w:rPr>
        <w:t>Table 5 splits hosts into five parts, scores each home with a model built from the other four, and picks the top quarter overall. Of picked homes, 43.7% were busy (the hit rate, or precision), against 25.3% of all homes; the picks found 43.1% of all busy homes (recall). Accuracy misleads: the model is right 71.5% of the time, yet calling every home "below target" scores 74.7% and finds no busy home.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400"/>
        <w:gridCol w:w="1390"/>
        <w:gridCol w:w="2100"/>
        <w:gridCol w:w="1975"/>
      </w:tblGrid>
      <w:tr>
        <w:trPr>
          <w:cantSplit/>
          <w:tblHeader/>
        </w:trPr>
        <w:tc>
          <w:tcPr>
            <w:tcW w:type="dxa" w:w="4400"/>
            <w:shd w:val="clear" w:color="auto" w:fill="E9EEF3"/>
          </w:tcPr>
          <w:p>
            <w:pPr>
              <w:keepNext/>
              <w:spacing w:before="40" w:after="40" w:line="240" w:lineRule="auto"/>
              <w:jc w:val="left"/>
            </w:pPr>
          </w:p>
        </w:tc>
        <w:tc>
          <w:tcPr>
            <w:tcW w:type="dxa" w:w="1390"/>
            <w:shd w:val="clear" w:color="auto" w:fill="E9EEF3"/>
          </w:tcPr>
          <w:p>
            <w:pPr>
              <w:keepNext/>
              <w:spacing w:before="40" w:after="40" w:line="240" w:lineRule="auto"/>
              <w:jc w:val="left"/>
            </w:pPr>
            <w:r>
              <w:rPr>
                <w:rFonts w:ascii="Arial" w:hAnsi="Arial" w:eastAsia="Arial" w:cs="Arial"/>
                <w:b/>
                <w:sz w:val="21"/>
              </w:rPr>
              <w:t>Busy</w:t>
            </w:r>
          </w:p>
        </w:tc>
        <w:tc>
          <w:tcPr>
            <w:tcW w:type="dxa" w:w="2100"/>
            <w:shd w:val="clear" w:color="auto" w:fill="E9EEF3"/>
          </w:tcPr>
          <w:p>
            <w:pPr>
              <w:keepNext/>
              <w:spacing w:before="40" w:after="40" w:line="240" w:lineRule="auto"/>
              <w:jc w:val="left"/>
            </w:pPr>
            <w:r>
              <w:rPr>
                <w:rFonts w:ascii="Arial" w:hAnsi="Arial" w:eastAsia="Arial" w:cs="Arial"/>
                <w:b/>
                <w:sz w:val="21"/>
              </w:rPr>
              <w:t>Below target</w:t>
            </w:r>
          </w:p>
        </w:tc>
        <w:tc>
          <w:tcPr>
            <w:tcW w:type="dxa" w:w="1975"/>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400"/>
            <w:shd w:val="clear" w:color="auto" w:fill="FFFFFF"/>
          </w:tcPr>
          <w:p>
            <w:pPr>
              <w:keepNext/>
              <w:spacing w:before="40" w:after="40" w:line="240" w:lineRule="auto"/>
              <w:jc w:val="left"/>
            </w:pPr>
            <w:r>
              <w:rPr>
                <w:rFonts w:ascii="Arial" w:hAnsi="Arial" w:eastAsia="Arial" w:cs="Arial"/>
                <w:sz w:val="21"/>
              </w:rPr>
              <w:t>Picked by model</w:t>
            </w:r>
          </w:p>
        </w:tc>
        <w:tc>
          <w:tcPr>
            <w:tcW w:type="dxa" w:w="1390"/>
            <w:shd w:val="clear" w:color="auto" w:fill="FFFFFF"/>
          </w:tcPr>
          <w:p>
            <w:pPr>
              <w:keepNext/>
              <w:spacing w:before="40" w:after="40" w:line="240" w:lineRule="auto"/>
              <w:jc w:val="right"/>
            </w:pPr>
            <w:r>
              <w:rPr>
                <w:rFonts w:ascii="Arial" w:hAnsi="Arial" w:eastAsia="Arial" w:cs="Arial"/>
                <w:sz w:val="21"/>
              </w:rPr>
              <w:t>423</w:t>
            </w:r>
          </w:p>
        </w:tc>
        <w:tc>
          <w:tcPr>
            <w:tcW w:type="dxa" w:w="2100"/>
            <w:shd w:val="clear" w:color="auto" w:fill="FFFFFF"/>
          </w:tcPr>
          <w:p>
            <w:pPr>
              <w:keepNext/>
              <w:spacing w:before="40" w:after="40" w:line="240" w:lineRule="auto"/>
              <w:jc w:val="right"/>
            </w:pPr>
            <w:r>
              <w:rPr>
                <w:rFonts w:ascii="Arial" w:hAnsi="Arial" w:eastAsia="Arial" w:cs="Arial"/>
                <w:sz w:val="21"/>
              </w:rPr>
              <w:t>546</w:t>
            </w:r>
          </w:p>
        </w:tc>
        <w:tc>
          <w:tcPr>
            <w:tcW w:type="dxa" w:w="1975"/>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400"/>
            <w:shd w:val="clear" w:color="auto" w:fill="FFFFFF"/>
          </w:tcPr>
          <w:p>
            <w:pPr>
              <w:spacing w:before="40" w:after="40" w:line="240" w:lineRule="auto"/>
              <w:jc w:val="left"/>
            </w:pPr>
            <w:r>
              <w:rPr>
                <w:rFonts w:ascii="Arial" w:hAnsi="Arial" w:eastAsia="Arial" w:cs="Arial"/>
                <w:sz w:val="21"/>
              </w:rPr>
              <w:t>Not picked</w:t>
            </w:r>
          </w:p>
        </w:tc>
        <w:tc>
          <w:tcPr>
            <w:tcW w:type="dxa" w:w="1390"/>
            <w:shd w:val="clear" w:color="auto" w:fill="FFFFFF"/>
          </w:tcPr>
          <w:p>
            <w:pPr>
              <w:spacing w:before="40" w:after="40" w:line="240" w:lineRule="auto"/>
              <w:jc w:val="right"/>
            </w:pPr>
            <w:r>
              <w:rPr>
                <w:rFonts w:ascii="Arial" w:hAnsi="Arial" w:eastAsia="Arial" w:cs="Arial"/>
                <w:sz w:val="21"/>
              </w:rPr>
              <w:t>558</w:t>
            </w:r>
          </w:p>
        </w:tc>
        <w:tc>
          <w:tcPr>
            <w:tcW w:type="dxa" w:w="2100"/>
            <w:shd w:val="clear" w:color="auto" w:fill="FFFFFF"/>
          </w:tcPr>
          <w:p>
            <w:pPr>
              <w:spacing w:before="40" w:after="40" w:line="240" w:lineRule="auto"/>
              <w:jc w:val="right"/>
            </w:pPr>
            <w:r>
              <w:rPr>
                <w:rFonts w:ascii="Arial" w:hAnsi="Arial" w:eastAsia="Arial" w:cs="Arial"/>
                <w:sz w:val="21"/>
              </w:rPr>
              <w:t>2,346</w:t>
            </w:r>
          </w:p>
        </w:tc>
        <w:tc>
          <w:tcPr>
            <w:tcW w:type="dxa" w:w="1975"/>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With other inputs unchanged, the model gives a typical City two-bedroom apartment a 42% chance of being busy if it accepts one-night stays and 18% if it requires two nights or more. With ten more amenities the chance is 48%; priced 20% above similar homes, it is 36% (odds ratios in Appendix A). These are associations in past data, not proof that changing a setting causes more bookings.</w:t>
      </w:r>
    </w:p>
    <w:p>
      <w:pPr>
        <w:widowControl/>
        <w:spacing w:after="120" w:line="259" w:lineRule="auto"/>
        <w:jc w:val="left"/>
      </w:pPr>
      <w:r>
        <w:rPr>
          <w:rFonts w:ascii="Arial" w:hAnsi="Arial" w:eastAsia="Arial" w:cs="Arial"/>
        </w:rPr>
        <w:t>Price and minimum stay carry most of the gain; without them, the reduced model did worse than random in City three-bedroom apartments (33.9% against 35.9%).</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23"/>
        <w:gridCol w:w="2739"/>
        <w:gridCol w:w="2364"/>
        <w:gridCol w:w="2739"/>
      </w:tblGrid>
      <w:tr>
        <w:trPr>
          <w:cantSplit/>
          <w:tblHeader/>
        </w:trPr>
        <w:tc>
          <w:tcPr>
            <w:tcW w:type="dxa" w:w="2023"/>
            <w:shd w:val="clear" w:color="auto" w:fill="E9EEF3"/>
          </w:tcPr>
          <w:p>
            <w:pPr>
              <w:keepNext/>
              <w:spacing w:before="40" w:after="40" w:line="240" w:lineRule="auto"/>
              <w:jc w:val="left"/>
            </w:pPr>
            <w:r>
              <w:rPr>
                <w:rFonts w:ascii="Arial" w:hAnsi="Arial" w:eastAsia="Arial" w:cs="Arial"/>
                <w:b/>
                <w:sz w:val="21"/>
              </w:rPr>
              <w:t>Share of homes inspected in each group</w:t>
            </w:r>
          </w:p>
        </w:tc>
        <w:tc>
          <w:tcPr>
            <w:tcW w:type="dxa" w:w="2739"/>
            <w:shd w:val="clear" w:color="auto" w:fill="E9EEF3"/>
          </w:tcPr>
          <w:p>
            <w:pPr>
              <w:keepNext/>
              <w:spacing w:before="40" w:after="40" w:line="240" w:lineRule="auto"/>
              <w:jc w:val="left"/>
            </w:pPr>
            <w:r>
              <w:rPr>
                <w:rFonts w:ascii="Arial" w:hAnsi="Arial" w:eastAsia="Arial" w:cs="Arial"/>
                <w:b/>
                <w:sz w:val="21"/>
              </w:rPr>
              <w:t>Hit rate (precision)</w:t>
            </w:r>
          </w:p>
        </w:tc>
        <w:tc>
          <w:tcPr>
            <w:tcW w:type="dxa" w:w="2364"/>
            <w:shd w:val="clear" w:color="auto" w:fill="E9EEF3"/>
          </w:tcPr>
          <w:p>
            <w:pPr>
              <w:keepNext/>
              <w:spacing w:before="40" w:after="40" w:line="240" w:lineRule="auto"/>
              <w:jc w:val="left"/>
            </w:pPr>
            <w:r>
              <w:rPr>
                <w:rFonts w:ascii="Arial" w:hAnsi="Arial" w:eastAsia="Arial" w:cs="Arial"/>
                <w:b/>
                <w:sz w:val="21"/>
              </w:rPr>
              <w:t>Share of busy homes found (recall)</w:t>
            </w:r>
          </w:p>
        </w:tc>
        <w:tc>
          <w:tcPr>
            <w:tcW w:type="dxa" w:w="2739"/>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023"/>
            <w:shd w:val="clear" w:color="auto" w:fill="FFFFFF"/>
          </w:tcPr>
          <w:p>
            <w:pPr>
              <w:keepNext/>
              <w:spacing w:before="40" w:after="40" w:line="240" w:lineRule="auto"/>
              <w:jc w:val="left"/>
            </w:pPr>
            <w:r>
              <w:rPr>
                <w:rFonts w:ascii="Arial" w:hAnsi="Arial" w:eastAsia="Arial" w:cs="Arial"/>
                <w:sz w:val="21"/>
              </w:rPr>
              <w:t>10%</w:t>
            </w:r>
          </w:p>
        </w:tc>
        <w:tc>
          <w:tcPr>
            <w:tcW w:type="dxa" w:w="2739"/>
            <w:shd w:val="clear" w:color="auto" w:fill="FFFFFF"/>
          </w:tcPr>
          <w:p>
            <w:pPr>
              <w:keepNext/>
              <w:spacing w:before="40" w:after="40" w:line="240" w:lineRule="auto"/>
              <w:jc w:val="right"/>
            </w:pPr>
            <w:r>
              <w:rPr>
                <w:rFonts w:ascii="Arial" w:hAnsi="Arial" w:eastAsia="Arial" w:cs="Arial"/>
                <w:sz w:val="21"/>
              </w:rPr>
              <w:t>54.5%</w:t>
            </w:r>
          </w:p>
        </w:tc>
        <w:tc>
          <w:tcPr>
            <w:tcW w:type="dxa" w:w="2364"/>
            <w:shd w:val="clear" w:color="auto" w:fill="FFFFFF"/>
          </w:tcPr>
          <w:p>
            <w:pPr>
              <w:keepNext/>
              <w:spacing w:before="40" w:after="40" w:line="240" w:lineRule="auto"/>
              <w:jc w:val="right"/>
            </w:pPr>
            <w:r>
              <w:rPr>
                <w:rFonts w:ascii="Arial" w:hAnsi="Arial" w:eastAsia="Arial" w:cs="Arial"/>
                <w:sz w:val="21"/>
              </w:rPr>
              <w:t>17.1%</w:t>
            </w:r>
          </w:p>
        </w:tc>
        <w:tc>
          <w:tcPr>
            <w:tcW w:type="dxa" w:w="2739"/>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023"/>
            <w:shd w:val="clear" w:color="auto" w:fill="FFFFFF"/>
          </w:tcPr>
          <w:p>
            <w:pPr>
              <w:keepNext/>
              <w:spacing w:before="40" w:after="40" w:line="240" w:lineRule="auto"/>
              <w:jc w:val="left"/>
            </w:pPr>
            <w:r>
              <w:rPr>
                <w:rFonts w:ascii="Arial" w:hAnsi="Arial" w:eastAsia="Arial" w:cs="Arial"/>
                <w:sz w:val="21"/>
              </w:rPr>
              <w:t>25%</w:t>
            </w:r>
          </w:p>
        </w:tc>
        <w:tc>
          <w:tcPr>
            <w:tcW w:type="dxa" w:w="2739"/>
            <w:shd w:val="clear" w:color="auto" w:fill="FFFFFF"/>
          </w:tcPr>
          <w:p>
            <w:pPr>
              <w:keepNext/>
              <w:spacing w:before="40" w:after="40" w:line="240" w:lineRule="auto"/>
              <w:jc w:val="right"/>
            </w:pPr>
            <w:r>
              <w:rPr>
                <w:rFonts w:ascii="Arial" w:hAnsi="Arial" w:eastAsia="Arial" w:cs="Arial"/>
                <w:sz w:val="21"/>
              </w:rPr>
              <w:t>49.6%</w:t>
            </w:r>
          </w:p>
        </w:tc>
        <w:tc>
          <w:tcPr>
            <w:tcW w:type="dxa" w:w="2364"/>
            <w:shd w:val="clear" w:color="auto" w:fill="FFFFFF"/>
          </w:tcPr>
          <w:p>
            <w:pPr>
              <w:keepNext/>
              <w:spacing w:before="40" w:after="40" w:line="240" w:lineRule="auto"/>
              <w:jc w:val="right"/>
            </w:pPr>
            <w:r>
              <w:rPr>
                <w:rFonts w:ascii="Arial" w:hAnsi="Arial" w:eastAsia="Arial" w:cs="Arial"/>
                <w:sz w:val="21"/>
              </w:rPr>
              <w:t>38.3%</w:t>
            </w:r>
          </w:p>
        </w:tc>
        <w:tc>
          <w:tcPr>
            <w:tcW w:type="dxa" w:w="2739"/>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023"/>
            <w:shd w:val="clear" w:color="auto" w:fill="FFFFFF"/>
          </w:tcPr>
          <w:p>
            <w:pPr>
              <w:spacing w:before="40" w:after="40" w:line="240" w:lineRule="auto"/>
              <w:jc w:val="left"/>
            </w:pPr>
            <w:r>
              <w:rPr>
                <w:rFonts w:ascii="Arial" w:hAnsi="Arial" w:eastAsia="Arial" w:cs="Arial"/>
                <w:sz w:val="21"/>
              </w:rPr>
              <w:t>50%</w:t>
            </w:r>
          </w:p>
        </w:tc>
        <w:tc>
          <w:tcPr>
            <w:tcW w:type="dxa" w:w="2739"/>
            <w:shd w:val="clear" w:color="auto" w:fill="FFFFFF"/>
          </w:tcPr>
          <w:p>
            <w:pPr>
              <w:spacing w:before="40" w:after="40" w:line="240" w:lineRule="auto"/>
              <w:jc w:val="right"/>
            </w:pPr>
            <w:r>
              <w:rPr>
                <w:rFonts w:ascii="Arial" w:hAnsi="Arial" w:eastAsia="Arial" w:cs="Arial"/>
                <w:sz w:val="21"/>
              </w:rPr>
              <w:t>43.1%</w:t>
            </w:r>
          </w:p>
        </w:tc>
        <w:tc>
          <w:tcPr>
            <w:tcW w:type="dxa" w:w="2364"/>
            <w:shd w:val="clear" w:color="auto" w:fill="FFFFFF"/>
          </w:tcPr>
          <w:p>
            <w:pPr>
              <w:spacing w:before="40" w:after="40" w:line="240" w:lineRule="auto"/>
              <w:jc w:val="right"/>
            </w:pPr>
            <w:r>
              <w:rPr>
                <w:rFonts w:ascii="Arial" w:hAnsi="Arial" w:eastAsia="Arial" w:cs="Arial"/>
                <w:sz w:val="21"/>
              </w:rPr>
              <w:t>66.7%</w:t>
            </w:r>
          </w:p>
        </w:tc>
        <w:tc>
          <w:tcPr>
            <w:tcW w:type="dxa" w:w="2739"/>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with ten candidates, adding more if checks rule homes out.</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In the earlier year, 33.6% of homes in the top three groups reached 34 reviews, against 19.9% in the other seven; this gap reflects how the groups were chosen. In the later year they still led, 27.1% against 14.9%, a gap of about 12 percentage points, or 8.7 counting each host once (Figure 4).</w:t>
      </w:r>
    </w:p>
    <w:p>
      <w:pPr>
        <w:keepNext/>
        <w:widowControl/>
        <w:spacing w:after="40" w:before="80" w:line="240" w:lineRule="auto"/>
        <w:jc w:val="center"/>
      </w:pPr>
      <w:r>
        <w:drawing>
          <wp:inline xmlns:a="http://schemas.openxmlformats.org/drawingml/2006/main" xmlns:pic="http://schemas.openxmlformats.org/drawingml/2006/picture">
            <wp:extent cx="6035040" cy="2853491"/>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853491"/>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homes in two consecutive years; target 34 reviews. Source: Inside Airbnb (2026); Group 2 analysis.</w:t>
      </w:r>
    </w:p>
    <w:p>
      <w:pPr>
        <w:pStyle w:val="Heading1"/>
        <w:keepNext/>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use Yarra Ranges three-bedroom houses only if City leases are unsuitable.</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with the model where comparable listings exist.</w:t>
      </w:r>
      <w:r>
        <w:rPr>
          <w:rFonts w:ascii="Arial" w:hAnsi="Arial" w:eastAsia="Arial" w:cs="Arial"/>
        </w:rPr>
        <w:t xml:space="preserve"> For an unlisted rental, price near similar listings and trial one-night stays where allowed, tracking paid nights and cleaning costs.</w:t>
      </w:r>
    </w:p>
    <w:p>
      <w:pPr>
        <w:widowControl/>
        <w:spacing w:after="80" w:line="259" w:lineRule="auto"/>
        <w:ind w:left="432" w:hanging="432"/>
        <w:jc w:val="left"/>
      </w:pPr>
      <w:r>
        <w:rPr>
          <w:rFonts w:ascii="Arial" w:hAnsi="Arial" w:eastAsia="Arial" w:cs="Arial"/>
        </w:rPr>
        <w:t>3.</w:t>
        <w:tab/>
      </w:r>
      <w:r>
        <w:rPr>
          <w:rFonts w:ascii="Arial" w:hAnsi="Arial" w:eastAsia="Arial" w:cs="Arial"/>
          <w:b/>
        </w:rPr>
        <w:t>Drop a candidate whose weekly rent and running costs exceed its group's typical weekly gross estimated revenue</w:t>
      </w:r>
      <w:r>
        <w:rPr>
          <w:rFonts w:ascii="Arial" w:hAnsi="Arial" w:eastAsia="Arial" w:cs="Arial"/>
        </w:rPr>
        <w:t>: about AUD 590 for City two-bedroom apartments, AUD 930 for City three-bedroom apartments and AUD 890 for Yarra Ranges houses (Table 4, divided by 52). Then obtain the landlord's written consent and confirm that the owners' corporation has not banned stays under 28 days (Consumer Affairs Victoria, n.d.). Such stays also attract Victoria's 7.5% short-stay levy, collected through Airbnb (State Revenue Office Victoria, n.d.).</w:t>
      </w:r>
    </w:p>
    <w:p>
      <w:pPr>
        <w:keepNext/>
        <w:widowControl/>
        <w:spacing w:after="80" w:before="80" w:line="259" w:lineRule="auto"/>
        <w:jc w:val="left"/>
      </w:pPr>
      <w:r>
        <w:rPr>
          <w:rFonts w:ascii="Arial" w:hAnsi="Arial" w:eastAsia="Arial" w:cs="Arial"/>
          <w:b/>
        </w:rPr>
        <w:t>Table 7. Proposed four-week first inspection round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427"/>
        <w:gridCol w:w="4606"/>
        <w:gridCol w:w="2831"/>
      </w:tblGrid>
      <w:tr>
        <w:trPr>
          <w:cantSplit/>
          <w:tblHeader/>
        </w:trPr>
        <w:tc>
          <w:tcPr>
            <w:tcW w:type="dxa" w:w="2427"/>
            <w:shd w:val="clear" w:color="auto" w:fill="E9EEF3"/>
          </w:tcPr>
          <w:p>
            <w:pPr>
              <w:keepNext/>
              <w:spacing w:before="40" w:after="40" w:line="240" w:lineRule="auto"/>
              <w:jc w:val="left"/>
            </w:pPr>
            <w:r>
              <w:rPr>
                <w:rFonts w:ascii="Arial" w:hAnsi="Arial" w:eastAsia="Arial" w:cs="Arial"/>
                <w:b/>
                <w:sz w:val="21"/>
              </w:rPr>
              <w:t>Timing and owner</w:t>
            </w:r>
          </w:p>
        </w:tc>
        <w:tc>
          <w:tcPr>
            <w:tcW w:type="dxa" w:w="4606"/>
            <w:shd w:val="clear" w:color="auto" w:fill="E9EEF3"/>
          </w:tcPr>
          <w:p>
            <w:pPr>
              <w:keepNext/>
              <w:spacing w:before="40" w:after="40" w:line="240" w:lineRule="auto"/>
              <w:jc w:val="left"/>
            </w:pPr>
            <w:r>
              <w:rPr>
                <w:rFonts w:ascii="Arial" w:hAnsi="Arial" w:eastAsia="Arial" w:cs="Arial"/>
                <w:b/>
                <w:sz w:val="21"/>
              </w:rPr>
              <w:t>Action</w:t>
            </w:r>
          </w:p>
        </w:tc>
        <w:tc>
          <w:tcPr>
            <w:tcW w:type="dxa" w:w="2831"/>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427"/>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606"/>
            <w:shd w:val="clear" w:color="auto" w:fill="FFFFFF"/>
          </w:tcPr>
          <w:p>
            <w:pPr>
              <w:keepNext/>
              <w:spacing w:before="40" w:after="40" w:line="240" w:lineRule="auto"/>
              <w:jc w:val="left"/>
            </w:pPr>
            <w:r>
              <w:rPr>
                <w:rFonts w:ascii="Arial" w:hAnsi="Arial" w:eastAsia="Arial" w:cs="Arial"/>
                <w:sz w:val="21"/>
              </w:rPr>
              <w:t>Find ten available candidates in the priority groups; order established homes with the model</w:t>
            </w:r>
          </w:p>
        </w:tc>
        <w:tc>
          <w:tcPr>
            <w:tcW w:type="dxa" w:w="2831"/>
            <w:shd w:val="clear" w:color="auto" w:fill="FFFFFF"/>
          </w:tcPr>
          <w:p>
            <w:pPr>
              <w:keepNext/>
              <w:spacing w:before="40" w:after="40" w:line="240" w:lineRule="auto"/>
              <w:jc w:val="left"/>
            </w:pPr>
            <w:r>
              <w:rPr>
                <w:rFonts w:ascii="Arial" w:hAnsi="Arial" w:eastAsia="Arial" w:cs="Arial"/>
                <w:sz w:val="21"/>
              </w:rPr>
              <w:t>Use the group order alone for unlisted rentals</w:t>
            </w:r>
          </w:p>
        </w:tc>
      </w:tr>
      <w:tr>
        <w:trPr>
          <w:cantSplit/>
        </w:trPr>
        <w:tc>
          <w:tcPr>
            <w:tcW w:type="dxa" w:w="2427"/>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606"/>
            <w:shd w:val="clear" w:color="auto" w:fill="FFFFFF"/>
          </w:tcPr>
          <w:p>
            <w:pPr>
              <w:keepNext/>
              <w:spacing w:before="40" w:after="40" w:line="240" w:lineRule="auto"/>
              <w:jc w:val="left"/>
            </w:pPr>
            <w:r>
              <w:rPr>
                <w:rFonts w:ascii="Arial" w:hAnsi="Arial" w:eastAsia="Arial" w:cs="Arial"/>
                <w:sz w:val="21"/>
              </w:rPr>
              <w:t>Confirm consent and building rules, obtain cost quotes, compare rent with Table 4</w:t>
            </w:r>
          </w:p>
        </w:tc>
        <w:tc>
          <w:tcPr>
            <w:tcW w:type="dxa" w:w="2831"/>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427"/>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606"/>
            <w:shd w:val="clear" w:color="auto" w:fill="FFFFFF"/>
          </w:tcPr>
          <w:p>
            <w:pPr>
              <w:keepNext/>
              <w:spacing w:before="40" w:after="40" w:line="240" w:lineRule="auto"/>
              <w:jc w:val="left"/>
            </w:pPr>
            <w:r>
              <w:rPr>
                <w:rFonts w:ascii="Arial" w:hAnsi="Arial" w:eastAsia="Arial" w:cs="Arial"/>
                <w:sz w:val="21"/>
              </w:rPr>
              <w:t>Compare cash flow under expected demand and weak demand (60 nights a year, the below-target median in Table 3)</w:t>
            </w:r>
          </w:p>
        </w:tc>
        <w:tc>
          <w:tcPr>
            <w:tcW w:type="dxa" w:w="2831"/>
            <w:shd w:val="clear" w:color="auto" w:fill="FFFFFF"/>
          </w:tcPr>
          <w:p>
            <w:pPr>
              <w:keepNext/>
              <w:spacing w:before="40" w:after="40" w:line="240" w:lineRule="auto"/>
              <w:jc w:val="left"/>
            </w:pPr>
            <w:r>
              <w:rPr>
                <w:rFonts w:ascii="Arial" w:hAnsi="Arial" w:eastAsia="Arial" w:cs="Arial"/>
                <w:sz w:val="21"/>
              </w:rPr>
              <w:t>Sign only if both cases cover rent and keep a cash buffer</w:t>
            </w:r>
          </w:p>
        </w:tc>
      </w:tr>
      <w:tr>
        <w:trPr>
          <w:cantSplit/>
        </w:trPr>
        <w:tc>
          <w:tcPr>
            <w:tcW w:type="dxa" w:w="2427"/>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4606"/>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2831"/>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pStyle w:val="Heading1"/>
        <w:keepNext/>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including from the two-year check,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 freeze the groups, model and selection rule, then test them on the next snapshot and the client's own homes.</w:t>
      </w:r>
    </w:p>
    <w:p>
      <w:pPr>
        <w:pStyle w:val="Heading1"/>
        <w:keepNext/>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4">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and analysis results].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5">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(snapshot of 16 June 2026, supplied through the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6">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7">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Loc Le and Qihang Sun co-authored the interim report and presentation before leaving; Qihang Sun also set up the repository.</w:t>
      </w:r>
    </w:p>
    <w:p>
      <w:pPr>
        <w:pStyle w:val="Heading1"/>
        <w:keepNext/>
      </w:pPr>
      <w:r>
        <w:rPr>
          <w:rFonts w:ascii="Arial" w:hAnsi="Arial" w:eastAsia="Arial" w:cs="Arial"/>
        </w:rPr>
        <w:t>Appendix A. Model Details</w:t>
      </w:r>
    </w:p>
    <w:p>
      <w:pPr>
        <w:widowControl/>
        <w:spacing w:after="120" w:line="259" w:lineRule="auto"/>
        <w:jc w:val="left"/>
      </w:pPr>
      <w:r>
        <w:rPr>
          <w:rFonts w:ascii="Arial" w:hAnsi="Arial" w:eastAsia="Arial" w:cs="Arial"/>
        </w:rPr>
        <w:t>The model is a standard logistic regression fitted in R (R Core Team, 2026). Group median prices and the three missing minimum stays are filled from training homes only. The group rate is smoothed as (group successes + 10 × overall rate) / (group homes + 10). Odds are the chance of being busy divided by the chance of not being busy. Table A1 gives each input's odds ratio (mean of 50 test fits) and its range; above 1 means a higher chance of being busy, below 1 a lower one.</w:t>
      </w:r>
    </w:p>
    <w:p>
      <w:pPr>
        <w:keepNext/>
        <w:widowControl/>
        <w:spacing w:after="80" w:before="80" w:line="259" w:lineRule="auto"/>
        <w:jc w:val="left"/>
      </w:pPr>
      <w:r>
        <w:rPr>
          <w:rFonts w:ascii="Arial" w:hAnsi="Arial" w:eastAsia="Arial" w:cs="Arial"/>
          <w:b/>
        </w:rPr>
        <w:t>Table A1. Odds ratios for all inputs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941"/>
        <w:gridCol w:w="1370"/>
        <w:gridCol w:w="2553"/>
      </w:tblGrid>
      <w:tr>
        <w:trPr>
          <w:cantSplit/>
          <w:tblHeader/>
        </w:trPr>
        <w:tc>
          <w:tcPr>
            <w:tcW w:type="dxa" w:w="5941"/>
            <w:shd w:val="clear" w:color="auto" w:fill="E9EEF3"/>
          </w:tcPr>
          <w:p>
            <w:pPr>
              <w:keepNext/>
              <w:spacing w:before="40" w:after="40" w:line="240" w:lineRule="auto"/>
              <w:jc w:val="left"/>
            </w:pPr>
            <w:r>
              <w:rPr>
                <w:rFonts w:ascii="Arial" w:hAnsi="Arial" w:eastAsia="Arial" w:cs="Arial"/>
                <w:b/>
                <w:sz w:val="21"/>
              </w:rPr>
              <w:t>Input (compared with)</w:t>
            </w:r>
          </w:p>
        </w:tc>
        <w:tc>
          <w:tcPr>
            <w:tcW w:type="dxa" w:w="1370"/>
            <w:shd w:val="clear" w:color="auto" w:fill="E9EEF3"/>
          </w:tcPr>
          <w:p>
            <w:pPr>
              <w:keepNext/>
              <w:spacing w:before="40" w:after="40" w:line="240" w:lineRule="auto"/>
              <w:jc w:val="left"/>
            </w:pPr>
            <w:r>
              <w:rPr>
                <w:rFonts w:ascii="Arial" w:hAnsi="Arial" w:eastAsia="Arial" w:cs="Arial"/>
                <w:b/>
                <w:sz w:val="21"/>
              </w:rPr>
              <w:t>Odds ratio</w:t>
            </w:r>
          </w:p>
        </w:tc>
        <w:tc>
          <w:tcPr>
            <w:tcW w:type="dxa" w:w="2553"/>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Accepts one-night stays (no)</w:t>
            </w:r>
          </w:p>
        </w:tc>
        <w:tc>
          <w:tcPr>
            <w:tcW w:type="dxa" w:w="1370"/>
            <w:shd w:val="clear" w:color="auto" w:fill="FFFFFF"/>
          </w:tcPr>
          <w:p>
            <w:pPr>
              <w:keepNext/>
              <w:spacing w:before="40" w:after="40" w:line="240" w:lineRule="auto"/>
              <w:jc w:val="right"/>
            </w:pPr>
            <w:r>
              <w:rPr>
                <w:rFonts w:ascii="Arial" w:hAnsi="Arial" w:eastAsia="Arial" w:cs="Arial"/>
                <w:sz w:val="21"/>
              </w:rPr>
              <w:t>3.27</w:t>
            </w:r>
          </w:p>
        </w:tc>
        <w:tc>
          <w:tcPr>
            <w:tcW w:type="dxa" w:w="2553"/>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Ten more amenities</w:t>
            </w:r>
          </w:p>
        </w:tc>
        <w:tc>
          <w:tcPr>
            <w:tcW w:type="dxa" w:w="1370"/>
            <w:shd w:val="clear" w:color="auto" w:fill="FFFFFF"/>
          </w:tcPr>
          <w:p>
            <w:pPr>
              <w:keepNext/>
              <w:spacing w:before="40" w:after="40" w:line="240" w:lineRule="auto"/>
              <w:jc w:val="right"/>
            </w:pPr>
            <w:r>
              <w:rPr>
                <w:rFonts w:ascii="Arial" w:hAnsi="Arial" w:eastAsia="Arial" w:cs="Arial"/>
                <w:sz w:val="21"/>
              </w:rPr>
              <w:t>1.27</w:t>
            </w:r>
          </w:p>
        </w:tc>
        <w:tc>
          <w:tcPr>
            <w:tcW w:type="dxa" w:w="2553"/>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370"/>
            <w:shd w:val="clear" w:color="auto" w:fill="FFFFFF"/>
          </w:tcPr>
          <w:p>
            <w:pPr>
              <w:keepNext/>
              <w:spacing w:before="40" w:after="40" w:line="240" w:lineRule="auto"/>
              <w:jc w:val="right"/>
            </w:pPr>
            <w:r>
              <w:rPr>
                <w:rFonts w:ascii="Arial" w:hAnsi="Arial" w:eastAsia="Arial" w:cs="Arial"/>
                <w:sz w:val="21"/>
              </w:rPr>
              <w:t>0.88</w:t>
            </w:r>
          </w:p>
        </w:tc>
        <w:tc>
          <w:tcPr>
            <w:tcW w:type="dxa" w:w="2553"/>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Port Phillip (City of Melbourne)</w:t>
            </w:r>
          </w:p>
        </w:tc>
        <w:tc>
          <w:tcPr>
            <w:tcW w:type="dxa" w:w="1370"/>
            <w:shd w:val="clear" w:color="auto" w:fill="FFFFFF"/>
          </w:tcPr>
          <w:p>
            <w:pPr>
              <w:keepNext/>
              <w:spacing w:before="40" w:after="40" w:line="240" w:lineRule="auto"/>
              <w:jc w:val="right"/>
            </w:pPr>
            <w:r>
              <w:rPr>
                <w:rFonts w:ascii="Arial" w:hAnsi="Arial" w:eastAsia="Arial" w:cs="Arial"/>
                <w:sz w:val="21"/>
              </w:rPr>
              <w:t>0.50</w:t>
            </w:r>
          </w:p>
        </w:tc>
        <w:tc>
          <w:tcPr>
            <w:tcW w:type="dxa" w:w="2553"/>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Stonnington (City of Melbourne)</w:t>
            </w:r>
          </w:p>
        </w:tc>
        <w:tc>
          <w:tcPr>
            <w:tcW w:type="dxa" w:w="1370"/>
            <w:shd w:val="clear" w:color="auto" w:fill="FFFFFF"/>
          </w:tcPr>
          <w:p>
            <w:pPr>
              <w:keepNext/>
              <w:spacing w:before="40" w:after="40" w:line="240" w:lineRule="auto"/>
              <w:jc w:val="right"/>
            </w:pPr>
            <w:r>
              <w:rPr>
                <w:rFonts w:ascii="Arial" w:hAnsi="Arial" w:eastAsia="Arial" w:cs="Arial"/>
                <w:sz w:val="21"/>
              </w:rPr>
              <w:t>0.48</w:t>
            </w:r>
          </w:p>
        </w:tc>
        <w:tc>
          <w:tcPr>
            <w:tcW w:type="dxa" w:w="2553"/>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Yarra (City of Melbourne)</w:t>
            </w:r>
          </w:p>
        </w:tc>
        <w:tc>
          <w:tcPr>
            <w:tcW w:type="dxa" w:w="1370"/>
            <w:shd w:val="clear" w:color="auto" w:fill="FFFFFF"/>
          </w:tcPr>
          <w:p>
            <w:pPr>
              <w:keepNext/>
              <w:spacing w:before="40" w:after="40" w:line="240" w:lineRule="auto"/>
              <w:jc w:val="right"/>
            </w:pPr>
            <w:r>
              <w:rPr>
                <w:rFonts w:ascii="Arial" w:hAnsi="Arial" w:eastAsia="Arial" w:cs="Arial"/>
                <w:sz w:val="21"/>
              </w:rPr>
              <w:t>0.83</w:t>
            </w:r>
          </w:p>
        </w:tc>
        <w:tc>
          <w:tcPr>
            <w:tcW w:type="dxa" w:w="2553"/>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Yarra Ranges (City of Melbourne)</w:t>
            </w:r>
          </w:p>
        </w:tc>
        <w:tc>
          <w:tcPr>
            <w:tcW w:type="dxa" w:w="1370"/>
            <w:shd w:val="clear" w:color="auto" w:fill="FFFFFF"/>
          </w:tcPr>
          <w:p>
            <w:pPr>
              <w:keepNext/>
              <w:spacing w:before="40" w:after="40" w:line="240" w:lineRule="auto"/>
              <w:jc w:val="right"/>
            </w:pPr>
            <w:r>
              <w:rPr>
                <w:rFonts w:ascii="Arial" w:hAnsi="Arial" w:eastAsia="Arial" w:cs="Arial"/>
                <w:sz w:val="21"/>
              </w:rPr>
              <w:t>1.22</w:t>
            </w:r>
          </w:p>
        </w:tc>
        <w:tc>
          <w:tcPr>
            <w:tcW w:type="dxa" w:w="2553"/>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Merri-bek (City of Melbourne)</w:t>
            </w:r>
          </w:p>
        </w:tc>
        <w:tc>
          <w:tcPr>
            <w:tcW w:type="dxa" w:w="1370"/>
            <w:shd w:val="clear" w:color="auto" w:fill="FFFFFF"/>
          </w:tcPr>
          <w:p>
            <w:pPr>
              <w:keepNext/>
              <w:spacing w:before="40" w:after="40" w:line="240" w:lineRule="auto"/>
              <w:jc w:val="right"/>
            </w:pPr>
            <w:r>
              <w:rPr>
                <w:rFonts w:ascii="Arial" w:hAnsi="Arial" w:eastAsia="Arial" w:cs="Arial"/>
                <w:sz w:val="21"/>
              </w:rPr>
              <w:t>0.75</w:t>
            </w:r>
          </w:p>
        </w:tc>
        <w:tc>
          <w:tcPr>
            <w:tcW w:type="dxa" w:w="2553"/>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370"/>
            <w:shd w:val="clear" w:color="auto" w:fill="FFFFFF"/>
          </w:tcPr>
          <w:p>
            <w:pPr>
              <w:keepNext/>
              <w:spacing w:before="40" w:after="40" w:line="240" w:lineRule="auto"/>
              <w:jc w:val="right"/>
            </w:pPr>
            <w:r>
              <w:rPr>
                <w:rFonts w:ascii="Arial" w:hAnsi="Arial" w:eastAsia="Arial" w:cs="Arial"/>
                <w:sz w:val="21"/>
              </w:rPr>
              <w:t>0.78</w:t>
            </w:r>
          </w:p>
        </w:tc>
        <w:tc>
          <w:tcPr>
            <w:tcW w:type="dxa" w:w="2553"/>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941"/>
            <w:shd w:val="clear" w:color="auto" w:fill="FFFFFF"/>
          </w:tcPr>
          <w:p>
            <w:pPr>
              <w:keepNext/>
              <w:spacing w:before="40" w:after="40" w:line="240" w:lineRule="auto"/>
              <w:jc w:val="left"/>
            </w:pPr>
            <w:r>
              <w:rPr>
                <w:rFonts w:ascii="Arial" w:hAnsi="Arial" w:eastAsia="Arial" w:cs="Arial"/>
                <w:sz w:val="21"/>
              </w:rPr>
              <w:t>Two bedrooms (one)</w:t>
            </w:r>
          </w:p>
        </w:tc>
        <w:tc>
          <w:tcPr>
            <w:tcW w:type="dxa" w:w="1370"/>
            <w:shd w:val="clear" w:color="auto" w:fill="FFFFFF"/>
          </w:tcPr>
          <w:p>
            <w:pPr>
              <w:keepNext/>
              <w:spacing w:before="40" w:after="40" w:line="240" w:lineRule="auto"/>
              <w:jc w:val="right"/>
            </w:pPr>
            <w:r>
              <w:rPr>
                <w:rFonts w:ascii="Arial" w:hAnsi="Arial" w:eastAsia="Arial" w:cs="Arial"/>
                <w:sz w:val="21"/>
              </w:rPr>
              <w:t>1.16</w:t>
            </w:r>
          </w:p>
        </w:tc>
        <w:tc>
          <w:tcPr>
            <w:tcW w:type="dxa" w:w="2553"/>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941"/>
            <w:shd w:val="clear" w:color="auto" w:fill="FFFFFF"/>
          </w:tcPr>
          <w:p>
            <w:pPr>
              <w:spacing w:before="40" w:after="40" w:line="240" w:lineRule="auto"/>
              <w:jc w:val="left"/>
            </w:pPr>
            <w:r>
              <w:rPr>
                <w:rFonts w:ascii="Arial" w:hAnsi="Arial" w:eastAsia="Arial" w:cs="Arial"/>
                <w:sz w:val="21"/>
              </w:rPr>
              <w:t>Three bedrooms (one)</w:t>
            </w:r>
          </w:p>
        </w:tc>
        <w:tc>
          <w:tcPr>
            <w:tcW w:type="dxa" w:w="1370"/>
            <w:shd w:val="clear" w:color="auto" w:fill="FFFFFF"/>
          </w:tcPr>
          <w:p>
            <w:pPr>
              <w:spacing w:before="40" w:after="40" w:line="240" w:lineRule="auto"/>
              <w:jc w:val="right"/>
            </w:pPr>
            <w:r>
              <w:rPr>
                <w:rFonts w:ascii="Arial" w:hAnsi="Arial" w:eastAsia="Arial" w:cs="Arial"/>
                <w:sz w:val="21"/>
              </w:rPr>
              <w:t>1.31</w:t>
            </w:r>
          </w:p>
        </w:tc>
        <w:tc>
          <w:tcPr>
            <w:tcW w:type="dxa" w:w="2553"/>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hyperlink" Target="https://www.consumer.vic.gov.au/housing/owners-corporations/rules/making-rules-to-ban-short-stay-accommodation" TargetMode="External"/><Relationship Id="rId25" Type="http://schemas.openxmlformats.org/officeDocument/2006/relationships/hyperlink" Target="https://insideairbnb.com/data-assumptions/" TargetMode="External"/><Relationship Id="rId26" Type="http://schemas.openxmlformats.org/officeDocument/2006/relationships/hyperlink" Target="https://www.R-project.org/" TargetMode="External"/><Relationship Id="rId27"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