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for Airbnb short stays. Rent and setup costs come before guest income, so a poor lease ties up scarce startup funds.</w:t>
      </w:r>
    </w:p>
    <w:p>
      <w:pPr>
        <w:widowControl/>
        <w:spacing w:after="120" w:line="259" w:lineRule="auto"/>
        <w:jc w:val="left"/>
      </w:pPr>
      <w:r>
        <w:rPr>
          <w:rFonts w:ascii="Arial" w:hAnsi="Arial" w:eastAsia="Arial" w:cs="Arial"/>
        </w:rPr>
        <w:t>We recommend City of Melbourne two- and three-bedroom apartments first, followed by Yarra Ranges three-bedroom houses and townhouses. These groups had the highest shares of homes with strong guest activity. Their typical homes brought in an estimated AUD 30,600–48,600 a year before costs, against AUD 24,700 across the study.</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unlisted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(reaches our target)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widowControl/>
        <w:spacing w:after="120" w:line="259" w:lineRule="auto"/>
        <w:jc w:val="left"/>
      </w:pPr>
      <w:r>
        <w:rPr>
          <w:rFonts w:ascii="Arial" w:hAnsi="Arial" w:eastAsia="Arial" w:cs="Arial"/>
        </w:rPr>
        <w:t>Since the interim report, we replaced its random forest with an explainable logistic regression and added tests within the leading groups.</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standardized missing entries and counted amenities. We rebuilt annual review counts from review dates over the exact 365 days before collection;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prices of AUD 30–1,500, excluding unpriced listings and extreme prices. Eligible homes are entire rental units and condos (</w:t>
      </w:r>
      <w:r>
        <w:rPr>
          <w:rFonts w:ascii="Arial" w:hAnsi="Arial" w:eastAsia="Arial" w:cs="Arial"/>
          <w:i/>
        </w:rPr>
        <w:t>apartments</w:t>
      </w:r>
      <w:r>
        <w:rPr>
          <w:rFonts w:ascii="Arial" w:hAnsi="Arial" w:eastAsia="Arial" w:cs="Arial"/>
        </w:rPr>
        <w:t>) or entire homes and townhouses (</w:t>
      </w:r>
      <w:r>
        <w:rPr>
          <w:rFonts w:ascii="Arial" w:hAnsi="Arial" w:eastAsia="Arial" w:cs="Arial"/>
          <w:i/>
        </w:rPr>
        <w:t>houses/townhouses</w:t>
      </w:r>
      <w:r>
        <w:rPr>
          <w:rFonts w:ascii="Arial" w:hAnsi="Arial" w:eastAsia="Arial" w:cs="Arial"/>
        </w:rPr>
        <w:t>), with one to three bedrooms and a first review at least a year before collection. This provides a full year of recorded review history.</w:t>
      </w:r>
    </w:p>
    <w:p>
      <w:pPr>
        <w:widowControl/>
        <w:spacing w:after="120" w:line="259" w:lineRule="auto"/>
        <w:jc w:val="left"/>
      </w:pPr>
      <w:r>
        <w:rPr>
          <w:rFonts w:ascii="Arial" w:hAnsi="Arial" w:eastAsia="Arial" w:cs="Arial"/>
        </w:rPr>
        <w:t>We set aside about one in five hosts from the eligible sample (1,342 homes) to set an independent target. Their 906 homes in the final groups set the threshold: a quarter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252"/>
        <w:gridCol w:w="1613"/>
      </w:tblGrid>
      <w:tr>
        <w:trPr>
          <w:cantSplit/>
          <w:tblHeader/>
        </w:trPr>
        <w:tc>
          <w:tcPr>
            <w:tcW w:type="dxa" w:w="8252"/>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613"/>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613"/>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613"/>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613"/>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613"/>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613"/>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613"/>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252"/>
            <w:vAlign w:val="center"/>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613"/>
            <w:vAlign w:val="center"/>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252"/>
            <w:vAlign w:val="center"/>
            <w:shd w:val="clear" w:color="auto" w:fill="FFFFFF"/>
          </w:tcPr>
          <w:p>
            <w:pPr>
              <w:spacing w:before="40" w:after="40" w:line="240" w:lineRule="auto"/>
              <w:jc w:val="left"/>
            </w:pPr>
            <w:r>
              <w:rPr>
                <w:rFonts w:ascii="Arial" w:hAnsi="Arial" w:eastAsia="Arial" w:cs="Arial"/>
                <w:sz w:val="21"/>
              </w:rPr>
              <w:t>Reference homes in these groups (from 1,342; target only)</w:t>
            </w:r>
          </w:p>
        </w:tc>
        <w:tc>
          <w:tcPr>
            <w:tcW w:type="dxa" w:w="1613"/>
            <w:vAlign w:val="center"/>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drops 3,796 residential listings (14,895 minus 11,099): 77.8%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combines six inputs into a score and converts it into a chance of being busy, from 0% to 100% (R Core Team, 2026). Table 2 lists the outcome and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run by the same host can perform alike, so they stay together in every test. Each 10% price step and ten extra amenities receive a fixed weight in the score. Checks for overlapping inputs and curved relationships are in Appendix A.</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in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median home received 15 reviews, a quarter (981 homes, 25.3%)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12"/>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02"/>
            <w:vAlign w:val="center"/>
            <w:shd w:val="clear" w:color="auto" w:fill="E9EEF3"/>
          </w:tcPr>
          <w:p>
            <w:pPr>
              <w:keepNext/>
              <w:spacing w:before="40" w:after="40" w:line="240" w:lineRule="auto"/>
              <w:jc w:val="left"/>
            </w:pPr>
            <w:r>
              <w:rPr>
                <w:rFonts w:ascii="Arial" w:hAnsi="Arial" w:eastAsia="Arial" w:cs="Arial"/>
                <w:b/>
                <w:sz w:val="21"/>
              </w:rPr>
              <w:t>Below 30</w:t>
            </w:r>
          </w:p>
        </w:tc>
        <w:tc>
          <w:tcPr>
            <w:tcW w:type="dxa" w:w="1402"/>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Homes</w:t>
            </w:r>
          </w:p>
        </w:tc>
        <w:tc>
          <w:tcPr>
            <w:tcW w:type="dxa" w:w="1812"/>
            <w:vAlign w:val="center"/>
            <w:shd w:val="clear" w:color="auto" w:fill="FFFFFF"/>
          </w:tcPr>
          <w:p>
            <w:pPr>
              <w:keepNext/>
              <w:spacing w:before="40" w:after="40" w:line="240" w:lineRule="auto"/>
              <w:jc w:val="right"/>
            </w:pPr>
            <w:r>
              <w:rPr>
                <w:rFonts w:ascii="Arial" w:hAnsi="Arial" w:eastAsia="Arial" w:cs="Arial"/>
                <w:sz w:val="21"/>
              </w:rPr>
              <w:t>981</w:t>
            </w:r>
          </w:p>
        </w:tc>
        <w:tc>
          <w:tcPr>
            <w:tcW w:type="dxa" w:w="1402"/>
            <w:vAlign w:val="center"/>
            <w:shd w:val="clear" w:color="auto" w:fill="FFFFFF"/>
          </w:tcPr>
          <w:p>
            <w:pPr>
              <w:keepNext/>
              <w:spacing w:before="40" w:after="40" w:line="240" w:lineRule="auto"/>
              <w:jc w:val="right"/>
            </w:pPr>
            <w:r>
              <w:rPr>
                <w:rFonts w:ascii="Arial" w:hAnsi="Arial" w:eastAsia="Arial" w:cs="Arial"/>
                <w:sz w:val="21"/>
              </w:rPr>
              <w:t>2,892</w:t>
            </w:r>
          </w:p>
        </w:tc>
        <w:tc>
          <w:tcPr>
            <w:tcW w:type="dxa" w:w="1402"/>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vAlign w:val="center"/>
            <w:shd w:val="clear" w:color="auto" w:fill="FFFFFF"/>
          </w:tcPr>
          <w:p>
            <w:pPr>
              <w:keepNext/>
              <w:spacing w:before="40" w:after="40" w:line="240" w:lineRule="auto"/>
              <w:jc w:val="right"/>
            </w:pPr>
            <w:r>
              <w:rPr>
                <w:rFonts w:ascii="Arial" w:hAnsi="Arial" w:eastAsia="Arial" w:cs="Arial"/>
                <w:sz w:val="21"/>
              </w:rPr>
              <w:t>254</w:t>
            </w:r>
          </w:p>
        </w:tc>
        <w:tc>
          <w:tcPr>
            <w:tcW w:type="dxa" w:w="1402"/>
            <w:vAlign w:val="center"/>
            <w:shd w:val="clear" w:color="auto" w:fill="FFFFFF"/>
          </w:tcPr>
          <w:p>
            <w:pPr>
              <w:keepNext/>
              <w:spacing w:before="40" w:after="40" w:line="240" w:lineRule="auto"/>
              <w:jc w:val="right"/>
            </w:pPr>
            <w:r>
              <w:rPr>
                <w:rFonts w:ascii="Arial" w:hAnsi="Arial" w:eastAsia="Arial" w:cs="Arial"/>
                <w:sz w:val="21"/>
              </w:rPr>
              <w:t>266</w:t>
            </w:r>
          </w:p>
        </w:tc>
        <w:tc>
          <w:tcPr>
            <w:tcW w:type="dxa" w:w="1402"/>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amenity count</w:t>
            </w:r>
          </w:p>
        </w:tc>
        <w:tc>
          <w:tcPr>
            <w:tcW w:type="dxa" w:w="1812"/>
            <w:vAlign w:val="center"/>
            <w:shd w:val="clear" w:color="auto" w:fill="FFFFFF"/>
          </w:tcPr>
          <w:p>
            <w:pPr>
              <w:keepNext/>
              <w:spacing w:before="40" w:after="40" w:line="240" w:lineRule="auto"/>
              <w:jc w:val="right"/>
            </w:pPr>
            <w:r>
              <w:rPr>
                <w:rFonts w:ascii="Arial" w:hAnsi="Arial" w:eastAsia="Arial" w:cs="Arial"/>
                <w:sz w:val="21"/>
              </w:rPr>
              <w:t>44</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vAlign w:val="center"/>
            <w:shd w:val="clear" w:color="auto" w:fill="FFFFFF"/>
          </w:tcPr>
          <w:p>
            <w:pPr>
              <w:keepNext/>
              <w:spacing w:before="40" w:after="40" w:line="240" w:lineRule="auto"/>
              <w:jc w:val="right"/>
            </w:pPr>
            <w:r>
              <w:rPr>
                <w:rFonts w:ascii="Arial" w:hAnsi="Arial" w:eastAsia="Arial" w:cs="Arial"/>
                <w:sz w:val="21"/>
              </w:rPr>
              <w:t>67.7%</w:t>
            </w:r>
          </w:p>
        </w:tc>
        <w:tc>
          <w:tcPr>
            <w:tcW w:type="dxa" w:w="1402"/>
            <w:vAlign w:val="center"/>
            <w:shd w:val="clear" w:color="auto" w:fill="FFFFFF"/>
          </w:tcPr>
          <w:p>
            <w:pPr>
              <w:keepNext/>
              <w:spacing w:before="40" w:after="40" w:line="240" w:lineRule="auto"/>
              <w:jc w:val="right"/>
            </w:pPr>
            <w:r>
              <w:rPr>
                <w:rFonts w:ascii="Arial" w:hAnsi="Arial" w:eastAsia="Arial" w:cs="Arial"/>
                <w:sz w:val="21"/>
              </w:rPr>
              <w:t>37.5%</w:t>
            </w:r>
          </w:p>
        </w:tc>
        <w:tc>
          <w:tcPr>
            <w:tcW w:type="dxa" w:w="1402"/>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vAlign w:val="center"/>
            <w:shd w:val="clear" w:color="auto" w:fill="FFFFFF"/>
          </w:tcPr>
          <w:p>
            <w:pPr>
              <w:keepNext/>
              <w:spacing w:before="40" w:after="40" w:line="240" w:lineRule="auto"/>
              <w:jc w:val="right"/>
            </w:pPr>
            <w:r>
              <w:rPr>
                <w:rFonts w:ascii="Arial" w:hAnsi="Arial" w:eastAsia="Arial" w:cs="Arial"/>
                <w:sz w:val="21"/>
              </w:rPr>
              <w:t>0.0%</w:t>
            </w:r>
          </w:p>
        </w:tc>
        <w:tc>
          <w:tcPr>
            <w:tcW w:type="dxa" w:w="1402"/>
            <w:vAlign w:val="center"/>
            <w:shd w:val="clear" w:color="auto" w:fill="FFFFFF"/>
          </w:tcPr>
          <w:p>
            <w:pPr>
              <w:keepNext/>
              <w:spacing w:before="40" w:after="40" w:line="240" w:lineRule="auto"/>
              <w:jc w:val="right"/>
            </w:pPr>
            <w:r>
              <w:rPr>
                <w:rFonts w:ascii="Arial" w:hAnsi="Arial" w:eastAsia="Arial" w:cs="Arial"/>
                <w:sz w:val="21"/>
              </w:rPr>
              <w:t>5.7%</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vAlign w:val="center"/>
            <w:shd w:val="clear" w:color="auto" w:fill="FFFFFF"/>
          </w:tcPr>
          <w:p>
            <w:pPr>
              <w:keepNext/>
              <w:spacing w:before="40" w:after="40" w:line="240" w:lineRule="auto"/>
              <w:jc w:val="right"/>
            </w:pPr>
            <w:r>
              <w:rPr>
                <w:rFonts w:ascii="Arial" w:hAnsi="Arial" w:eastAsia="Arial" w:cs="Arial"/>
                <w:sz w:val="21"/>
              </w:rPr>
              <w:t>76.9%</w:t>
            </w:r>
          </w:p>
        </w:tc>
        <w:tc>
          <w:tcPr>
            <w:tcW w:type="dxa" w:w="1402"/>
            <w:vAlign w:val="center"/>
            <w:shd w:val="clear" w:color="auto" w:fill="FFFFFF"/>
          </w:tcPr>
          <w:p>
            <w:pPr>
              <w:keepNext/>
              <w:spacing w:before="40" w:after="40" w:line="240" w:lineRule="auto"/>
              <w:jc w:val="right"/>
            </w:pPr>
            <w:r>
              <w:rPr>
                <w:rFonts w:ascii="Arial" w:hAnsi="Arial" w:eastAsia="Arial" w:cs="Arial"/>
                <w:sz w:val="21"/>
              </w:rPr>
              <w:t>59.6%</w:t>
            </w:r>
          </w:p>
        </w:tc>
        <w:tc>
          <w:tcPr>
            <w:tcW w:type="dxa" w:w="1402"/>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vAlign w:val="center"/>
            <w:shd w:val="clear" w:color="auto" w:fill="FFFFFF"/>
          </w:tcPr>
          <w:p>
            <w:pPr>
              <w:keepNext/>
              <w:spacing w:before="40" w:after="40" w:line="240" w:lineRule="auto"/>
              <w:jc w:val="right"/>
            </w:pPr>
            <w:r>
              <w:rPr>
                <w:rFonts w:ascii="Arial" w:hAnsi="Arial" w:eastAsia="Arial" w:cs="Arial"/>
                <w:sz w:val="21"/>
              </w:rPr>
              <w:t>255</w:t>
            </w:r>
          </w:p>
        </w:tc>
        <w:tc>
          <w:tcPr>
            <w:tcW w:type="dxa" w:w="1402"/>
            <w:vAlign w:val="center"/>
            <w:shd w:val="clear" w:color="auto" w:fill="FFFFFF"/>
          </w:tcPr>
          <w:p>
            <w:pPr>
              <w:keepNext/>
              <w:spacing w:before="40" w:after="40" w:line="240" w:lineRule="auto"/>
              <w:jc w:val="right"/>
            </w:pPr>
            <w:r>
              <w:rPr>
                <w:rFonts w:ascii="Arial" w:hAnsi="Arial" w:eastAsia="Arial" w:cs="Arial"/>
                <w:sz w:val="21"/>
              </w:rPr>
              <w:t>60</w:t>
            </w:r>
          </w:p>
        </w:tc>
        <w:tc>
          <w:tcPr>
            <w:tcW w:type="dxa" w:w="1402"/>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vAlign w:val="center"/>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vAlign w:val="center"/>
            <w:shd w:val="clear" w:color="auto" w:fill="FFFFFF"/>
          </w:tcPr>
          <w:p>
            <w:pPr>
              <w:spacing w:before="40" w:after="40" w:line="240" w:lineRule="auto"/>
              <w:jc w:val="right"/>
            </w:pPr>
            <w:r>
              <w:rPr>
                <w:rFonts w:ascii="Arial" w:hAnsi="Arial" w:eastAsia="Arial" w:cs="Arial"/>
                <w:sz w:val="21"/>
              </w:rPr>
              <w:t>58,400</w:t>
            </w:r>
          </w:p>
        </w:tc>
        <w:tc>
          <w:tcPr>
            <w:tcW w:type="dxa" w:w="1402"/>
            <w:vAlign w:val="center"/>
            <w:shd w:val="clear" w:color="auto" w:fill="FFFFFF"/>
          </w:tcPr>
          <w:p>
            <w:pPr>
              <w:spacing w:before="40" w:after="40" w:line="240" w:lineRule="auto"/>
              <w:jc w:val="right"/>
            </w:pPr>
            <w:r>
              <w:rPr>
                <w:rFonts w:ascii="Arial" w:hAnsi="Arial" w:eastAsia="Arial" w:cs="Arial"/>
                <w:sz w:val="21"/>
              </w:rPr>
              <w:t>16,600</w:t>
            </w:r>
          </w:p>
        </w:tc>
        <w:tc>
          <w:tcPr>
            <w:tcW w:type="dxa" w:w="1402"/>
            <w:vAlign w:val="center"/>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with similar amenity counts, but far more often accepted one-night stays and sat in the City of Melbourne. Their median estimated revenue was 3.5 times higher (AUD 58,400 versus 16,600), reflecting its review-based formula (Table 3).</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below 30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64%, a less certain second option.</w:t>
      </w:r>
    </w:p>
    <w:p>
      <w:pPr>
        <w:widowControl/>
        <w:spacing w:after="120" w:line="259" w:lineRule="auto"/>
        <w:jc w:val="left"/>
      </w:pPr>
      <w:r>
        <w:rPr>
          <w:rFonts w:ascii="Arial" w:hAnsi="Arial" w:eastAsia="Arial" w:cs="Arial"/>
          <w:b/>
        </w:rPr>
        <w:t>When the rankings differ.</w:t>
      </w:r>
      <w:r>
        <w:rPr>
          <w:rFonts w:ascii="Arial" w:hAnsi="Arial" w:eastAsia="Arial" w:cs="Arial"/>
        </w:rPr>
        <w:t xml:space="preserve"> Table 4 compares </w:t>
      </w:r>
      <w:r>
        <w:rPr>
          <w:rFonts w:ascii="Arial" w:hAnsi="Arial" w:eastAsia="Arial" w:cs="Arial"/>
          <w:i/>
        </w:rPr>
        <w:t>all-home</w:t>
      </w:r>
      <w:r>
        <w:rPr>
          <w:rFonts w:ascii="Arial" w:hAnsi="Arial" w:eastAsia="Arial" w:cs="Arial"/>
        </w:rPr>
        <w:t xml:space="preserve"> medians with revenue medians for homes below 30 reviews. Yarra Ranges houses rank second on revenue and City two-bedroom apartments fifth, mainly because the houses charge more a night (AUD 426 against 285). With rents unknown, activity guides the search and revenue benchmarks test each lease (Recommendation 3).</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 xml:space="preserve">Picking a quarter of each priority group, the full model found busy homes </w:t>
      </w:r>
      <w:r>
        <w:rPr>
          <w:rFonts w:ascii="Arial" w:hAnsi="Arial" w:eastAsia="Arial" w:cs="Arial"/>
          <w:b/>
        </w:rPr>
        <w:t>49.6%</w:t>
      </w:r>
      <w:r>
        <w:rPr>
          <w:rFonts w:ascii="Arial" w:hAnsi="Arial" w:eastAsia="Arial" w:cs="Arial"/>
        </w:rPr>
        <w:t xml:space="preserve"> of the time, against </w:t>
      </w:r>
      <w:r>
        <w:rPr>
          <w:rFonts w:ascii="Arial" w:hAnsi="Arial" w:eastAsia="Arial" w:cs="Arial"/>
          <w:b/>
        </w:rPr>
        <w:t>38.6%</w:t>
      </w:r>
      <w:r>
        <w:rPr>
          <w:rFonts w:ascii="Arial" w:hAnsi="Arial" w:eastAsia="Arial" w:cs="Arial"/>
        </w:rPr>
        <w:t xml:space="preserve"> for the reduced model and </w:t>
      </w:r>
      <w:r>
        <w:rPr>
          <w:rFonts w:ascii="Arial" w:hAnsi="Arial" w:eastAsia="Arial" w:cs="Arial"/>
          <w:b/>
        </w:rPr>
        <w:t>32.4%</w:t>
      </w:r>
      <w:r>
        <w:rPr>
          <w:rFonts w:ascii="Arial" w:hAnsi="Arial" w:eastAsia="Arial" w:cs="Arial"/>
        </w:rPr>
        <w:t xml:space="preserve"> for random picking (Figure 3). That is five busy homes in ten, not three. Price and minimum stay carry most of this gain (+11.0 points).</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 xml:space="preserve">The full model beat random picking in </w:t>
      </w:r>
      <w:r>
        <w:rPr>
          <w:rFonts w:ascii="Arial" w:hAnsi="Arial" w:eastAsia="Arial" w:cs="Arial"/>
          <w:b/>
        </w:rPr>
        <w:t>46 of the 50 tests</w:t>
      </w:r>
      <w:r>
        <w:rPr>
          <w:rFonts w:ascii="Arial" w:hAnsi="Arial" w:eastAsia="Arial" w:cs="Arial"/>
        </w:rPr>
        <w:t xml:space="preserve">; in nine tests out of ten its gain lay between </w:t>
      </w:r>
      <w:r>
        <w:rPr>
          <w:rFonts w:ascii="Arial" w:hAnsi="Arial" w:eastAsia="Arial" w:cs="Arial"/>
          <w:b/>
        </w:rPr>
        <w:t>−1 and +32 percentage points</w:t>
      </w:r>
      <w:r>
        <w:rPr>
          <w:rFonts w:ascii="Arial" w:hAnsi="Arial" w:eastAsia="Arial" w:cs="Arial"/>
        </w:rPr>
        <w:t>. Within each group, the reduced model ranks by amenities alone. Its City three-bedroom hit rate was 33.9%, below random picking at 35.9%. We therefore use group priorities for unlisted rentals, where model performance remains untested.</w:t>
      </w:r>
    </w:p>
    <w:p>
      <w:pPr>
        <w:widowControl/>
        <w:spacing w:after="120" w:line="259" w:lineRule="auto"/>
        <w:jc w:val="left"/>
      </w:pPr>
      <w:r>
        <w:rPr>
          <w:rFonts w:ascii="Arial" w:hAnsi="Arial" w:eastAsia="Arial" w:cs="Arial"/>
        </w:rPr>
        <w:t>The 49.6% result comes from picking within three priority groups over 50 tests. Table 5 instead pools predictions from five separate test groups, covering all 3,873 study homes, and picks one combined top-quarter list (969 homes). Its hit rate is 43.7% (precision), against 25.3% overall, and it finds 43.1% of busy homes (recall). Accuracy is 71.5%; calling every home "below target" scores 74.7% but finds none.</w:t>
      </w:r>
    </w:p>
    <w:p>
      <w:pPr>
        <w:keepNext/>
        <w:widowControl/>
        <w:spacing w:after="80" w:before="80" w:line="259" w:lineRule="auto"/>
        <w:jc w:val="left"/>
      </w:pPr>
      <w:r>
        <w:rPr>
          <w:rFonts w:ascii="Arial" w:hAnsi="Arial" w:eastAsia="Arial" w:cs="Arial"/>
          <w:b/>
        </w:rPr>
        <w:t>Table 5. Full-sample confusion matrix: top quarter picked across all 14 study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497"/>
        <w:gridCol w:w="1378"/>
        <w:gridCol w:w="2067"/>
        <w:gridCol w:w="1922"/>
      </w:tblGrid>
      <w:tr>
        <w:trPr>
          <w:cantSplit/>
          <w:tblHeader/>
        </w:trPr>
        <w:tc>
          <w:tcPr>
            <w:tcW w:type="dxa" w:w="4497"/>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378"/>
            <w:vAlign w:val="center"/>
            <w:shd w:val="clear" w:color="auto" w:fill="E9EEF3"/>
          </w:tcPr>
          <w:p>
            <w:pPr>
              <w:keepNext/>
              <w:spacing w:before="40" w:after="40" w:line="240" w:lineRule="auto"/>
              <w:jc w:val="left"/>
            </w:pPr>
            <w:r>
              <w:rPr>
                <w:rFonts w:ascii="Arial" w:hAnsi="Arial" w:eastAsia="Arial" w:cs="Arial"/>
                <w:b/>
                <w:sz w:val="21"/>
              </w:rPr>
              <w:t>Busy</w:t>
            </w:r>
          </w:p>
        </w:tc>
        <w:tc>
          <w:tcPr>
            <w:tcW w:type="dxa" w:w="2067"/>
            <w:vAlign w:val="center"/>
            <w:shd w:val="clear" w:color="auto" w:fill="E9EEF3"/>
          </w:tcPr>
          <w:p>
            <w:pPr>
              <w:keepNext/>
              <w:spacing w:before="40" w:after="40" w:line="240" w:lineRule="auto"/>
              <w:jc w:val="left"/>
            </w:pPr>
            <w:r>
              <w:rPr>
                <w:rFonts w:ascii="Arial" w:hAnsi="Arial" w:eastAsia="Arial" w:cs="Arial"/>
                <w:b/>
                <w:sz w:val="21"/>
              </w:rPr>
              <w:t>Below target</w:t>
            </w:r>
          </w:p>
        </w:tc>
        <w:tc>
          <w:tcPr>
            <w:tcW w:type="dxa" w:w="1922"/>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497"/>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378"/>
            <w:vAlign w:val="center"/>
            <w:shd w:val="clear" w:color="auto" w:fill="FFFFFF"/>
          </w:tcPr>
          <w:p>
            <w:pPr>
              <w:keepNext/>
              <w:spacing w:before="40" w:after="40" w:line="240" w:lineRule="auto"/>
              <w:jc w:val="right"/>
            </w:pPr>
            <w:r>
              <w:rPr>
                <w:rFonts w:ascii="Arial" w:hAnsi="Arial" w:eastAsia="Arial" w:cs="Arial"/>
                <w:sz w:val="21"/>
              </w:rPr>
              <w:t>423</w:t>
            </w:r>
          </w:p>
        </w:tc>
        <w:tc>
          <w:tcPr>
            <w:tcW w:type="dxa" w:w="2067"/>
            <w:vAlign w:val="center"/>
            <w:shd w:val="clear" w:color="auto" w:fill="FFFFFF"/>
          </w:tcPr>
          <w:p>
            <w:pPr>
              <w:keepNext/>
              <w:spacing w:before="40" w:after="40" w:line="240" w:lineRule="auto"/>
              <w:jc w:val="right"/>
            </w:pPr>
            <w:r>
              <w:rPr>
                <w:rFonts w:ascii="Arial" w:hAnsi="Arial" w:eastAsia="Arial" w:cs="Arial"/>
                <w:sz w:val="21"/>
              </w:rPr>
              <w:t>546</w:t>
            </w:r>
          </w:p>
        </w:tc>
        <w:tc>
          <w:tcPr>
            <w:tcW w:type="dxa" w:w="1922"/>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497"/>
            <w:vAlign w:val="center"/>
            <w:shd w:val="clear" w:color="auto" w:fill="FFFFFF"/>
          </w:tcPr>
          <w:p>
            <w:pPr>
              <w:spacing w:before="40" w:after="40" w:line="240" w:lineRule="auto"/>
              <w:jc w:val="left"/>
            </w:pPr>
            <w:r>
              <w:rPr>
                <w:rFonts w:ascii="Arial" w:hAnsi="Arial" w:eastAsia="Arial" w:cs="Arial"/>
                <w:sz w:val="21"/>
              </w:rPr>
              <w:t>Not picked</w:t>
            </w:r>
          </w:p>
        </w:tc>
        <w:tc>
          <w:tcPr>
            <w:tcW w:type="dxa" w:w="1378"/>
            <w:vAlign w:val="center"/>
            <w:shd w:val="clear" w:color="auto" w:fill="FFFFFF"/>
          </w:tcPr>
          <w:p>
            <w:pPr>
              <w:spacing w:before="40" w:after="40" w:line="240" w:lineRule="auto"/>
              <w:jc w:val="right"/>
            </w:pPr>
            <w:r>
              <w:rPr>
                <w:rFonts w:ascii="Arial" w:hAnsi="Arial" w:eastAsia="Arial" w:cs="Arial"/>
                <w:sz w:val="21"/>
              </w:rPr>
              <w:t>558</w:t>
            </w:r>
          </w:p>
        </w:tc>
        <w:tc>
          <w:tcPr>
            <w:tcW w:type="dxa" w:w="2067"/>
            <w:vAlign w:val="center"/>
            <w:shd w:val="clear" w:color="auto" w:fill="FFFFFF"/>
          </w:tcPr>
          <w:p>
            <w:pPr>
              <w:spacing w:before="40" w:after="40" w:line="240" w:lineRule="auto"/>
              <w:jc w:val="right"/>
            </w:pPr>
            <w:r>
              <w:rPr>
                <w:rFonts w:ascii="Arial" w:hAnsi="Arial" w:eastAsia="Arial" w:cs="Arial"/>
                <w:sz w:val="21"/>
              </w:rPr>
              <w:t>2,346</w:t>
            </w:r>
          </w:p>
        </w:tc>
        <w:tc>
          <w:tcPr>
            <w:tcW w:type="dxa" w:w="1922"/>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 xml:space="preserve">For a typical City two-bedroom apartment, the model fitted to all study homes gives a </w:t>
      </w:r>
      <w:r>
        <w:rPr>
          <w:rFonts w:ascii="Arial" w:hAnsi="Arial" w:eastAsia="Arial" w:cs="Arial"/>
          <w:b/>
        </w:rPr>
        <w:t>42% chance</w:t>
      </w:r>
      <w:r>
        <w:rPr>
          <w:rFonts w:ascii="Arial" w:hAnsi="Arial" w:eastAsia="Arial" w:cs="Arial"/>
        </w:rPr>
        <w:t xml:space="preserve"> of being busy with one-night stays and </w:t>
      </w:r>
      <w:r>
        <w:rPr>
          <w:rFonts w:ascii="Arial" w:hAnsi="Arial" w:eastAsia="Arial" w:cs="Arial"/>
          <w:b/>
        </w:rPr>
        <w:t>18%</w:t>
      </w:r>
      <w:r>
        <w:rPr>
          <w:rFonts w:ascii="Arial" w:hAnsi="Arial" w:eastAsia="Arial" w:cs="Arial"/>
        </w:rPr>
        <w:t xml:space="preserve"> without. From 42%, ten more amenities give </w:t>
      </w:r>
      <w:r>
        <w:rPr>
          <w:rFonts w:ascii="Arial" w:hAnsi="Arial" w:eastAsia="Arial" w:cs="Arial"/>
          <w:b/>
        </w:rPr>
        <w:t>48%</w:t>
      </w:r>
      <w:r>
        <w:rPr>
          <w:rFonts w:ascii="Arial" w:hAnsi="Arial" w:eastAsia="Arial" w:cs="Arial"/>
        </w:rPr>
        <w:t xml:space="preserve">, while a 20% price premium gives </w:t>
      </w:r>
      <w:r>
        <w:rPr>
          <w:rFonts w:ascii="Arial" w:hAnsi="Arial" w:eastAsia="Arial" w:cs="Arial"/>
          <w:b/>
        </w:rPr>
        <w:t>36%</w:t>
      </w:r>
      <w:r>
        <w:rPr>
          <w:rFonts w:ascii="Arial" w:hAnsi="Arial" w:eastAsia="Arial" w:cs="Arial"/>
        </w:rPr>
        <w:t>. These examples explain the ranking; changing settings alone does not establish an increase in bookings. Table A1 reports model weights across the 50 training fits.</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vAlign w:val="center"/>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vAlign w:val="center"/>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vAlign w:val="center"/>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vAlign w:val="center"/>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10%</w:t>
            </w:r>
          </w:p>
        </w:tc>
        <w:tc>
          <w:tcPr>
            <w:tcW w:type="dxa" w:w="2393"/>
            <w:vAlign w:val="center"/>
            <w:shd w:val="clear" w:color="auto" w:fill="FFFFFF"/>
          </w:tcPr>
          <w:p>
            <w:pPr>
              <w:keepNext/>
              <w:spacing w:before="40" w:after="40" w:line="240" w:lineRule="auto"/>
              <w:jc w:val="right"/>
            </w:pPr>
            <w:r>
              <w:rPr>
                <w:rFonts w:ascii="Arial" w:hAnsi="Arial" w:eastAsia="Arial" w:cs="Arial"/>
                <w:sz w:val="21"/>
              </w:rPr>
              <w:t>54.5%</w:t>
            </w:r>
          </w:p>
        </w:tc>
        <w:tc>
          <w:tcPr>
            <w:tcW w:type="dxa" w:w="2108"/>
            <w:vAlign w:val="center"/>
            <w:shd w:val="clear" w:color="auto" w:fill="FFFFFF"/>
          </w:tcPr>
          <w:p>
            <w:pPr>
              <w:keepNext/>
              <w:spacing w:before="40" w:after="40" w:line="240" w:lineRule="auto"/>
              <w:jc w:val="right"/>
            </w:pPr>
            <w:r>
              <w:rPr>
                <w:rFonts w:ascii="Arial" w:hAnsi="Arial" w:eastAsia="Arial" w:cs="Arial"/>
                <w:sz w:val="21"/>
              </w:rPr>
              <w:t>17.1%</w:t>
            </w:r>
          </w:p>
        </w:tc>
        <w:tc>
          <w:tcPr>
            <w:tcW w:type="dxa" w:w="3111"/>
            <w:vAlign w:val="center"/>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25%</w:t>
            </w:r>
          </w:p>
        </w:tc>
        <w:tc>
          <w:tcPr>
            <w:tcW w:type="dxa" w:w="2393"/>
            <w:vAlign w:val="center"/>
            <w:shd w:val="clear" w:color="auto" w:fill="FFFFFF"/>
          </w:tcPr>
          <w:p>
            <w:pPr>
              <w:keepNext/>
              <w:spacing w:before="40" w:after="40" w:line="240" w:lineRule="auto"/>
              <w:jc w:val="right"/>
            </w:pPr>
            <w:r>
              <w:rPr>
                <w:rFonts w:ascii="Arial" w:hAnsi="Arial" w:eastAsia="Arial" w:cs="Arial"/>
                <w:sz w:val="21"/>
              </w:rPr>
              <w:t>49.6%</w:t>
            </w:r>
          </w:p>
        </w:tc>
        <w:tc>
          <w:tcPr>
            <w:tcW w:type="dxa" w:w="2108"/>
            <w:vAlign w:val="center"/>
            <w:shd w:val="clear" w:color="auto" w:fill="FFFFFF"/>
          </w:tcPr>
          <w:p>
            <w:pPr>
              <w:keepNext/>
              <w:spacing w:before="40" w:after="40" w:line="240" w:lineRule="auto"/>
              <w:jc w:val="right"/>
            </w:pPr>
            <w:r>
              <w:rPr>
                <w:rFonts w:ascii="Arial" w:hAnsi="Arial" w:eastAsia="Arial" w:cs="Arial"/>
                <w:sz w:val="21"/>
              </w:rPr>
              <w:t>38.3%</w:t>
            </w:r>
          </w:p>
        </w:tc>
        <w:tc>
          <w:tcPr>
            <w:tcW w:type="dxa" w:w="3111"/>
            <w:vAlign w:val="center"/>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vAlign w:val="center"/>
            <w:shd w:val="clear" w:color="auto" w:fill="FFFFFF"/>
          </w:tcPr>
          <w:p>
            <w:pPr>
              <w:spacing w:before="40" w:after="40" w:line="240" w:lineRule="auto"/>
              <w:jc w:val="left"/>
            </w:pPr>
            <w:r>
              <w:rPr>
                <w:rFonts w:ascii="Arial" w:hAnsi="Arial" w:eastAsia="Arial" w:cs="Arial"/>
                <w:sz w:val="21"/>
              </w:rPr>
              <w:t>50%</w:t>
            </w:r>
          </w:p>
        </w:tc>
        <w:tc>
          <w:tcPr>
            <w:tcW w:type="dxa" w:w="2393"/>
            <w:vAlign w:val="center"/>
            <w:shd w:val="clear" w:color="auto" w:fill="FFFFFF"/>
          </w:tcPr>
          <w:p>
            <w:pPr>
              <w:spacing w:before="40" w:after="40" w:line="240" w:lineRule="auto"/>
              <w:jc w:val="right"/>
            </w:pPr>
            <w:r>
              <w:rPr>
                <w:rFonts w:ascii="Arial" w:hAnsi="Arial" w:eastAsia="Arial" w:cs="Arial"/>
                <w:sz w:val="21"/>
              </w:rPr>
              <w:t>43.1%</w:t>
            </w:r>
          </w:p>
        </w:tc>
        <w:tc>
          <w:tcPr>
            <w:tcW w:type="dxa" w:w="2108"/>
            <w:vAlign w:val="center"/>
            <w:shd w:val="clear" w:color="auto" w:fill="FFFFFF"/>
          </w:tcPr>
          <w:p>
            <w:pPr>
              <w:spacing w:before="40" w:after="40" w:line="240" w:lineRule="auto"/>
              <w:jc w:val="right"/>
            </w:pPr>
            <w:r>
              <w:rPr>
                <w:rFonts w:ascii="Arial" w:hAnsi="Arial" w:eastAsia="Arial" w:cs="Arial"/>
                <w:sz w:val="21"/>
              </w:rPr>
              <w:t>66.7%</w:t>
            </w:r>
          </w:p>
        </w:tc>
        <w:tc>
          <w:tcPr>
            <w:tcW w:type="dxa" w:w="3111"/>
            <w:vAlign w:val="center"/>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Inspecting 10% gives a 54.5% hit rate and finds 17.1% of busy homes; at 50%, the list finds two-thirds (66.7%). Start with ten candidates (Table 7), then inspect the highest-ranked listed homes as the budget allows.</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 xml:space="preserve">The groups chosen for leading in the earlier year had 33.6% of homes reaching 34 reviews, against 19.9% elsewhere (Figure 4). In the later year, they still led: </w:t>
      </w:r>
      <w:r>
        <w:rPr>
          <w:rFonts w:ascii="Arial" w:hAnsi="Arial" w:eastAsia="Arial" w:cs="Arial"/>
          <w:b/>
        </w:rPr>
        <w:t>27.1% against 14.9%</w:t>
      </w:r>
      <w:r>
        <w:rPr>
          <w:rFonts w:ascii="Arial" w:hAnsi="Arial" w:eastAsia="Arial" w:cs="Arial"/>
        </w:rPr>
        <w:t xml:space="preserve">, about </w:t>
      </w:r>
      <w:r>
        <w:rPr>
          <w:rFonts w:ascii="Arial" w:hAnsi="Arial" w:eastAsia="Arial" w:cs="Arial"/>
          <w:b/>
        </w:rPr>
        <w:t>12 percentage points</w:t>
      </w:r>
      <w:r>
        <w:rPr>
          <w:rFonts w:ascii="Arial" w:hAnsi="Arial" w:eastAsia="Arial" w:cs="Arial"/>
        </w:rPr>
        <w:t>. The advantage also holds when hosts receive equal weight (Appendix A).</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far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(32.4%) to one in two (49.6%) (Figure 3, Table 6).</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Between leases that pass, choose the larger cash-flow margin; if margins are similar, choose the group with the higher share of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Compare weekly rent and running costs with group revenue.</w:t>
      </w:r>
      <w:r>
        <w:rPr>
          <w:rFonts w:ascii="Arial" w:hAnsi="Arial" w:eastAsia="Arial" w:cs="Arial"/>
        </w:rPr>
        <w:t xml:space="preserve"> Typical weekly estimates (all-home medians) are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below-target medians are </w:t>
      </w:r>
      <w:r>
        <w:rPr>
          <w:rFonts w:ascii="Arial" w:hAnsi="Arial" w:eastAsia="Arial" w:cs="Arial"/>
          <w:b/>
        </w:rPr>
        <w:t>320, 620 and 600</w:t>
      </w:r>
      <w:r>
        <w:rPr>
          <w:rFonts w:ascii="Arial" w:hAnsi="Arial" w:eastAsia="Arial" w:cs="Arial"/>
        </w:rPr>
        <w:t>. Figure 5 shows how many historical homes covered a proposed cost. Drop candidates costing more than typical revenue, assess the rest through their own cash-flow plans, and budget for a year of the below-target shortfall. Obtain written landlord consent and check that any owners' corporation has not banned stays under 28 days (Consumer Affairs Victoria, n.d.). Airbnb collects Victoria's 7.5% short-stay levy on applicable bookings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47"/>
        <w:gridCol w:w="3907"/>
        <w:gridCol w:w="3910"/>
      </w:tblGrid>
      <w:tr>
        <w:trPr>
          <w:cantSplit/>
          <w:tblHeader/>
        </w:trPr>
        <w:tc>
          <w:tcPr>
            <w:tcW w:type="dxa" w:w="2047"/>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390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910"/>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907"/>
            <w:vAlign w:val="center"/>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3910"/>
            <w:vAlign w:val="center"/>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907"/>
            <w:vAlign w:val="center"/>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3910"/>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047"/>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907"/>
            <w:vAlign w:val="center"/>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 Figure 5)</w:t>
            </w:r>
          </w:p>
        </w:tc>
        <w:tc>
          <w:tcPr>
            <w:tcW w:type="dxa" w:w="3910"/>
            <w:vAlign w:val="center"/>
            <w:shd w:val="clear" w:color="auto" w:fill="FFFFFF"/>
          </w:tcPr>
          <w:p>
            <w:pPr>
              <w:keepNext/>
              <w:spacing w:before="40" w:after="40" w:line="240" w:lineRule="auto"/>
              <w:jc w:val="left"/>
            </w:pPr>
            <w:r>
              <w:rPr>
                <w:rFonts w:ascii="Arial" w:hAnsi="Arial" w:eastAsia="Arial" w:cs="Arial"/>
                <w:sz w:val="21"/>
              </w:rPr>
              <w:t>Sign only if the plan covers setup costs and required return, and the buffer covers a year of below-target loss</w:t>
            </w:r>
          </w:p>
        </w:tc>
      </w:tr>
      <w:tr>
        <w:trPr>
          <w:cantSplit/>
        </w:trPr>
        <w:tc>
          <w:tcPr>
            <w:tcW w:type="dxa" w:w="2047"/>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3907"/>
            <w:vAlign w:val="center"/>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3910"/>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5" name="Picture 5"/>
            <wp:cNvGraphicFramePr>
              <a:graphicFrameLocks noChangeAspect="1"/>
            </wp:cNvGraphicFramePr>
            <a:graphic>
              <a:graphicData uri="http://schemas.openxmlformats.org/drawingml/2006/picture">
                <pic:pic>
                  <pic:nvPicPr>
                    <pic:cNvPr id="0" name="figure_5_weekly_reach.png"/>
                    <pic:cNvPicPr/>
                  </pic:nvPicPr>
                  <pic:blipFill>
                    <a:blip r:embed="rId24"/>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Weekly rent and quoted running costs total </w:t>
      </w:r>
      <w:r>
        <w:rPr>
          <w:rFonts w:ascii="Arial" w:hAnsi="Arial" w:eastAsia="Arial" w:cs="Arial"/>
          <w:b/>
        </w:rPr>
        <w:t>AUD 620</w:t>
      </w:r>
      <w:r>
        <w:rPr>
          <w:rFonts w:ascii="Arial" w:hAnsi="Arial" w:eastAsia="Arial" w:cs="Arial"/>
        </w:rPr>
        <w:t xml:space="preserve"> for an unlisted City two-bedroom apartment and </w:t>
      </w:r>
      <w:r>
        <w:rPr>
          <w:rFonts w:ascii="Arial" w:hAnsi="Arial" w:eastAsia="Arial" w:cs="Arial"/>
          <w:b/>
        </w:rPr>
        <w:t>AUD 700</w:t>
      </w:r>
      <w:r>
        <w:rPr>
          <w:rFonts w:ascii="Arial" w:hAnsi="Arial" w:eastAsia="Arial" w:cs="Arial"/>
        </w:rPr>
        <w:t xml:space="preserve"> for a Yarra Ranges three-bedroom house. The apartment exceeds its group's typical AUD 590 revenue, so it is dropped. The house clears its group's typical AUD 890 and advances to negotiation and its own cash-flow plan. At the below-target AUD 600 benchmark, it loses AUD 100 a week, requiring an AUD 5,200 annual buffer. The cash-flow plan must also recover setup costs and deliver the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target;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Choosing the one-night input (after seeing no seven-night home reach 30 reviews) and selecting the priority groups on all homes mean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Next, collect rent and cost quotes for the priority groups, track paid nights and net cash flow to check whether review activity identifies good businesses, and test the unchanged groups, model and selection rule on the next snapshot.</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5">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6">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7">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8">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 xml:space="preserve">We fitted the model in R (R Core Team, 2026). Group median prices and mode fills for missing minimum stays use training homes only. The group rate is smoothed as </w:t>
      </w:r>
      <w:r>
        <w:rPr>
          <w:rFonts w:ascii="Arial" w:hAnsi="Arial" w:eastAsia="Arial" w:cs="Arial"/>
          <w:b w:val="0"/>
        </w:rPr>
        <w:t>(group_successes + 10 * overall_rate) / (group_homes + 10)</w:t>
      </w:r>
      <w:r>
        <w:rPr>
          <w:rFonts w:ascii="Arial" w:hAnsi="Arial" w:eastAsia="Arial" w:cs="Arial"/>
        </w:rPr>
        <w:t>. Odds are the chance of being busy divided by the chance of not being busy. Table A1 gives each input's odds ratio from its average coefficient over the 50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Across the 50 tests on all 14 groups, the model ranked a random busy home above a random quiet one 71% of the time, against 60% for group rates (AUC 0.71 and 0.60); full evaluation tables are in the repository (Huang &amp; Xu, 2026). Host-clustered standard errors are 1.1–2.6 times ordinary estimates, variance inflation factors sit below 3 (low multicollinearity), and host-adjusted tests find no clear curvature. In the two-year check (Section 5.5), equal host weights within each pool give an 8.7-point later-year gap (112 hosts appear in both pools).</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www.consumer.vic.gov.au/housing/owners-corporations/rules/making-rules-to-ban-short-stay-accommodation" TargetMode="External"/><Relationship Id="rId26" Type="http://schemas.openxmlformats.org/officeDocument/2006/relationships/hyperlink" Target="https://insideairbnb.com/data-assumptions/" TargetMode="External"/><Relationship Id="rId27" Type="http://schemas.openxmlformats.org/officeDocument/2006/relationships/hyperlink" Target="https://www.R-project.org/" TargetMode="External"/><Relationship Id="rId28"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