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Melbourne Airbnb</w:t>
        <w:br/>
        <w:t>Final presentation script</w:t>
      </w:r>
    </w:p>
    <w:p>
      <w:pPr>
        <w:keepNext w:val="0"/>
      </w:pPr>
      <w:r>
        <w:rPr>
          <w:b/>
          <w:color w:val="000000"/>
          <w:sz w:val="28"/>
        </w:rPr>
        <w:t>English edition   2 October 2026</w:t>
      </w:r>
    </w:p>
    <w:p>
      <w:pPr>
        <w:keepNext w:val="0"/>
      </w:pPr>
      <w:r>
        <w:rPr>
          <w:b w:val="0"/>
          <w:color w:val="000000"/>
          <w:sz w:val="24"/>
        </w:rPr>
        <w:t>We recommend a 30-day search for ten candidate homes, starting with City of Melbourne apartments and keeping Yarra Ranges houses as an alternative. Each candidate still needs permission and a conservative cash-flow assessment.</w:t>
      </w:r>
    </w:p>
    <w:p>
      <w:pPr>
        <w:keepNext w:val="0"/>
      </w:pPr>
      <w:r>
        <w:rPr>
          <w:b w:val="0"/>
          <w:color w:val="000000"/>
          <w:sz w:val="22"/>
        </w:rPr>
        <w:t>This script follows the existing ten-slide presentation. Read only the spoken passages during the talk. Questions and evidence notes are preparation material.</w:t>
      </w:r>
    </w:p>
    <w:p>
      <w:pPr>
        <w:pStyle w:val="Heading1"/>
        <w:pageBreakBefore w:val="0"/>
      </w:pPr>
      <w:r>
        <w:t>Presentation schedule</w:t>
      </w:r>
    </w:p>
    <w:tbl>
      <w:tblPr>
        <w:tblW w:type="auto" w:w="0"/>
        <w:jc w:val="center"/>
        <w:tblLayout w:type="fixed"/>
        <w:tblLook w:firstColumn="1" w:firstRow="1" w:lastColumn="0" w:lastRow="0" w:noHBand="0" w:noVBand="1" w:val="04A0"/>
      </w:tblPr>
      <w:tblGrid>
        <w:gridCol w:w="2880"/>
        <w:gridCol w:w="1296"/>
        <w:gridCol w:w="2952"/>
        <w:gridCol w:w="2592"/>
      </w:tblGrid>
      <w:tr>
        <w:trPr>
          <w:cantSplit/>
          <w:tblHeader/>
        </w:trPr>
        <w:tc>
          <w:tcPr>
            <w:tcW w:type="dxa" w:w="2880"/>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color w:val="FFFFFF"/>
                <w:sz w:val="21"/>
              </w:rPr>
              <w:t>Presenter</w:t>
            </w:r>
          </w:p>
        </w:tc>
        <w:tc>
          <w:tcPr>
            <w:tcW w:type="dxa" w:w="1296"/>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1"/>
              </w:rPr>
              <w:t>Slides</w:t>
            </w:r>
          </w:p>
        </w:tc>
        <w:tc>
          <w:tcPr>
            <w:tcW w:type="dxa" w:w="2952"/>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1"/>
              </w:rPr>
              <w:t>Target time</w:t>
            </w:r>
          </w:p>
        </w:tc>
        <w:tc>
          <w:tcPr>
            <w:tcW w:type="dxa" w:w="2592"/>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1"/>
              </w:rPr>
              <w:t>Words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1"/>
              </w:rPr>
              <w:t>Qihang Sun</w:t>
            </w:r>
          </w:p>
        </w:tc>
        <w:tc>
          <w:tcPr>
            <w:tcW w:type="dxa" w:w="12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1 to 3</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0:00 to 2:15</w:t>
            </w:r>
          </w:p>
        </w:tc>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231</w:t>
            </w:r>
          </w:p>
        </w:tc>
      </w:tr>
      <w:tr>
        <w:trPr>
          <w:cantSplit/>
        </w:trPr>
        <w:tc>
          <w:tcPr>
            <w:tcW w:type="dxa" w:w="2880"/>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1"/>
              </w:rPr>
              <w:t>Maksym Xu</w:t>
            </w:r>
          </w:p>
        </w:tc>
        <w:tc>
          <w:tcPr>
            <w:tcW w:type="dxa" w:w="1296"/>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4 to 5</w:t>
            </w:r>
          </w:p>
        </w:tc>
        <w:tc>
          <w:tcPr>
            <w:tcW w:type="dxa" w:w="2952"/>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2:15 to 4:30</w:t>
            </w:r>
          </w:p>
        </w:tc>
        <w:tc>
          <w:tcPr>
            <w:tcW w:type="dxa" w:w="2592"/>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229</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1"/>
              </w:rPr>
              <w:t>Eric Huang</w:t>
            </w:r>
          </w:p>
        </w:tc>
        <w:tc>
          <w:tcPr>
            <w:tcW w:type="dxa" w:w="12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6 to 7</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4:30 to 6:45</w:t>
            </w:r>
          </w:p>
        </w:tc>
        <w:tc>
          <w:tcPr>
            <w:tcW w:type="dxa" w:w="2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235</w:t>
            </w:r>
          </w:p>
        </w:tc>
      </w:tr>
      <w:tr>
        <w:trPr>
          <w:cantSplit/>
        </w:trPr>
        <w:tc>
          <w:tcPr>
            <w:tcW w:type="dxa" w:w="2880"/>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1"/>
              </w:rPr>
              <w:t>Loc Le</w:t>
            </w:r>
          </w:p>
        </w:tc>
        <w:tc>
          <w:tcPr>
            <w:tcW w:type="dxa" w:w="1296"/>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8 to 10</w:t>
            </w:r>
          </w:p>
        </w:tc>
        <w:tc>
          <w:tcPr>
            <w:tcW w:type="dxa" w:w="2952"/>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6:45 to 9:00</w:t>
            </w:r>
          </w:p>
        </w:tc>
        <w:tc>
          <w:tcPr>
            <w:tcW w:type="dxa" w:w="2592"/>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245</w:t>
            </w:r>
          </w:p>
        </w:tc>
      </w:tr>
    </w:tbl>
    <w:p>
      <w:pPr>
        <w:keepNext w:val="0"/>
        <w:spacing w:before="160"/>
      </w:pPr>
      <w:r>
        <w:rPr>
          <w:b w:val="0"/>
          <w:color w:val="000000"/>
          <w:sz w:val="22"/>
        </w:rPr>
        <w:t>The spoken script has 940 words. The target is nine minutes, leaving one minute for pauses and slide changes. Confirm the timing in a full rehearsal.</w:t>
      </w:r>
    </w:p>
    <w:p>
      <w:pPr>
        <w:pStyle w:val="Heading1"/>
        <w:pageBreakBefore w:val="0"/>
      </w:pPr>
      <w:r>
        <w:t>Evidence to keep separate</w:t>
      </w:r>
    </w:p>
    <w:p>
      <w:pPr>
        <w:keepNext w:val="0"/>
      </w:pPr>
      <w:r>
        <w:rPr>
          <w:b w:val="0"/>
          <w:color w:val="000000"/>
          <w:sz w:val="22"/>
        </w:rPr>
        <w:t>The slide 6 chart shows the original five-fold test: 43.7% versus 28.1%, with 423 of 969 selected homes reaching the target. The new 50-split comparison is a supplementary check: 43.42% versus 31.96% on average, with better screening in 48 splits. Its average gain is 11.46 percentage points.</w:t>
      </w:r>
    </w:p>
    <w:p>
      <w:pPr>
        <w:keepNext w:val="0"/>
      </w:pPr>
      <w:r>
        <w:rPr>
          <w:b w:val="0"/>
          <w:color w:val="000000"/>
          <w:sz w:val="22"/>
        </w:rPr>
        <w:t>The model uses a 30-review target. The separate comparison of two historical review windows uses 34. None of these results establishes future bookings or profit.</w:t>
      </w:r>
    </w:p>
    <w:p>
      <w:pPr>
        <w:pStyle w:val="Heading1"/>
        <w:pageBreakBefore/>
      </w:pPr>
      <w:r>
        <w:t>Qihang Sun</w:t>
      </w:r>
    </w:p>
    <w:p>
      <w:pPr>
        <w:keepNext w:val="0"/>
      </w:pPr>
      <w:r>
        <w:rPr>
          <w:b/>
          <w:color w:val="000000"/>
          <w:sz w:val="20"/>
        </w:rPr>
        <w:t>Slides 1 to 3    0:00 to 2:15    231 spoken words</w:t>
      </w:r>
    </w:p>
    <w:p>
      <w:pPr>
        <w:pStyle w:val="Heading2"/>
        <w:pageBreakBefore w:val="0"/>
      </w:pPr>
      <w:r>
        <w:t>Slide 1 Where should we look first</w:t>
      </w:r>
    </w:p>
    <w:p>
      <w:pPr>
        <w:keepNext/>
      </w:pPr>
      <w:r>
        <w:rPr>
          <w:b w:val="0"/>
          <w:color w:val="000000"/>
          <w:sz w:val="20"/>
        </w:rPr>
        <w:t>Target 25 seconds</w:t>
      </w:r>
    </w:p>
    <w:p>
      <w:pPr>
        <w:keepNext w:val="0"/>
      </w:pPr>
      <w:r>
        <w:rPr>
          <w:b w:val="0"/>
          <w:color w:val="000000"/>
          <w:sz w:val="25"/>
        </w:rPr>
        <w:t>Good morning. Where should our client look first for a Melbourne Airbnb property? We recommend two- and three-bedroom apartments in the City of Melbourne, with three-bedroom houses in Yarra Ranges as a backup. We will explain the evidence and the checks needed before any lease.</w:t>
      </w:r>
    </w:p>
    <w:p>
      <w:pPr>
        <w:pStyle w:val="Heading2"/>
        <w:pageBreakBefore w:val="0"/>
      </w:pPr>
      <w:r>
        <w:t>Slide 2 Choosing a property before costs begin</w:t>
      </w:r>
    </w:p>
    <w:p>
      <w:pPr>
        <w:keepNext/>
      </w:pPr>
      <w:r>
        <w:rPr>
          <w:b w:val="0"/>
          <w:color w:val="000000"/>
          <w:sz w:val="20"/>
        </w:rPr>
        <w:t>Target 45 seconds</w:t>
      </w:r>
    </w:p>
    <w:p>
      <w:pPr>
        <w:keepNext w:val="0"/>
      </w:pPr>
      <w:r>
        <w:rPr>
          <w:b w:val="0"/>
          <w:color w:val="000000"/>
          <w:sz w:val="25"/>
        </w:rPr>
        <w:t>Our client plans to lease homes and offer short stays. Rent is due even when guests do not arrive. Furnishing and operating costs also commit limited funds. Choosing where to investigate is therefore a business decision in its own right. Which property groups show stronger guest activity? Can listing features help rank eligible homes? Our analysis answers these questions using recorded reviews. The goal is to spend investigation time on stronger candidates before making financial commitments.</w:t>
      </w:r>
    </w:p>
    <w:p>
      <w:pPr>
        <w:pStyle w:val="Heading2"/>
        <w:pageBreakBefore w:val="0"/>
      </w:pPr>
      <w:r>
        <w:t>Slide 3 A fair comparison starts with similar homes</w:t>
      </w:r>
    </w:p>
    <w:p>
      <w:pPr>
        <w:keepNext/>
      </w:pPr>
      <w:r>
        <w:rPr>
          <w:b w:val="0"/>
          <w:color w:val="000000"/>
          <w:sz w:val="20"/>
        </w:rPr>
        <w:t>Target 65 seconds</w:t>
      </w:r>
    </w:p>
    <w:p>
      <w:pPr>
        <w:keepNext w:val="0"/>
      </w:pPr>
      <w:r>
        <w:rPr>
          <w:b w:val="0"/>
          <w:color w:val="000000"/>
          <w:sz w:val="25"/>
        </w:rPr>
        <w:t>We used the subject's June 2026 Inside Airbnb data. We kept 3,873 comparable homes: entire properties with one to three bedrooms, usable prices, and at least one year since their first recorded review. Each group includes at least fifty homes. This selected sample leaves out many listings, including those with missing prices or limited review history. Our outcome is whether a home received thirty or more reviews in the previous 365 days. A separate reference group sets thirty as its upper-quarter threshold. About one in four analysed homes reached it. Reviews signal past guest activity, not occupied nights or profit. Maksym will explain how this evidence helps prioritise the search.</w:t>
      </w:r>
    </w:p>
    <w:p>
      <w:pPr>
        <w:pStyle w:val="Heading1"/>
        <w:pageBreakBefore/>
      </w:pPr>
      <w:r>
        <w:t>Maksym Xu</w:t>
      </w:r>
    </w:p>
    <w:p>
      <w:pPr>
        <w:keepNext w:val="0"/>
      </w:pPr>
      <w:r>
        <w:rPr>
          <w:b/>
          <w:color w:val="000000"/>
          <w:sz w:val="20"/>
        </w:rPr>
        <w:t>Slides 4 to 5    2:15 to 4:30    229 spoken words</w:t>
      </w:r>
    </w:p>
    <w:p>
      <w:pPr>
        <w:pStyle w:val="Heading2"/>
        <w:pageBreakBefore w:val="0"/>
      </w:pPr>
      <w:r>
        <w:t>Slide 4 City of Melbourne apartments lead the search</w:t>
      </w:r>
    </w:p>
    <w:p>
      <w:pPr>
        <w:keepNext/>
      </w:pPr>
      <w:r>
        <w:rPr>
          <w:b w:val="0"/>
          <w:color w:val="000000"/>
          <w:sz w:val="20"/>
        </w:rPr>
        <w:t>Target 60 seconds</w:t>
      </w:r>
    </w:p>
    <w:p>
      <w:pPr>
        <w:keepNext w:val="0"/>
      </w:pPr>
      <w:r>
        <w:rPr>
          <w:b w:val="0"/>
          <w:color w:val="000000"/>
          <w:sz w:val="25"/>
        </w:rPr>
        <w:t>These are the three leading groups among fourteen eligible groups. City of Melbourne three-bedroom apartments reached 36.6 percent attainment, and two-bedroom apartments reached 32.8 percent. Three-bedroom houses and townhouses in Yarra Ranges reached 30 percent. The city's higher observed rates and larger samples support our proposed city-first search. The uncertainty ranges overlap. We see these as promising options, not a precise first-to-third ranking. Actual quotes and permissions may change the search order. These percentages measure past review activity, not returns. A promising group can still contain unsuitable homes. We therefore tested whether listing features improve screening across all eligible homes.</w:t>
      </w:r>
    </w:p>
    <w:p>
      <w:pPr>
        <w:pStyle w:val="Heading2"/>
        <w:pageBreakBefore w:val="0"/>
      </w:pPr>
      <w:r>
        <w:t>Slide 5 What the historical ranking score uses</w:t>
      </w:r>
    </w:p>
    <w:p>
      <w:pPr>
        <w:keepNext/>
      </w:pPr>
      <w:r>
        <w:rPr>
          <w:b w:val="0"/>
          <w:color w:val="000000"/>
          <w:sz w:val="20"/>
        </w:rPr>
        <w:t>Target 75 seconds</w:t>
      </w:r>
    </w:p>
    <w:p>
      <w:pPr>
        <w:keepNext w:val="0"/>
      </w:pPr>
      <w:r>
        <w:rPr>
          <w:b w:val="0"/>
          <w:color w:val="000000"/>
          <w:sz w:val="25"/>
        </w:rPr>
        <w:t>We changed from the interim random forest to logistic regression for easier explanation, keeping the forest as a benchmark. This specification followed earlier exploration. Our outcome, Y, is one for thirty or more reviews, and zero otherwise. The six inputs, X, are area, dwelling type, bedrooms, current price relative to similar homes, one-night acceptance, and amenity count. Similar homes share the same area, dwelling type and bedroom count. The model combines these features into a ranking score learned from past outcomes. Homes allowing one-night stays were more likely to have met the target. Higher prices relative to similar homes were associated with lower attainment. These relationships do not prove cause and effect or a reliable chance of future success. Eric will show how the score helps focus the search.</w:t>
      </w:r>
    </w:p>
    <w:p>
      <w:pPr>
        <w:pStyle w:val="Heading1"/>
        <w:pageBreakBefore/>
      </w:pPr>
      <w:r>
        <w:t>Eric Huang</w:t>
      </w:r>
    </w:p>
    <w:p>
      <w:pPr>
        <w:keepNext w:val="0"/>
      </w:pPr>
      <w:r>
        <w:rPr>
          <w:b/>
          <w:color w:val="000000"/>
          <w:sz w:val="20"/>
        </w:rPr>
        <w:t>Slides 6 to 7    4:30 to 6:45    235 spoken words</w:t>
      </w:r>
    </w:p>
    <w:p>
      <w:pPr>
        <w:pStyle w:val="Heading2"/>
        <w:pageBreakBefore w:val="0"/>
      </w:pPr>
      <w:r>
        <w:t>Slide 6 The model found more high review homes</w:t>
      </w:r>
    </w:p>
    <w:p>
      <w:pPr>
        <w:keepNext/>
      </w:pPr>
      <w:r>
        <w:rPr>
          <w:b w:val="0"/>
          <w:color w:val="000000"/>
          <w:sz w:val="20"/>
        </w:rPr>
        <w:t>Target 75 seconds</w:t>
      </w:r>
    </w:p>
    <w:p>
      <w:pPr>
        <w:keepNext w:val="0"/>
      </w:pPr>
      <w:r>
        <w:rPr>
          <w:b w:val="0"/>
          <w:color w:val="000000"/>
          <w:sz w:val="25"/>
        </w:rPr>
        <w:t>In our original five-fold check, selecting by property group averages gave 28.1 percent attainment. The model gave 43.7 percent, an increase of 15.6 percentage points. That means about sixteen more high-review homes per hundred selected. We scored each home without using its host's listings for training. Among 969 selected homes, 423 reached the target. More than half, 56.3 percent, did not. Across fifty repeated host splits, both methods used the same tests; the model screened better in forty-eight. This main comparison covers all eligible homes. An earlier exploratory check also improved screening within our three priority groups. The score helps focus investigation but does not approve individual leases. These checks followed data exploration and do not establish future success rates. We next checked whether our leading groups stayed ahead in the later review window.</w:t>
      </w:r>
    </w:p>
    <w:p>
      <w:pPr>
        <w:pStyle w:val="Heading2"/>
        <w:pageBreakBefore w:val="0"/>
      </w:pPr>
      <w:r>
        <w:t>Slide 7 The same three groups stayed ahead</w:t>
      </w:r>
    </w:p>
    <w:p>
      <w:pPr>
        <w:keepNext/>
      </w:pPr>
      <w:r>
        <w:rPr>
          <w:b w:val="0"/>
          <w:color w:val="000000"/>
          <w:sz w:val="20"/>
        </w:rPr>
        <w:t>Target 60 seconds</w:t>
      </w:r>
    </w:p>
    <w:p>
      <w:pPr>
        <w:keepNext w:val="0"/>
      </w:pPr>
      <w:r>
        <w:rPr>
          <w:b w:val="0"/>
          <w:color w:val="000000"/>
          <w:sz w:val="25"/>
        </w:rPr>
        <w:t>For that check, we used dated reviews from the same supplied snapshot to form two annual review windows. We followed the same 2,657 surviving listings with longer histories, covering ten groups. Earlier reference data set a thirty-four-review threshold, fixed across both windows. The earlier leaders were these three priority groups. In the later window, 27.1 percent of their listings reached the target, compared with 14.9 percent elsewhere. This supports starting in those groups. It does not validate the logistic model as a future forecast, and surviving listings may differ from new entrants. Loc will explain the checks each candidate must pass.</w:t>
      </w:r>
    </w:p>
    <w:p>
      <w:pPr>
        <w:pStyle w:val="Heading1"/>
        <w:pageBreakBefore/>
      </w:pPr>
      <w:r>
        <w:t>Loc Le</w:t>
      </w:r>
    </w:p>
    <w:p>
      <w:pPr>
        <w:keepNext w:val="0"/>
      </w:pPr>
      <w:r>
        <w:rPr>
          <w:b/>
          <w:color w:val="000000"/>
          <w:sz w:val="20"/>
        </w:rPr>
        <w:t>Slides 8 to 10    6:45 to 9:00    245 spoken words</w:t>
      </w:r>
    </w:p>
    <w:p>
      <w:pPr>
        <w:pStyle w:val="Heading2"/>
        <w:pageBreakBefore w:val="0"/>
      </w:pPr>
      <w:r>
        <w:t>Slide 8 Two gates before any lease</w:t>
      </w:r>
    </w:p>
    <w:p>
      <w:pPr>
        <w:keepNext/>
      </w:pPr>
      <w:r>
        <w:rPr>
          <w:b w:val="0"/>
          <w:color w:val="000000"/>
          <w:sz w:val="20"/>
        </w:rPr>
        <w:t>Target 55 seconds</w:t>
      </w:r>
    </w:p>
    <w:p>
      <w:pPr>
        <w:keepNext w:val="0"/>
      </w:pPr>
      <w:r>
        <w:rPr>
          <w:b w:val="0"/>
          <w:color w:val="000000"/>
          <w:sz w:val="25"/>
        </w:rPr>
        <w:t>Every candidate must pass two gates before a lease. First, confirm that the intended short-stay use is permitted. Second, check conservative cash flow using actual quotes. Include rent, cleaning, fees, and an allowance for setup costs. Test cautious assumptions for paid nights and achieved nightly rates, with a buffer chosen by the client. Our dataset does not provide these verified numbers. Reject any property that fails permission checks or the client's cash-flow requirements. A high model score cannot override either gate. These checks connect the historical evidence to the actual commitment the client would make.</w:t>
      </w:r>
    </w:p>
    <w:p>
      <w:pPr>
        <w:pStyle w:val="Heading2"/>
        <w:pageBreakBefore w:val="0"/>
      </w:pPr>
      <w:r>
        <w:t>Slide 9 A 30 day search with clear stop rules</w:t>
      </w:r>
    </w:p>
    <w:p>
      <w:pPr>
        <w:keepNext/>
      </w:pPr>
      <w:r>
        <w:rPr>
          <w:b w:val="0"/>
          <w:color w:val="000000"/>
          <w:sz w:val="20"/>
        </w:rPr>
        <w:t>Target 55 seconds</w:t>
      </w:r>
    </w:p>
    <w:p>
      <w:pPr>
        <w:keepNext w:val="0"/>
      </w:pPr>
      <w:r>
        <w:rPr>
          <w:b w:val="0"/>
          <w:color w:val="000000"/>
          <w:sz w:val="25"/>
        </w:rPr>
        <w:t>The proposed thirty-day plan has three steps. In week one, the operator finds ten candidates, focusing on Melbourne apartments and keeping Yarra Ranges houses as a backup. In weeks two and three, the operator verifies permissions and cost quotes. The analyst tests conservative cash flow, with model scores as supporting evidence. Remove candidates that fail either gate. In week four, the owner compares those remaining and decides whether any small trial is justified. The owner can decide against proceeding. Ten properties and thirty days are proposed working limits, not an analysed optimum. If a trial proceeds, monitor paid nights, net cash flow, and cleaning workload before deciding whether to continue.</w:t>
      </w:r>
    </w:p>
    <w:p>
      <w:pPr>
        <w:pStyle w:val="Heading2"/>
        <w:pageBreakBefore w:val="0"/>
      </w:pPr>
      <w:r>
        <w:t>Slide 10 Approve a focused search</w:t>
      </w:r>
    </w:p>
    <w:p>
      <w:pPr>
        <w:keepNext/>
      </w:pPr>
      <w:r>
        <w:rPr>
          <w:b w:val="0"/>
          <w:color w:val="000000"/>
          <w:sz w:val="20"/>
        </w:rPr>
        <w:t>Target 25 seconds</w:t>
      </w:r>
    </w:p>
    <w:p>
      <w:pPr>
        <w:keepNext w:val="0"/>
      </w:pPr>
      <w:r>
        <w:rPr>
          <w:b w:val="0"/>
          <w:color w:val="000000"/>
          <w:sz w:val="25"/>
        </w:rPr>
        <w:t>Approve a focused thirty-day search of ten candidates. Reviews are not profit, current settings may differ from the past, and our evidence covers established listings. Before any lease, require permissions and conservative cash flow. Thank you. We welcome your questions.</w:t>
      </w:r>
    </w:p>
    <w:p>
      <w:pPr>
        <w:pStyle w:val="Heading1"/>
        <w:pageBreakBefore/>
      </w:pPr>
      <w:r>
        <w:t>Questions and answers</w:t>
      </w:r>
    </w:p>
    <w:p>
      <w:pPr>
        <w:keepNext w:val="0"/>
      </w:pPr>
      <w:r>
        <w:rPr>
          <w:b w:val="0"/>
          <w:color w:val="000000"/>
          <w:sz w:val="20"/>
        </w:rPr>
        <w:t>Use these answers after the presentation. The named presenter leads; other members add only what is needed.</w:t>
      </w:r>
    </w:p>
    <w:p>
      <w:pPr>
        <w:pStyle w:val="Heading2"/>
        <w:pageBreakBefore w:val="0"/>
      </w:pPr>
      <w:r>
        <w:t>1 Is this prediction or a forecast of future business success</w:t>
      </w:r>
    </w:p>
    <w:p>
      <w:pPr>
        <w:keepNext/>
      </w:pPr>
      <w:r>
        <w:rPr>
          <w:b/>
          <w:color w:val="000000"/>
          <w:sz w:val="18"/>
        </w:rPr>
        <w:t>Lead answer Maksym Xu</w:t>
      </w:r>
    </w:p>
    <w:p>
      <w:pPr>
        <w:keepNext w:val="0"/>
      </w:pPr>
      <w:r>
        <w:rPr>
          <w:b w:val="0"/>
          <w:color w:val="000000"/>
          <w:sz w:val="22"/>
        </w:rPr>
        <w:t>The model estimates a historical review target from recorded property features. Test hosts were excluded from training within each split, but the specification followed exploration of the same snapshot. This is retrospective screening, not a forecast of future bookings or profit. In the earlier five-fold calibration check, the 43 homes scored above 60 percent averaged 63.5 percent predicted attainment versus 51.2 percent observed. Individual scores therefore need caution; future calibration is untested.</w:t>
      </w:r>
    </w:p>
    <w:p>
      <w:pPr>
        <w:pStyle w:val="Heading2"/>
        <w:pageBreakBefore w:val="0"/>
      </w:pPr>
      <w:r>
        <w:t>2 Why use reviews if the client cares about profit</w:t>
      </w:r>
    </w:p>
    <w:p>
      <w:pPr>
        <w:keepNext/>
      </w:pPr>
      <w:r>
        <w:rPr>
          <w:b/>
          <w:color w:val="000000"/>
          <w:sz w:val="18"/>
        </w:rPr>
        <w:t>Lead answer Qihang Sun</w:t>
      </w:r>
    </w:p>
    <w:p>
      <w:pPr>
        <w:keepNext w:val="0"/>
      </w:pPr>
      <w:r>
        <w:rPr>
          <w:b w:val="0"/>
          <w:color w:val="000000"/>
          <w:sz w:val="22"/>
        </w:rPr>
        <w:t>Dated reviews are directly recorded in the supplied data. The calendar cannot reliably separate booked dates from dates blocked by hosts. Reviews provide an imperfect signal of guest activity, and longer stays can produce fewer reviews. We use the signal to focus research, then obtain real cost and operating information before any lease.</w:t>
      </w:r>
    </w:p>
    <w:p>
      <w:pPr>
        <w:pStyle w:val="Heading2"/>
        <w:pageBreakBefore w:val="0"/>
      </w:pPr>
      <w:r>
        <w:t>3 Why choose thirty reviews</w:t>
      </w:r>
    </w:p>
    <w:p>
      <w:pPr>
        <w:keepNext/>
      </w:pPr>
      <w:r>
        <w:rPr>
          <w:b/>
          <w:color w:val="000000"/>
          <w:sz w:val="18"/>
        </w:rPr>
        <w:t>Lead answer Qihang Sun</w:t>
      </w:r>
    </w:p>
    <w:p>
      <w:pPr>
        <w:keepNext w:val="0"/>
      </w:pPr>
      <w:r>
        <w:rPr>
          <w:b w:val="0"/>
          <w:color w:val="000000"/>
          <w:sz w:val="22"/>
        </w:rPr>
        <w:t>Thirty comes from the 75th percentile of a separate group of 906 reference listings. That percentile was 29.75, giving an integer target of 30. Reference hosts are excluded from model training and testing. The analysis sample then produced 25.3 percent attainment; it was not forced to equal one quarter. The threshold stayed fixed throughout the rerun.</w:t>
      </w:r>
    </w:p>
    <w:p>
      <w:pPr>
        <w:pStyle w:val="Heading2"/>
        <w:pageBreakBefore w:val="0"/>
      </w:pPr>
      <w:r>
        <w:t>4 What is the segment rate baseline and is the quota fair</w:t>
      </w:r>
    </w:p>
    <w:p>
      <w:pPr>
        <w:keepNext/>
      </w:pPr>
      <w:r>
        <w:rPr>
          <w:b/>
          <w:color w:val="000000"/>
          <w:sz w:val="18"/>
        </w:rPr>
        <w:t>Lead answer Eric Huang</w:t>
      </w:r>
    </w:p>
    <w:p>
      <w:pPr>
        <w:keepNext w:val="0"/>
      </w:pPr>
      <w:r>
        <w:rPr>
          <w:b w:val="0"/>
          <w:color w:val="000000"/>
          <w:sz w:val="22"/>
        </w:rPr>
        <w:t>A segment combines area, dwelling type and bedrooms. Each test listing receives its segment rate estimated from training hosts, with a fixed smoothing weight of ten towards the overall training rate. Both methods receive the same quota: one quarter of the test listings, rounded up. At a tied boundary, the remaining places are shared equally across tied homes, without using their outcomes. The five-fold pooled comparison has 969 places and gives 28.1 percent expected attainment for the baseline versus 43.7 percent for logistic.</w:t>
      </w:r>
    </w:p>
    <w:p>
      <w:pPr>
        <w:pStyle w:val="Heading1"/>
        <w:pageBreakBefore/>
      </w:pPr>
      <w:r>
        <w:t>Questions and answers continued</w:t>
      </w:r>
    </w:p>
    <w:p>
      <w:pPr>
        <w:keepNext w:val="0"/>
      </w:pPr>
      <w:r>
        <w:rPr>
          <w:b w:val="0"/>
          <w:color w:val="000000"/>
          <w:sz w:val="20"/>
        </w:rPr>
        <w:t>Use these answers after the presentation. The named presenter leads; other members add only what is needed.</w:t>
      </w:r>
    </w:p>
    <w:p>
      <w:pPr>
        <w:pStyle w:val="Heading2"/>
        <w:pageBreakBefore w:val="0"/>
      </w:pPr>
      <w:r>
        <w:t>5 What did the fifty repeated host splits add</w:t>
      </w:r>
    </w:p>
    <w:p>
      <w:pPr>
        <w:keepNext/>
      </w:pPr>
      <w:r>
        <w:rPr>
          <w:b/>
          <w:color w:val="000000"/>
          <w:sz w:val="18"/>
        </w:rPr>
        <w:t>Lead answer Eric Huang</w:t>
      </w:r>
    </w:p>
    <w:p>
      <w:pPr>
        <w:keepNext w:val="0"/>
      </w:pPr>
      <w:r>
        <w:rPr>
          <w:b w:val="0"/>
          <w:color w:val="000000"/>
          <w:sz w:val="22"/>
        </w:rPr>
        <w:t>We retained the original fifty 70/30 host splits and fitted both methods on each training set. Average shortlist attainment was 43.42 percent for logistic and 31.96 percent for the baseline: a paired gain of 11.46 percentage points, with improvement in 48 of 50 splits. The fifth-to-ninety-fifth percentile range of the gain was 2.37 to 19.72 points. This describes split sensitivity, not a confidence interval. The hosts are reused, so these are not fifty independent tests. The repeated-split means are separate from the pooled five-fold result and its 969 selections.</w:t>
      </w:r>
    </w:p>
    <w:p>
      <w:pPr>
        <w:pStyle w:val="Heading2"/>
        <w:pageBreakBefore w:val="0"/>
      </w:pPr>
      <w:r>
        <w:t>6 How were minimum stay values and missing data handled</w:t>
      </w:r>
    </w:p>
    <w:p>
      <w:pPr>
        <w:keepNext/>
      </w:pPr>
      <w:r>
        <w:rPr>
          <w:b/>
          <w:color w:val="000000"/>
          <w:sz w:val="18"/>
        </w:rPr>
        <w:t>Lead answer Maksym Xu</w:t>
      </w:r>
    </w:p>
    <w:p>
      <w:pPr>
        <w:keepNext w:val="0"/>
      </w:pPr>
      <w:r>
        <w:rPr>
          <w:b w:val="0"/>
          <w:color w:val="000000"/>
          <w:sz w:val="22"/>
        </w:rPr>
        <w:t>Earlier inspection showed no target-reaching listings in the seven-or-more-night category, after which we chose the simpler one-night indicator. That choice remains exploratory; we froze it rather than claiming it was selected inside the new training sets. For each split, missing stay values were filled using only the most common observed binary setting in that training set, with No winning a tie. The same rule filled missing training and test values. All fifty-five training sets happened to choose No, so correcting the procedure left the old results unchanged apart from rounding. This does not create an untouched or nested validation.</w:t>
      </w:r>
    </w:p>
    <w:p>
      <w:pPr>
        <w:pStyle w:val="Heading2"/>
        <w:pageBreakBefore w:val="0"/>
      </w:pPr>
      <w:r>
        <w:t>7 Why change from the interim random forest to logistic regression</w:t>
      </w:r>
    </w:p>
    <w:p>
      <w:pPr>
        <w:keepNext/>
      </w:pPr>
      <w:r>
        <w:rPr>
          <w:b/>
          <w:color w:val="000000"/>
          <w:sz w:val="18"/>
        </w:rPr>
        <w:t>Lead answer Maksym Xu</w:t>
      </w:r>
    </w:p>
    <w:p>
      <w:pPr>
        <w:keepNext w:val="0"/>
      </w:pPr>
      <w:r>
        <w:rPr>
          <w:b w:val="0"/>
          <w:color w:val="000000"/>
          <w:sz w:val="22"/>
        </w:rPr>
        <w:t>The interim selected random forest after its property-only comparison. We present logistic regression because its weighted inputs are easier to explain. Our earlier matched-input five-fold check gave the forest 45.1 percent screening attainment versus 43.7 percent for logistic, with an uncertain difference; logistic had better ranking and probability-error scores in that check. Neither model was established as best overall. Current price and stay rules also distinguish the final specification from the interim model. The forest and earlier nested-selection exercise were not rerun in the new fifty-split comparison.</w:t>
      </w:r>
    </w:p>
    <w:p>
      <w:pPr>
        <w:pStyle w:val="Heading2"/>
        <w:pageBreakBefore w:val="0"/>
      </w:pPr>
      <w:r>
        <w:t>8 How many mistakes does the model make</w:t>
      </w:r>
    </w:p>
    <w:p>
      <w:pPr>
        <w:keepNext/>
      </w:pPr>
      <w:r>
        <w:rPr>
          <w:b/>
          <w:color w:val="000000"/>
          <w:sz w:val="18"/>
        </w:rPr>
        <w:t>Lead answer Eric Huang</w:t>
      </w:r>
    </w:p>
    <w:p>
      <w:pPr>
        <w:keepNext w:val="0"/>
      </w:pPr>
      <w:r>
        <w:rPr>
          <w:b w:val="0"/>
          <w:color w:val="000000"/>
          <w:sz w:val="22"/>
        </w:rPr>
        <w:t>In the pooled five-fold result, 423 of the 969 selected homes reached the target and 546 did not. Among 2,904 unselected homes, 558 reached it and 2,346 did not. The model therefore misses many target-reaching listings and selects many that do not reach the target. Its value is a more concentrated historical search pool, not reliable approval of individual leases. These counts do not describe a combined sample from the fifty repeated splits.</w:t>
      </w:r>
    </w:p>
    <w:p>
      <w:pPr>
        <w:pStyle w:val="Heading1"/>
        <w:pageBreakBefore/>
      </w:pPr>
      <w:r>
        <w:t>Questions and answers continued</w:t>
      </w:r>
    </w:p>
    <w:p>
      <w:pPr>
        <w:keepNext w:val="0"/>
      </w:pPr>
      <w:r>
        <w:rPr>
          <w:b w:val="0"/>
          <w:color w:val="000000"/>
          <w:sz w:val="20"/>
        </w:rPr>
        <w:t>Use these answers after the presentation. The named presenter leads; other members add only what is needed.</w:t>
      </w:r>
    </w:p>
    <w:p>
      <w:pPr>
        <w:pStyle w:val="Heading2"/>
        <w:pageBreakBefore w:val="0"/>
      </w:pPr>
      <w:r>
        <w:t>9 Do the price and one night associations justify changing policy</w:t>
      </w:r>
    </w:p>
    <w:p>
      <w:pPr>
        <w:keepNext/>
      </w:pPr>
      <w:r>
        <w:rPr>
          <w:b/>
          <w:color w:val="000000"/>
          <w:sz w:val="18"/>
        </w:rPr>
        <w:t>Lead answer Maksym Xu</w:t>
      </w:r>
    </w:p>
    <w:p>
      <w:pPr>
        <w:keepNext w:val="0"/>
      </w:pPr>
      <w:r>
        <w:rPr>
          <w:b w:val="0"/>
          <w:color w:val="000000"/>
          <w:sz w:val="22"/>
        </w:rPr>
        <w:t>No causal conclusion is established. After accounting for the recorded features, one-night acceptance is positively associated with the review target, while higher relative prices are negatively associated. Both directions held in the earlier five training folds. Longer stays can mechanically produce fewer reviews, and current settings may differ from the review year. The descriptive coefficient intervals also do not adjust for earlier feature selection. Any operating trial must measure paid nights, actual margin and cleaning workload.</w:t>
      </w:r>
    </w:p>
    <w:p>
      <w:pPr>
        <w:pStyle w:val="Heading2"/>
        <w:pageBreakBefore w:val="0"/>
      </w:pPr>
      <w:r>
        <w:t>10 Why is there no revenue target or fixed affordability cutoff</w:t>
      </w:r>
    </w:p>
    <w:p>
      <w:pPr>
        <w:keepNext/>
      </w:pPr>
      <w:r>
        <w:rPr>
          <w:b/>
          <w:color w:val="000000"/>
          <w:sz w:val="18"/>
        </w:rPr>
        <w:t>Lead answer Loc Le</w:t>
      </w:r>
    </w:p>
    <w:p>
      <w:pPr>
        <w:keepNext w:val="0"/>
      </w:pPr>
      <w:r>
        <w:rPr>
          <w:b w:val="0"/>
          <w:color w:val="000000"/>
          <w:sz w:val="22"/>
        </w:rPr>
        <w:t>The dataset's estimated revenue is partly constructed from reviews and other listing assumptions, so it cannot independently confirm commercial returns. We do not have verified rent, costs, permissions or paid nights for a candidate. Financial thresholds must follow actual quotes, conservative scenarios and the client's required buffer. We do not infer them from the review target.</w:t>
      </w:r>
    </w:p>
    <w:p>
      <w:pPr>
        <w:pStyle w:val="Heading2"/>
        <w:pageBreakBefore w:val="0"/>
      </w:pPr>
      <w:r>
        <w:t>11 Why does the cross year check use thirty four reviews</w:t>
      </w:r>
    </w:p>
    <w:p>
      <w:pPr>
        <w:keepNext/>
      </w:pPr>
      <w:r>
        <w:rPr>
          <w:b/>
          <w:color w:val="000000"/>
          <w:sz w:val="18"/>
        </w:rPr>
        <w:t>Lead answer Eric Huang</w:t>
      </w:r>
    </w:p>
    <w:p>
      <w:pPr>
        <w:keepNext w:val="0"/>
      </w:pPr>
      <w:r>
        <w:rPr>
          <w:b w:val="0"/>
          <w:color w:val="000000"/>
          <w:sz w:val="22"/>
        </w:rPr>
        <w:t>It follows the same 2,657 surviving listings across two non-overlapping 365-day windows reconstructed from dated reviews in one supplied snapshot. Earlier reference data set the fixed 34-review target. The earlier three leaders later reached 27.1 percent, versus 14.9 percent elsewhere. Overall attainment fell from 25.8 to 20.1 percent, but not all groups declined. This separate check concerns segment persistence, not future logistic predictions, and was not rerun in the new paired comparison.</w:t>
      </w:r>
    </w:p>
    <w:p>
      <w:pPr>
        <w:pStyle w:val="Heading2"/>
        <w:pageBreakBefore w:val="0"/>
      </w:pPr>
      <w:r>
        <w:t>12 Does the model help within the three recommended groups</w:t>
      </w:r>
    </w:p>
    <w:p>
      <w:pPr>
        <w:keepNext/>
      </w:pPr>
      <w:r>
        <w:rPr>
          <w:b/>
          <w:color w:val="000000"/>
          <w:sz w:val="18"/>
        </w:rPr>
        <w:t>Lead answer Eric Huang</w:t>
      </w:r>
    </w:p>
    <w:p>
      <w:pPr>
        <w:keepNext w:val="0"/>
      </w:pPr>
      <w:r>
        <w:rPr>
          <w:b w:val="0"/>
          <w:color w:val="000000"/>
          <w:sz w:val="22"/>
        </w:rPr>
        <w:t>An earlier supplementary check kept the existing test predictions and fixed a search quota inside each recommended group. The model reached 49.4 percent attainment, versus 33.4 percent expected from random selection within those groups. A different quota check also stayed positive. Those groups were chosen after analysis, so the result is exploratory and concerns established listings. The new fifty-split comparison covers all eligible listings; it does not repeat this within-group analysis or establish future performance.</w:t>
      </w:r>
    </w:p>
    <w:p>
      <w:pPr>
        <w:pStyle w:val="Heading1"/>
        <w:pageBreakBefore/>
      </w:pPr>
      <w:r>
        <w:t>Evidence and sources</w:t>
      </w:r>
    </w:p>
    <w:p>
      <w:pPr>
        <w:keepNext w:val="0"/>
      </w:pPr>
      <w:r>
        <w:rPr>
          <w:b w:val="0"/>
          <w:color w:val="000000"/>
          <w:sz w:val="22"/>
        </w:rPr>
        <w:t>The two model comparisons below use the same eligible population of 3,873 listings from 1,726 hosts. Their test designs and shortlist allocations differ.</w:t>
      </w:r>
    </w:p>
    <w:p>
      <w:pPr>
        <w:pStyle w:val="Heading2"/>
        <w:pageBreakBefore w:val="0"/>
      </w:pPr>
      <w:r>
        <w:t>Original five fold comparison</w:t>
      </w:r>
    </w:p>
    <w:p>
      <w:pPr>
        <w:keepNext w:val="0"/>
      </w:pPr>
      <w:r>
        <w:rPr>
          <w:b w:val="0"/>
          <w:color w:val="000000"/>
          <w:sz w:val="22"/>
        </w:rPr>
        <w:t>The original test produced one held-out score per listing and pooled those scores for a 969-home shortlist. Logistic attainment was 43.65% against 28.07% for the segment-rate baseline, a gain of 15.58 percentage points. The revised preprocessing reproduced those results.</w:t>
      </w:r>
    </w:p>
    <w:p>
      <w:pPr>
        <w:pStyle w:val="Heading2"/>
        <w:pageBreakBefore w:val="0"/>
      </w:pPr>
      <w:r>
        <w:t>Fifty repeated host splits</w:t>
      </w:r>
    </w:p>
    <w:tbl>
      <w:tblPr>
        <w:tblW w:type="auto" w:w="0"/>
        <w:jc w:val="center"/>
        <w:tblLayout w:type="fixed"/>
        <w:tblLook w:firstColumn="1" w:firstRow="1" w:lastColumn="0" w:lastRow="0" w:noHBand="0" w:noVBand="1" w:val="04A0"/>
      </w:tblPr>
      <w:tblGrid>
        <w:gridCol w:w="3816"/>
        <w:gridCol w:w="1872"/>
        <w:gridCol w:w="1872"/>
        <w:gridCol w:w="2160"/>
      </w:tblGrid>
      <w:tr>
        <w:trPr>
          <w:cantSplit/>
          <w:tblHeader/>
        </w:trPr>
        <w:tc>
          <w:tcPr>
            <w:tcW w:type="dxa" w:w="3816"/>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color w:val="FFFFFF"/>
                <w:sz w:val="21"/>
              </w:rPr>
              <w:t>Metric</w:t>
            </w:r>
          </w:p>
        </w:tc>
        <w:tc>
          <w:tcPr>
            <w:tcW w:type="dxa" w:w="1872"/>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1"/>
              </w:rPr>
              <w:t>Logistic</w:t>
            </w:r>
          </w:p>
        </w:tc>
        <w:tc>
          <w:tcPr>
            <w:tcW w:type="dxa" w:w="1872"/>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1"/>
              </w:rPr>
              <w:t>Baseline</w:t>
            </w:r>
          </w:p>
        </w:tc>
        <w:tc>
          <w:tcPr>
            <w:tcW w:type="dxa" w:w="2160"/>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color w:val="FFFFFF"/>
                <w:sz w:val="21"/>
              </w:rPr>
              <w:t>Better splits</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1"/>
              </w:rPr>
              <w:t>Shortlist target rate</w:t>
            </w:r>
          </w:p>
        </w:tc>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43.42%</w:t>
            </w:r>
          </w:p>
        </w:tc>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31.96%</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48 of 50</w:t>
            </w:r>
          </w:p>
        </w:tc>
      </w:tr>
      <w:tr>
        <w:trPr>
          <w:cantSplit/>
        </w:trPr>
        <w:tc>
          <w:tcPr>
            <w:tcW w:type="dxa" w:w="3816"/>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1"/>
              </w:rPr>
              <w:t>AUC</w:t>
            </w:r>
          </w:p>
        </w:tc>
        <w:tc>
          <w:tcPr>
            <w:tcW w:type="dxa" w:w="1872"/>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0.7084</w:t>
            </w:r>
          </w:p>
        </w:tc>
        <w:tc>
          <w:tcPr>
            <w:tcW w:type="dxa" w:w="1872"/>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0.6035</w:t>
            </w:r>
          </w:p>
        </w:tc>
        <w:tc>
          <w:tcPr>
            <w:tcW w:type="dxa" w:w="2160"/>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50 of 50</w:t>
            </w:r>
          </w:p>
        </w:tc>
      </w:tr>
      <w:tr>
        <w:trPr>
          <w:cantSplit/>
        </w:trPr>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left"/>
            </w:pPr>
            <w:r>
              <w:rPr>
                <w:b w:val="0"/>
                <w:color w:val="000000"/>
                <w:sz w:val="21"/>
              </w:rPr>
              <w:t>Brier score</w:t>
            </w:r>
          </w:p>
        </w:tc>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0.17151</w:t>
            </w:r>
          </w:p>
        </w:tc>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0.18406</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before="80" w:after="80" w:line="252" w:lineRule="auto"/>
              <w:jc w:val="center"/>
            </w:pPr>
            <w:r>
              <w:rPr>
                <w:b w:val="0"/>
                <w:color w:val="000000"/>
                <w:sz w:val="21"/>
              </w:rPr>
              <w:t>44 of 50</w:t>
            </w:r>
          </w:p>
        </w:tc>
      </w:tr>
    </w:tbl>
    <w:p>
      <w:pPr>
        <w:keepNext w:val="0"/>
        <w:spacing w:before="160"/>
      </w:pPr>
      <w:r>
        <w:rPr>
          <w:b w:val="0"/>
          <w:color w:val="000000"/>
          <w:sz w:val="21"/>
        </w:rPr>
        <w:t>Each split used the same test hosts and the same shortlist quota for both methods. The mean paired target-rate gain was 11.46 percentage points. Its fifth to ninety-fifth percentiles were 2.37 to 19.72 points. These describe split sensitivity, not a confidence interval. Higher AUC and lower Brier are better.</w:t>
      </w:r>
    </w:p>
    <w:p>
      <w:pPr>
        <w:keepNext w:val="0"/>
      </w:pPr>
      <w:r>
        <w:rPr>
          <w:b w:val="0"/>
          <w:color w:val="000000"/>
          <w:sz w:val="21"/>
        </w:rPr>
        <w:t>The one-night indicator followed earlier outcome inspection. The split checks therefore evaluate a frozen exploratory specification. They do not repeat variable selection inside training or create an untouched external test. The random-forest, priority-group and historical-window results are earlier supplementary analyses.</w:t>
      </w:r>
    </w:p>
    <w:p>
      <w:pPr>
        <w:keepNext w:val="0"/>
      </w:pPr>
      <w:r>
        <w:rPr>
          <w:b w:val="0"/>
          <w:color w:val="000000"/>
          <w:sz w:val="21"/>
        </w:rPr>
        <w:t>The independent arithmetic check reconstructed scores from fitted coefficients and recalculated the metrics. It did not fit the model with a second engine or rebuild the original dated-review input.</w:t>
      </w:r>
    </w:p>
    <w:p>
      <w:hyperlink r:id="rId11">
        <w:r>
          <w:rPr>
            <w:color w:val="174E80"/>
            <w:sz w:val="20"/>
          </w:rPr>
          <w:t>Repeated comparison code and aggregate results</w:t>
        </w:r>
      </w:hyperlink>
    </w:p>
    <w:p>
      <w:hyperlink r:id="rId12">
        <w:r>
          <w:rPr>
            <w:color w:val="174E80"/>
            <w:sz w:val="20"/>
          </w:rPr>
          <w:t>Original presentation evidence and source map</w:t>
        </w:r>
      </w:hyperlink>
    </w:p>
    <w:p>
      <w:hyperlink r:id="rId13">
        <w:r>
          <w:rPr>
            <w:color w:val="174E80"/>
            <w:sz w:val="20"/>
          </w:rPr>
          <w:t>English script source and deliverables</w:t>
        </w:r>
      </w:hyperlink>
    </w:p>
    <w:sectPr w:rsidR="00FC693F" w:rsidRPr="0006063C" w:rsidSect="00034616">
      <w:headerReference w:type="default" r:id="rId9"/>
      <w:footerReference w:type="default" r:id="rId10"/>
      <w:pgSz w:w="11909" w:h="16834"/>
      <w:pgMar w:top="950" w:right="1094" w:bottom="950" w:left="1094" w:header="360"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English rehearsal script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TheNextChapter Group 2    CMCE30005 final presentation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eastAsia="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Arial" w:hAnsi="Arial" w:eastAsia="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olor w:val="000000"/>
    </w:rPr>
  </w:style>
  <w:style w:type="paragraph" w:styleId="BodyText">
    <w:name w:val="Body Text"/>
    <w:basedOn w:val="Normal"/>
    <w:link w:val="BodyTextChar"/>
    <w:uiPriority w:val="99"/>
    <w:unhideWhenUsed/>
    <w:rsid w:val="00AA1D8D"/>
    <w:pPr>
      <w:spacing w:after="120"/>
    </w:pPr>
    <w:rPr>
      <w:rFonts w:ascii="Arial" w:hAnsi="Arial" w:eastAsia="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Arial"/>
      <w:color w:val="000000"/>
    </w:rPr>
  </w:style>
  <w:style w:type="paragraph" w:styleId="List2">
    <w:name w:val="List 2"/>
    <w:basedOn w:val="Normal"/>
    <w:uiPriority w:val="99"/>
    <w:unhideWhenUsed/>
    <w:rsid w:val="00326F90"/>
    <w:pPr>
      <w:ind w:left="720" w:hanging="360"/>
      <w:contextualSpacing/>
    </w:pPr>
    <w:rPr>
      <w:rFonts w:ascii="Arial" w:hAnsi="Arial" w:eastAsia="Arial"/>
      <w:color w:val="000000"/>
    </w:rPr>
  </w:style>
  <w:style w:type="paragraph" w:styleId="List3">
    <w:name w:val="List 3"/>
    <w:basedOn w:val="Normal"/>
    <w:uiPriority w:val="99"/>
    <w:unhideWhenUsed/>
    <w:rsid w:val="00326F90"/>
    <w:pPr>
      <w:ind w:left="1080" w:hanging="360"/>
      <w:contextualSpacing/>
    </w:pPr>
    <w:rPr>
      <w:rFonts w:ascii="Arial" w:hAnsi="Arial" w:eastAsia="Arial"/>
      <w:color w:val="000000"/>
    </w:rPr>
  </w:style>
  <w:style w:type="paragraph" w:styleId="ListBullet">
    <w:name w:val="List Bullet"/>
    <w:basedOn w:val="Normal"/>
    <w:uiPriority w:val="99"/>
    <w:unhideWhenUsed/>
    <w:rsid w:val="00326F90"/>
    <w:pPr>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rPr>
      <w:rFonts w:ascii="Arial" w:hAnsi="Arial" w:eastAsia="Arial"/>
      <w:color w:val="000000"/>
    </w:rPr>
  </w:style>
  <w:style w:type="paragraph" w:styleId="ListBullet3">
    <w:name w:val="List Bullet 3"/>
    <w:basedOn w:val="Normal"/>
    <w:uiPriority w:val="99"/>
    <w:unhideWhenUsed/>
    <w:rsid w:val="00326F90"/>
    <w:pPr>
      <w:numPr>
        <w:numId w:val="3"/>
      </w:numPr>
      <w:contextualSpacing/>
    </w:pPr>
    <w:rPr>
      <w:rFonts w:ascii="Arial" w:hAnsi="Arial" w:eastAsia="Arial"/>
      <w:color w:val="000000"/>
    </w:rPr>
  </w:style>
  <w:style w:type="paragraph" w:styleId="ListNumber">
    <w:name w:val="List Number"/>
    <w:basedOn w:val="Normal"/>
    <w:uiPriority w:val="99"/>
    <w:unhideWhenUsed/>
    <w:rsid w:val="00326F90"/>
    <w:pPr>
      <w:numPr>
        <w:numId w:val="5"/>
      </w:numPr>
      <w:contextualSpacing/>
    </w:pPr>
    <w:rPr>
      <w:rFonts w:ascii="Arial" w:hAnsi="Arial" w:eastAsia="Arial"/>
      <w:color w:val="000000"/>
    </w:rPr>
  </w:style>
  <w:style w:type="paragraph" w:styleId="ListNumber2">
    <w:name w:val="List Number 2"/>
    <w:basedOn w:val="Normal"/>
    <w:uiPriority w:val="99"/>
    <w:unhideWhenUsed/>
    <w:rsid w:val="0029639D"/>
    <w:pPr>
      <w:numPr>
        <w:numId w:val="6"/>
      </w:numPr>
      <w:contextualSpacing/>
    </w:pPr>
    <w:rPr>
      <w:rFonts w:ascii="Arial" w:hAnsi="Arial" w:eastAsia="Arial"/>
      <w:color w:val="000000"/>
    </w:rPr>
  </w:style>
  <w:style w:type="paragraph" w:styleId="ListNumber3">
    <w:name w:val="List Number 3"/>
    <w:basedOn w:val="Normal"/>
    <w:uiPriority w:val="99"/>
    <w:unhideWhenUsed/>
    <w:rsid w:val="0029639D"/>
    <w:pPr>
      <w:numPr>
        <w:numId w:val="7"/>
      </w:numPr>
      <w:contextualSpacing/>
    </w:pPr>
    <w:rPr>
      <w:rFonts w:ascii="Arial" w:hAnsi="Arial" w:eastAsia="Arial"/>
      <w:color w:val="000000"/>
    </w:rPr>
  </w:style>
  <w:style w:type="paragraph" w:styleId="ListContinue">
    <w:name w:val="List Continue"/>
    <w:basedOn w:val="Normal"/>
    <w:uiPriority w:val="99"/>
    <w:unhideWhenUsed/>
    <w:rsid w:val="0029639D"/>
    <w:pPr>
      <w:spacing w:after="120"/>
      <w:ind w:left="360"/>
      <w:contextualSpacing/>
    </w:pPr>
    <w:rPr>
      <w:rFonts w:ascii="Arial" w:hAnsi="Arial" w:eastAsia="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eastAsia="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eastAsia="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aksym-xu/CMCE30005-TheNextChapter/tree/final-presentation-release-2026-10-01/final-report/paired-analysis-2026-10-02" TargetMode="External"/><Relationship Id="rId12" Type="http://schemas.openxmlformats.org/officeDocument/2006/relationships/hyperlink" Target="https://github.com/maksym-xu/CMCE30005-TheNextChapter/tree/final-presentation-release-2026-10-01/final-presentation" TargetMode="External"/><Relationship Id="rId13" Type="http://schemas.openxmlformats.org/officeDocument/2006/relationships/hyperlink" Target="https://github.com/maksym-xu/CMCE30005-TheNextChapter/tree/final-presentation-release-2026-10-01/final-presentation/english-script-2026-1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Arial"/>
        <a:font script="Hant" typeface="Arial"/>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Arial"/>
        <a:font script="Hang" typeface="맑은 고딕"/>
        <a:font script="Hans" typeface="Arial"/>
        <a:font script="Hant" typeface="Arial"/>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Melbourne Airbnb Final Presentation Script</dc:title>
  <dc:subject>English presentation script and questions</dc:subject>
  <dc:creator>TheNextChapter Group 2</dc:creator>
  <cp:keywords>Melbourne Airbnb final presentation</cp:keywords>
  <dc:description/>
  <cp:lastModifiedBy>TheNextChapter Group 2</cp:lastModifiedBy>
  <cp:revision>1</cp:revision>
  <dcterms:created xsi:type="dcterms:W3CDTF">2013-12-23T23:15:00Z</dcterms:created>
  <dcterms:modified xsi:type="dcterms:W3CDTF">2013-12-23T23:15:00Z</dcterms:modified>
  <cp:category/>
</cp:coreProperties>
</file>