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Melbourne Airbnb Market Screening</w:t>
      </w:r>
    </w:p>
    <w:p>
      <w:pPr>
        <w:widowControl/>
        <w:spacing w:after="120" w:line="259" w:lineRule="auto"/>
        <w:jc w:val="left"/>
      </w:pPr>
      <w:r>
        <w:rPr>
          <w:rFonts w:ascii="Arial" w:hAnsi="Arial" w:eastAsia="Arial" w:cs="Arial"/>
          <w:b/>
        </w:rPr>
        <w:t>CMCE30005 Final Project Report | Group 2</w:t>
      </w:r>
    </w:p>
    <w:p>
      <w:pPr>
        <w:widowControl/>
        <w:spacing w:after="120" w:line="259" w:lineRule="auto"/>
        <w:jc w:val="left"/>
      </w:pPr>
      <w:r>
        <w:rPr>
          <w:rFonts w:ascii="Arial" w:hAnsi="Arial" w:eastAsia="Arial" w:cs="Arial"/>
          <w:b/>
        </w:rPr>
        <w:t>Eric Huang and Maksym Xu</w:t>
      </w:r>
    </w:p>
    <w:p>
      <w:pPr>
        <w:widowControl/>
        <w:spacing w:after="120" w:line="259" w:lineRule="auto"/>
        <w:jc w:val="left"/>
      </w:pPr>
      <w:r>
        <w:rPr>
          <w:rFonts w:ascii="Arial" w:hAnsi="Arial" w:eastAsia="Arial" w:cs="Arial"/>
          <w:b/>
        </w:rPr>
        <w:t>Project repository:</w:t>
      </w:r>
      <w:r>
        <w:rPr>
          <w:rFonts w:ascii="Arial" w:hAnsi="Arial" w:eastAsia="Arial" w:cs="Arial"/>
        </w:rPr>
        <w:t xml:space="preserve"> </w:t>
      </w:r>
      <w:hyperlink r:id="rId13">
        <w:r>
          <w:rPr>
            <w:rFonts w:ascii="Arial" w:hAnsi="Arial" w:eastAsia="Arial" w:cs="Arial"/>
            <w:color w:val="0563C1"/>
            <w:u w:val="single"/>
          </w:rPr>
          <w:t xml:space="preserve">https://github.com/maksym-xu/CMCE30005-TheNextChapter/tree/main</w:t>
        </w:r>
      </w:hyperlink>
    </w:p>
    <w:p>
      <w:pPr>
        <w:pStyle w:val="Heading1"/>
        <w:keepNext/>
        <w:pageBreakBefore w:val="0"/>
      </w:pPr>
      <w:r>
        <w:rPr>
          <w:rFonts w:ascii="Arial" w:hAnsi="Arial" w:eastAsia="Arial" w:cs="Arial"/>
        </w:rPr>
        <w:t>1. Introduction</w:t>
      </w:r>
    </w:p>
    <w:p>
      <w:pPr>
        <w:widowControl/>
        <w:spacing w:after="120" w:line="259" w:lineRule="auto"/>
        <w:jc w:val="left"/>
      </w:pPr>
      <w:r>
        <w:rPr>
          <w:rFonts w:ascii="Arial" w:hAnsi="Arial" w:eastAsia="Arial" w:cs="Arial"/>
        </w:rPr>
        <w:t>Our client plans to lease homes in Greater Melbourne for Airbnb short stays. Rent and setup costs come before guest income, so a poor lease ties up scarce startup funds.</w:t>
      </w:r>
    </w:p>
    <w:p>
      <w:pPr>
        <w:widowControl/>
        <w:spacing w:after="120" w:line="259" w:lineRule="auto"/>
        <w:jc w:val="left"/>
      </w:pPr>
      <w:r>
        <w:rPr>
          <w:rFonts w:ascii="Arial" w:hAnsi="Arial" w:eastAsia="Arial" w:cs="Arial"/>
        </w:rPr>
        <w:t>We recommend City of Melbourne two- and three-bedroom apartments first, then Yarra Ranges three-bedroom houses and townhouses. These groups had the highest shares of busy homes (30+ reviews a year, about 180+ booked nights) and typical estimated revenue of AUD 30,600–48,600 a year before costs, against AUD 24,700 overall.</w:t>
      </w:r>
    </w:p>
    <w:p>
      <w:pPr>
        <w:widowControl/>
        <w:spacing w:after="120" w:line="259" w:lineRule="auto"/>
        <w:jc w:val="left"/>
      </w:pPr>
      <w:r>
        <w:rPr>
          <w:rFonts w:ascii="Arial" w:hAnsi="Arial" w:eastAsia="Arial" w:cs="Arial"/>
        </w:rPr>
        <w:t>Within these groups, half of the homes that accepted one-night stays and were priced at or below similar homes were busy (50.4%), against a third of all their homes (33.4%). Section 6 turns this into a search order, a checklist and a cost test.</w:t>
      </w:r>
    </w:p>
    <w:p>
      <w:pPr>
        <w:pStyle w:val="Heading1"/>
        <w:keepNext/>
        <w:pageBreakBefore w:val="0"/>
      </w:pPr>
      <w:r>
        <w:rPr>
          <w:rFonts w:ascii="Arial" w:hAnsi="Arial" w:eastAsia="Arial" w:cs="Arial"/>
        </w:rPr>
        <w:t>2. Problem Definition and Objectives</w:t>
      </w:r>
    </w:p>
    <w:p>
      <w:pPr>
        <w:widowControl/>
        <w:spacing w:after="120" w:line="259" w:lineRule="auto"/>
        <w:jc w:val="left"/>
      </w:pPr>
      <w:r>
        <w:rPr>
          <w:rFonts w:ascii="Arial" w:hAnsi="Arial" w:eastAsia="Arial" w:cs="Arial"/>
        </w:rPr>
        <w:t xml:space="preserve">The business question is: </w:t>
      </w:r>
      <w:r>
        <w:rPr>
          <w:rFonts w:ascii="Arial" w:hAnsi="Arial" w:eastAsia="Arial" w:cs="Arial"/>
          <w:b/>
        </w:rPr>
        <w:t>where should a rent-to-rent operator with limited funds search, and which homes should it inspect first?</w:t>
      </w:r>
      <w:r>
        <w:rPr>
          <w:rFonts w:ascii="Arial" w:hAnsi="Arial" w:eastAsia="Arial" w:cs="Arial"/>
        </w:rPr>
        <w:t xml:space="preserve"> We set three objectives:</w:t>
      </w:r>
    </w:p>
    <w:p>
      <w:pPr>
        <w:widowControl/>
        <w:spacing w:after="80" w:line="259" w:lineRule="auto"/>
        <w:ind w:left="432" w:hanging="432"/>
        <w:jc w:val="left"/>
      </w:pPr>
      <w:r>
        <w:rPr>
          <w:rFonts w:ascii="Arial" w:hAnsi="Arial" w:eastAsia="Arial" w:cs="Arial"/>
        </w:rPr>
        <w:t>1.</w:t>
        <w:tab/>
      </w:r>
      <w:r>
        <w:rPr>
          <w:rFonts w:ascii="Arial" w:hAnsi="Arial" w:eastAsia="Arial" w:cs="Arial"/>
        </w:rPr>
        <w:t>Rank property groups by their share of homes with strong guest activity, and express this in nights and revenue.</w:t>
      </w:r>
    </w:p>
    <w:p>
      <w:pPr>
        <w:widowControl/>
        <w:spacing w:after="80" w:line="259" w:lineRule="auto"/>
        <w:ind w:left="432" w:hanging="432"/>
        <w:jc w:val="left"/>
      </w:pPr>
      <w:r>
        <w:rPr>
          <w:rFonts w:ascii="Arial" w:hAnsi="Arial" w:eastAsia="Arial" w:cs="Arial"/>
        </w:rPr>
        <w:t>2.</w:t>
        <w:tab/>
      </w:r>
      <w:r>
        <w:rPr>
          <w:rFonts w:ascii="Arial" w:hAnsi="Arial" w:eastAsia="Arial" w:cs="Arial"/>
        </w:rPr>
        <w:t>Identify which home settings go with strong activity, and whether they help pick homes within the leading groups.</w:t>
      </w:r>
    </w:p>
    <w:p>
      <w:pPr>
        <w:widowControl/>
        <w:spacing w:after="80" w:line="259" w:lineRule="auto"/>
        <w:ind w:left="432" w:hanging="432"/>
        <w:jc w:val="left"/>
      </w:pPr>
      <w:r>
        <w:rPr>
          <w:rFonts w:ascii="Arial" w:hAnsi="Arial" w:eastAsia="Arial" w:cs="Arial"/>
        </w:rPr>
        <w:t>3.</w:t>
        <w:tab/>
      </w:r>
      <w:r>
        <w:rPr>
          <w:rFonts w:ascii="Arial" w:hAnsi="Arial" w:eastAsia="Arial" w:cs="Arial"/>
        </w:rPr>
        <w:t>Turn the results into a search order and a four-week inspection plan.</w:t>
      </w:r>
    </w:p>
    <w:p>
      <w:pPr>
        <w:widowControl/>
        <w:spacing w:after="120" w:line="259" w:lineRule="auto"/>
        <w:jc w:val="left"/>
      </w:pPr>
      <w:r>
        <w:rPr>
          <w:rFonts w:ascii="Arial" w:hAnsi="Arial" w:eastAsia="Arial" w:cs="Arial"/>
        </w:rPr>
        <w:t>Objective 1 needs only a simple summary by group (Section 5.2). Objective 2 uses a model to separate settings from location, then tests a simpler two-setting rule.</w:t>
      </w:r>
    </w:p>
    <w:p>
      <w:pPr>
        <w:widowControl/>
        <w:spacing w:after="120" w:line="259" w:lineRule="auto"/>
        <w:jc w:val="left"/>
      </w:pPr>
      <w:r>
        <w:rPr>
          <w:rFonts w:ascii="Arial" w:hAnsi="Arial" w:eastAsia="Arial" w:cs="Arial"/>
        </w:rPr>
        <w:t xml:space="preserve">A </w:t>
      </w:r>
      <w:r>
        <w:rPr>
          <w:rFonts w:ascii="Arial" w:hAnsi="Arial" w:eastAsia="Arial" w:cs="Arial"/>
          <w:b/>
        </w:rPr>
        <w:t>group</w:t>
      </w:r>
      <w:r>
        <w:rPr>
          <w:rFonts w:ascii="Arial" w:hAnsi="Arial" w:eastAsia="Arial" w:cs="Arial"/>
        </w:rPr>
        <w:t xml:space="preserve"> combines council area, dwelling type and bedroom count. A home is </w:t>
      </w:r>
      <w:r>
        <w:rPr>
          <w:rFonts w:ascii="Arial" w:hAnsi="Arial" w:eastAsia="Arial" w:cs="Arial"/>
          <w:b/>
        </w:rPr>
        <w:t>busy</w:t>
      </w:r>
      <w:r>
        <w:rPr>
          <w:rFonts w:ascii="Arial" w:hAnsi="Arial" w:eastAsia="Arial" w:cs="Arial"/>
        </w:rPr>
        <w:t xml:space="preserve"> (reaches our target) when it receives at least 30 guest reviews in the year before data collection, a level reached by a quarter of set-aside reference homes (Section 3). Inside Airbnb (n.d.) assumes half of stays are reviewed and each lasts three nights (or the minimum stay if longer). Estimated nights are capped at 255 a year; 30 reviews means about 180 booked nights.</w:t>
      </w:r>
    </w:p>
    <w:p>
      <w:pPr>
        <w:widowControl/>
        <w:spacing w:after="120" w:line="259" w:lineRule="auto"/>
        <w:jc w:val="left"/>
      </w:pPr>
      <w:r>
        <w:rPr>
          <w:rFonts w:ascii="Arial" w:hAnsi="Arial" w:eastAsia="Arial" w:cs="Arial"/>
          <w:b/>
        </w:rPr>
        <w:t>What review activity measures.</w:t>
      </w:r>
      <w:r>
        <w:rPr>
          <w:rFonts w:ascii="Arial" w:hAnsi="Arial" w:eastAsia="Arial" w:cs="Arial"/>
        </w:rPr>
        <w:t xml:space="preserve"> Guests review only after a stay, so reviews track completed bookings, a guide to demand and occupancy; this matters because empty nights are the operator's main risk. Review counts show neither profit (rents and costs are unknown) nor satisfaction (reviews can be negative), so we convert them into nights and revenue and check sentiment through star ratings (Section 5.1). We do not rank on revenue: Inside Airbnb estimates it from reviews and advertised prices, and without rents a higher price is not a better lease.</w:t>
      </w:r>
    </w:p>
    <w:p>
      <w:pPr>
        <w:widowControl/>
        <w:spacing w:after="120" w:line="259" w:lineRule="auto"/>
        <w:jc w:val="left"/>
      </w:pPr>
      <w:r>
        <w:rPr>
          <w:rFonts w:ascii="Arial" w:hAnsi="Arial" w:eastAsia="Arial" w:cs="Arial"/>
        </w:rPr>
        <w:t>Since the interim report, we replaced its random forest with an explainable logistic regression.</w:t>
      </w:r>
    </w:p>
    <w:p>
      <w:pPr>
        <w:pStyle w:val="Heading1"/>
        <w:keepNext/>
        <w:pageBreakBefore w:val="0"/>
      </w:pPr>
      <w:r>
        <w:rPr>
          <w:rFonts w:ascii="Arial" w:hAnsi="Arial" w:eastAsia="Arial" w:cs="Arial"/>
        </w:rPr>
        <w:t>3. Data Description and Preparation</w:t>
      </w:r>
    </w:p>
    <w:p>
      <w:pPr>
        <w:widowControl/>
        <w:spacing w:after="120" w:line="259" w:lineRule="auto"/>
        <w:jc w:val="left"/>
      </w:pPr>
      <w:r>
        <w:rPr>
          <w:rFonts w:ascii="Arial" w:hAnsi="Arial" w:eastAsia="Arial" w:cs="Arial"/>
        </w:rPr>
        <w:t>We use one Inside Airbnb snapshot of Melbourne, supplied through the subject LMS and collected 17 June–1 July 2026 (Inside Airbnb, 2026). It holds 25,728 listings and 1,026,690 dated reviews. We did not use the calendar, which cannot separate bookings from blocked nights.</w:t>
      </w:r>
    </w:p>
    <w:p>
      <w:pPr>
        <w:widowControl/>
        <w:spacing w:after="120" w:line="259" w:lineRule="auto"/>
        <w:jc w:val="left"/>
      </w:pPr>
      <w:r>
        <w:rPr>
          <w:rFonts w:ascii="Arial" w:hAnsi="Arial" w:eastAsia="Arial" w:cs="Arial"/>
        </w:rPr>
        <w:t>Cleaning converted prices to numbers, standardized missing entries, counted amenities and rebuilt annual review counts from review dates. Price is missing for 6,553 listings (25%) and bedrooms for 4,679 (18%); 4,477 listings (17%) have never been reviewed.</w:t>
      </w:r>
    </w:p>
    <w:p>
      <w:pPr>
        <w:widowControl/>
        <w:spacing w:after="120" w:line="259" w:lineRule="auto"/>
        <w:jc w:val="left"/>
      </w:pPr>
      <w:r>
        <w:rPr>
          <w:rFonts w:ascii="Arial" w:hAnsi="Arial" w:eastAsia="Arial" w:cs="Arial"/>
        </w:rPr>
        <w:t>We keep homes priced AUD 30–1,500 that are entire rental units or condos (</w:t>
      </w:r>
      <w:r>
        <w:rPr>
          <w:rFonts w:ascii="Arial" w:hAnsi="Arial" w:eastAsia="Arial" w:cs="Arial"/>
          <w:i/>
        </w:rPr>
        <w:t>apartments</w:t>
      </w:r>
      <w:r>
        <w:rPr>
          <w:rFonts w:ascii="Arial" w:hAnsi="Arial" w:eastAsia="Arial" w:cs="Arial"/>
        </w:rPr>
        <w:t>) or entire homes or townhouses (</w:t>
      </w:r>
      <w:r>
        <w:rPr>
          <w:rFonts w:ascii="Arial" w:hAnsi="Arial" w:eastAsia="Arial" w:cs="Arial"/>
          <w:i/>
        </w:rPr>
        <w:t>houses/townhouses</w:t>
      </w:r>
      <w:r>
        <w:rPr>
          <w:rFonts w:ascii="Arial" w:hAnsi="Arial" w:eastAsia="Arial" w:cs="Arial"/>
        </w:rPr>
        <w:t>), with one to three bedrooms and a first review at least a year before collection, so each has a full year of reviews.</w:t>
      </w:r>
    </w:p>
    <w:p>
      <w:pPr>
        <w:widowControl/>
        <w:spacing w:after="120" w:line="259" w:lineRule="auto"/>
        <w:jc w:val="left"/>
      </w:pPr>
      <w:r>
        <w:rPr>
          <w:rFonts w:ascii="Arial" w:hAnsi="Arial" w:eastAsia="Arial" w:cs="Arial"/>
        </w:rPr>
        <w:t>We set aside about one in five hosts (1,342 homes) to set an independent target: of their 906 homes in the final groups, a quarter received 30 or more reviews (Table 1).</w:t>
      </w:r>
    </w:p>
    <w:p>
      <w:pPr>
        <w:keepNext/>
        <w:widowControl/>
        <w:spacing w:after="80" w:before="80" w:line="259" w:lineRule="auto"/>
        <w:jc w:val="left"/>
      </w:pPr>
      <w:r>
        <w:rPr>
          <w:rFonts w:ascii="Arial" w:hAnsi="Arial" w:eastAsia="Arial" w:cs="Arial"/>
          <w:b/>
        </w:rPr>
        <w:t>Table 1. From supplied listings to analysis sample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8156"/>
        <w:gridCol w:w="1709"/>
      </w:tblGrid>
      <w:tr>
        <w:trPr>
          <w:cantSplit/>
          <w:tblHeader/>
        </w:trPr>
        <w:tc>
          <w:tcPr>
            <w:tcW w:type="dxa" w:w="8156"/>
            <w:vAlign w:val="center"/>
            <w:shd w:val="clear" w:color="auto" w:fill="E9EEF3"/>
          </w:tcPr>
          <w:p>
            <w:pPr>
              <w:keepNext/>
              <w:spacing w:before="40" w:after="40" w:line="240" w:lineRule="auto"/>
              <w:jc w:val="left"/>
            </w:pPr>
            <w:r>
              <w:rPr>
                <w:rFonts w:ascii="Arial" w:hAnsi="Arial" w:eastAsia="Arial" w:cs="Arial"/>
                <w:b/>
                <w:sz w:val="21"/>
              </w:rPr>
              <w:t>Step</w:t>
            </w:r>
          </w:p>
        </w:tc>
        <w:tc>
          <w:tcPr>
            <w:tcW w:type="dxa" w:w="1709"/>
            <w:vAlign w:val="center"/>
            <w:shd w:val="clear" w:color="auto" w:fill="E9EEF3"/>
          </w:tcPr>
          <w:p>
            <w:pPr>
              <w:keepNext/>
              <w:spacing w:before="40" w:after="40" w:line="240" w:lineRule="auto"/>
              <w:jc w:val="left"/>
            </w:pPr>
            <w:r>
              <w:rPr>
                <w:rFonts w:ascii="Arial" w:hAnsi="Arial" w:eastAsia="Arial" w:cs="Arial"/>
                <w:b/>
                <w:sz w:val="21"/>
              </w:rPr>
              <w:t>Homes</w:t>
            </w:r>
          </w:p>
        </w:tc>
      </w:tr>
      <w:tr>
        <w:trPr>
          <w:cantSplit/>
        </w:trPr>
        <w:tc>
          <w:tcPr>
            <w:tcW w:type="dxa" w:w="8156"/>
            <w:vAlign w:val="center"/>
            <w:shd w:val="clear" w:color="auto" w:fill="FFFFFF"/>
          </w:tcPr>
          <w:p>
            <w:pPr>
              <w:keepNext/>
              <w:spacing w:before="40" w:after="40" w:line="240" w:lineRule="auto"/>
              <w:jc w:val="left"/>
            </w:pPr>
            <w:r>
              <w:rPr>
                <w:rFonts w:ascii="Arial" w:hAnsi="Arial" w:eastAsia="Arial" w:cs="Arial"/>
                <w:sz w:val="21"/>
              </w:rPr>
              <w:t>All listings</w:t>
            </w:r>
          </w:p>
        </w:tc>
        <w:tc>
          <w:tcPr>
            <w:tcW w:type="dxa" w:w="1709"/>
            <w:vAlign w:val="center"/>
            <w:shd w:val="clear" w:color="auto" w:fill="FFFFFF"/>
          </w:tcPr>
          <w:p>
            <w:pPr>
              <w:keepNext/>
              <w:spacing w:before="40" w:after="40" w:line="240" w:lineRule="auto"/>
              <w:jc w:val="right"/>
            </w:pPr>
            <w:r>
              <w:rPr>
                <w:rFonts w:ascii="Arial" w:hAnsi="Arial" w:eastAsia="Arial" w:cs="Arial"/>
                <w:sz w:val="21"/>
              </w:rPr>
              <w:t>25,728</w:t>
            </w:r>
          </w:p>
        </w:tc>
      </w:tr>
      <w:tr>
        <w:trPr>
          <w:cantSplit/>
        </w:trPr>
        <w:tc>
          <w:tcPr>
            <w:tcW w:type="dxa" w:w="8156"/>
            <w:vAlign w:val="center"/>
            <w:shd w:val="clear" w:color="auto" w:fill="FFFFFF"/>
          </w:tcPr>
          <w:p>
            <w:pPr>
              <w:keepNext/>
              <w:spacing w:before="40" w:after="40" w:line="240" w:lineRule="auto"/>
              <w:jc w:val="left"/>
            </w:pPr>
            <w:r>
              <w:rPr>
                <w:rFonts w:ascii="Arial" w:hAnsi="Arial" w:eastAsia="Arial" w:cs="Arial"/>
                <w:sz w:val="21"/>
              </w:rPr>
              <w:t>Entire homes with one to three bedrooms</w:t>
            </w:r>
          </w:p>
        </w:tc>
        <w:tc>
          <w:tcPr>
            <w:tcW w:type="dxa" w:w="1709"/>
            <w:vAlign w:val="center"/>
            <w:shd w:val="clear" w:color="auto" w:fill="FFFFFF"/>
          </w:tcPr>
          <w:p>
            <w:pPr>
              <w:keepNext/>
              <w:spacing w:before="40" w:after="40" w:line="240" w:lineRule="auto"/>
              <w:jc w:val="right"/>
            </w:pPr>
            <w:r>
              <w:rPr>
                <w:rFonts w:ascii="Arial" w:hAnsi="Arial" w:eastAsia="Arial" w:cs="Arial"/>
                <w:sz w:val="21"/>
              </w:rPr>
              <w:t>16,576</w:t>
            </w:r>
          </w:p>
        </w:tc>
      </w:tr>
      <w:tr>
        <w:trPr>
          <w:cantSplit/>
        </w:trPr>
        <w:tc>
          <w:tcPr>
            <w:tcW w:type="dxa" w:w="8156"/>
            <w:vAlign w:val="center"/>
            <w:shd w:val="clear" w:color="auto" w:fill="FFFFFF"/>
          </w:tcPr>
          <w:p>
            <w:pPr>
              <w:keepNext/>
              <w:spacing w:before="40" w:after="40" w:line="240" w:lineRule="auto"/>
              <w:jc w:val="left"/>
            </w:pPr>
            <w:r>
              <w:rPr>
                <w:rFonts w:ascii="Arial" w:hAnsi="Arial" w:eastAsia="Arial" w:cs="Arial"/>
                <w:sz w:val="21"/>
              </w:rPr>
              <w:t>Apartments, condos, houses and townhouses</w:t>
            </w:r>
          </w:p>
        </w:tc>
        <w:tc>
          <w:tcPr>
            <w:tcW w:type="dxa" w:w="1709"/>
            <w:vAlign w:val="center"/>
            <w:shd w:val="clear" w:color="auto" w:fill="FFFFFF"/>
          </w:tcPr>
          <w:p>
            <w:pPr>
              <w:keepNext/>
              <w:spacing w:before="40" w:after="40" w:line="240" w:lineRule="auto"/>
              <w:jc w:val="right"/>
            </w:pPr>
            <w:r>
              <w:rPr>
                <w:rFonts w:ascii="Arial" w:hAnsi="Arial" w:eastAsia="Arial" w:cs="Arial"/>
                <w:sz w:val="21"/>
              </w:rPr>
              <w:t>14,895</w:t>
            </w:r>
          </w:p>
        </w:tc>
      </w:tr>
      <w:tr>
        <w:trPr>
          <w:cantSplit/>
        </w:trPr>
        <w:tc>
          <w:tcPr>
            <w:tcW w:type="dxa" w:w="8156"/>
            <w:vAlign w:val="center"/>
            <w:shd w:val="clear" w:color="auto" w:fill="FFFFFF"/>
          </w:tcPr>
          <w:p>
            <w:pPr>
              <w:keepNext/>
              <w:spacing w:before="40" w:after="40" w:line="240" w:lineRule="auto"/>
              <w:jc w:val="left"/>
            </w:pPr>
            <w:r>
              <w:rPr>
                <w:rFonts w:ascii="Arial" w:hAnsi="Arial" w:eastAsia="Arial" w:cs="Arial"/>
                <w:sz w:val="21"/>
              </w:rPr>
              <w:t>Priced AUD 30–1,500</w:t>
            </w:r>
          </w:p>
        </w:tc>
        <w:tc>
          <w:tcPr>
            <w:tcW w:type="dxa" w:w="1709"/>
            <w:vAlign w:val="center"/>
            <w:shd w:val="clear" w:color="auto" w:fill="FFFFFF"/>
          </w:tcPr>
          <w:p>
            <w:pPr>
              <w:keepNext/>
              <w:spacing w:before="40" w:after="40" w:line="240" w:lineRule="auto"/>
              <w:jc w:val="right"/>
            </w:pPr>
            <w:r>
              <w:rPr>
                <w:rFonts w:ascii="Arial" w:hAnsi="Arial" w:eastAsia="Arial" w:cs="Arial"/>
                <w:sz w:val="21"/>
              </w:rPr>
              <w:t>11,099</w:t>
            </w:r>
          </w:p>
        </w:tc>
      </w:tr>
      <w:tr>
        <w:trPr>
          <w:cantSplit/>
        </w:trPr>
        <w:tc>
          <w:tcPr>
            <w:tcW w:type="dxa" w:w="8156"/>
            <w:vAlign w:val="center"/>
            <w:shd w:val="clear" w:color="auto" w:fill="FFFFFF"/>
          </w:tcPr>
          <w:p>
            <w:pPr>
              <w:keepNext/>
              <w:spacing w:before="40" w:after="40" w:line="240" w:lineRule="auto"/>
              <w:jc w:val="left"/>
            </w:pPr>
            <w:r>
              <w:rPr>
                <w:rFonts w:ascii="Arial" w:hAnsi="Arial" w:eastAsia="Arial" w:cs="Arial"/>
                <w:sz w:val="21"/>
              </w:rPr>
              <w:t>First review at least a year before collection</w:t>
            </w:r>
          </w:p>
        </w:tc>
        <w:tc>
          <w:tcPr>
            <w:tcW w:type="dxa" w:w="1709"/>
            <w:vAlign w:val="center"/>
            <w:shd w:val="clear" w:color="auto" w:fill="FFFFFF"/>
          </w:tcPr>
          <w:p>
            <w:pPr>
              <w:keepNext/>
              <w:spacing w:before="40" w:after="40" w:line="240" w:lineRule="auto"/>
              <w:jc w:val="right"/>
            </w:pPr>
            <w:r>
              <w:rPr>
                <w:rFonts w:ascii="Arial" w:hAnsi="Arial" w:eastAsia="Arial" w:cs="Arial"/>
                <w:sz w:val="21"/>
              </w:rPr>
              <w:t>6,891</w:t>
            </w:r>
          </w:p>
        </w:tc>
      </w:tr>
      <w:tr>
        <w:trPr>
          <w:cantSplit/>
        </w:trPr>
        <w:tc>
          <w:tcPr>
            <w:tcW w:type="dxa" w:w="8156"/>
            <w:vAlign w:val="center"/>
            <w:shd w:val="clear" w:color="auto" w:fill="FFFFFF"/>
          </w:tcPr>
          <w:p>
            <w:pPr>
              <w:keepNext/>
              <w:spacing w:before="40" w:after="40" w:line="240" w:lineRule="auto"/>
              <w:jc w:val="left"/>
            </w:pPr>
            <w:r>
              <w:rPr>
                <w:rFonts w:ascii="Arial" w:hAnsi="Arial" w:eastAsia="Arial" w:cs="Arial"/>
                <w:sz w:val="21"/>
              </w:rPr>
              <w:t>After setting aside 1,342 reference-host homes</w:t>
            </w:r>
          </w:p>
        </w:tc>
        <w:tc>
          <w:tcPr>
            <w:tcW w:type="dxa" w:w="1709"/>
            <w:vAlign w:val="center"/>
            <w:shd w:val="clear" w:color="auto" w:fill="FFFFFF"/>
          </w:tcPr>
          <w:p>
            <w:pPr>
              <w:keepNext/>
              <w:spacing w:before="40" w:after="40" w:line="240" w:lineRule="auto"/>
              <w:jc w:val="right"/>
            </w:pPr>
            <w:r>
              <w:rPr>
                <w:rFonts w:ascii="Arial" w:hAnsi="Arial" w:eastAsia="Arial" w:cs="Arial"/>
                <w:sz w:val="21"/>
              </w:rPr>
              <w:t>5,549</w:t>
            </w:r>
          </w:p>
        </w:tc>
      </w:tr>
      <w:tr>
        <w:trPr>
          <w:cantSplit/>
        </w:trPr>
        <w:tc>
          <w:tcPr>
            <w:tcW w:type="dxa" w:w="8156"/>
            <w:vAlign w:val="center"/>
            <w:shd w:val="clear" w:color="auto" w:fill="FFFFFF"/>
          </w:tcPr>
          <w:p>
            <w:pPr>
              <w:spacing w:before="40" w:after="40" w:line="240" w:lineRule="auto"/>
              <w:jc w:val="left"/>
            </w:pPr>
            <w:r>
              <w:rPr>
                <w:rFonts w:ascii="Arial" w:hAnsi="Arial" w:eastAsia="Arial" w:cs="Arial"/>
                <w:b/>
                <w:sz w:val="21"/>
              </w:rPr>
              <w:t>Analysis sample: 14 groups with at least 50 homes</w:t>
            </w:r>
          </w:p>
        </w:tc>
        <w:tc>
          <w:tcPr>
            <w:tcW w:type="dxa" w:w="1709"/>
            <w:vAlign w:val="center"/>
            <w:shd w:val="clear" w:color="auto" w:fill="FFFFFF"/>
          </w:tcPr>
          <w:p>
            <w:pPr>
              <w:spacing w:before="40" w:after="40" w:line="240" w:lineRule="auto"/>
              <w:jc w:val="right"/>
            </w:pPr>
            <w:r>
              <w:rPr>
                <w:rFonts w:ascii="Arial" w:hAnsi="Arial" w:eastAsia="Arial" w:cs="Arial"/>
                <w:b/>
                <w:sz w:val="21"/>
              </w:rPr>
              <w:t>3,873</w:t>
            </w:r>
          </w:p>
        </w:tc>
      </w:tr>
    </w:tbl>
    <w:p>
      <w:pPr>
        <w:widowControl/>
        <w:spacing w:after="80" w:line="240" w:lineRule="auto"/>
        <w:jc w:val="left"/>
      </w:pPr>
    </w:p>
    <w:p>
      <w:pPr>
        <w:widowControl/>
        <w:spacing w:after="120" w:line="259" w:lineRule="auto"/>
        <w:jc w:val="left"/>
      </w:pPr>
      <w:r>
        <w:rPr>
          <w:rFonts w:ascii="Arial" w:hAnsi="Arial" w:eastAsia="Arial" w:cs="Arial"/>
        </w:rPr>
        <w:t>The 3,873 analysis homes belong to 1,726 hosts in six council areas, the only areas with groups of at least 50 homes. The price rule drops 3,796 residential listings: 77.8% had no review in the past year, against 17.0% of those kept.</w:t>
      </w:r>
    </w:p>
    <w:p>
      <w:pPr>
        <w:pStyle w:val="Heading1"/>
        <w:keepNext/>
        <w:pageBreakBefore w:val="0"/>
      </w:pPr>
      <w:r>
        <w:rPr>
          <w:rFonts w:ascii="Arial" w:hAnsi="Arial" w:eastAsia="Arial" w:cs="Arial"/>
        </w:rPr>
        <w:t>4. Methodology</w:t>
      </w:r>
    </w:p>
    <w:p>
      <w:pPr>
        <w:widowControl/>
        <w:spacing w:after="120" w:line="259" w:lineRule="auto"/>
        <w:jc w:val="left"/>
      </w:pPr>
      <w:r>
        <w:rPr>
          <w:rFonts w:ascii="Arial" w:hAnsi="Arial" w:eastAsia="Arial" w:cs="Arial"/>
          <w:b/>
        </w:rPr>
        <w:t>Group comparison.</w:t>
      </w:r>
      <w:r>
        <w:rPr>
          <w:rFonts w:ascii="Arial" w:hAnsi="Arial" w:eastAsia="Arial" w:cs="Arial"/>
        </w:rPr>
        <w:t xml:space="preserve"> We compare the share of busy homes in the 14 groups; redrawing hosts at random 1,000 times shows how much each share could move by chance.</w:t>
      </w:r>
    </w:p>
    <w:p>
      <w:pPr>
        <w:widowControl/>
        <w:spacing w:after="120" w:line="259" w:lineRule="auto"/>
        <w:jc w:val="left"/>
      </w:pPr>
      <w:r>
        <w:rPr>
          <w:rFonts w:ascii="Arial" w:hAnsi="Arial" w:eastAsia="Arial" w:cs="Arial"/>
          <w:b/>
        </w:rPr>
        <w:t>Two-setting rule.</w:t>
      </w:r>
      <w:r>
        <w:rPr>
          <w:rFonts w:ascii="Arial" w:hAnsi="Arial" w:eastAsia="Arial" w:cs="Arial"/>
        </w:rPr>
        <w:t xml:space="preserve"> To test whether a simple summary does as well as the model, we split priority-group homes by one-night stays and by price at or below the group median.</w:t>
      </w:r>
    </w:p>
    <w:p>
      <w:pPr>
        <w:widowControl/>
        <w:spacing w:after="120" w:line="259" w:lineRule="auto"/>
        <w:jc w:val="left"/>
      </w:pPr>
      <w:r>
        <w:rPr>
          <w:rFonts w:ascii="Arial" w:hAnsi="Arial" w:eastAsia="Arial" w:cs="Arial"/>
          <w:b/>
        </w:rPr>
        <w:t>Model.</w:t>
      </w:r>
      <w:r>
        <w:rPr>
          <w:rFonts w:ascii="Arial" w:hAnsi="Arial" w:eastAsia="Arial" w:cs="Arial"/>
        </w:rPr>
        <w:t xml:space="preserve"> Logistic regression turns six inputs into a chance of being busy (R Core Team, 2026); its weights show how each input moves that chance with the others held fixed. Table 2 lists the outcome and inputs.</w:t>
      </w:r>
    </w:p>
    <w:p>
      <w:pPr>
        <w:keepNext/>
        <w:widowControl/>
        <w:spacing w:after="80" w:before="80" w:line="259" w:lineRule="auto"/>
        <w:jc w:val="left"/>
      </w:pPr>
      <w:r>
        <w:rPr>
          <w:rFonts w:ascii="Arial" w:hAnsi="Arial" w:eastAsia="Arial" w:cs="Arial"/>
          <w:b/>
        </w:rPr>
        <w:t>Table 2. Outcome and inputs of the model</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3593"/>
        <w:gridCol w:w="6272"/>
      </w:tblGrid>
      <w:tr>
        <w:trPr>
          <w:cantSplit/>
          <w:tblHeader/>
        </w:trPr>
        <w:tc>
          <w:tcPr>
            <w:tcW w:type="dxa" w:w="3593"/>
            <w:vAlign w:val="center"/>
            <w:shd w:val="clear" w:color="auto" w:fill="E9EEF3"/>
          </w:tcPr>
          <w:p>
            <w:pPr>
              <w:keepNext/>
              <w:spacing w:before="40" w:after="40" w:line="240" w:lineRule="auto"/>
              <w:jc w:val="left"/>
            </w:pPr>
            <w:r>
              <w:rPr>
                <w:rFonts w:ascii="Arial" w:hAnsi="Arial" w:eastAsia="Arial" w:cs="Arial"/>
                <w:b/>
                <w:sz w:val="21"/>
              </w:rPr>
              <w:t>Variable</w:t>
            </w:r>
          </w:p>
        </w:tc>
        <w:tc>
          <w:tcPr>
            <w:tcW w:type="dxa" w:w="6272"/>
            <w:vAlign w:val="center"/>
            <w:shd w:val="clear" w:color="auto" w:fill="E9EEF3"/>
          </w:tcPr>
          <w:p>
            <w:pPr>
              <w:keepNext/>
              <w:spacing w:before="40" w:after="40" w:line="240" w:lineRule="auto"/>
              <w:jc w:val="left"/>
            </w:pPr>
            <w:r>
              <w:rPr>
                <w:rFonts w:ascii="Arial" w:hAnsi="Arial" w:eastAsia="Arial" w:cs="Arial"/>
                <w:b/>
                <w:sz w:val="21"/>
              </w:rPr>
              <w:t>Definition</w:t>
            </w:r>
          </w:p>
        </w:tc>
      </w:tr>
      <w:tr>
        <w:trPr>
          <w:cantSplit/>
        </w:trPr>
        <w:tc>
          <w:tcPr>
            <w:tcW w:type="dxa" w:w="3593"/>
            <w:vAlign w:val="center"/>
            <w:shd w:val="clear" w:color="auto" w:fill="FFFFFF"/>
          </w:tcPr>
          <w:p>
            <w:pPr>
              <w:keepNext/>
              <w:spacing w:before="40" w:after="40" w:line="240" w:lineRule="auto"/>
              <w:jc w:val="left"/>
            </w:pPr>
            <w:r>
              <w:rPr>
                <w:rFonts w:ascii="Arial" w:hAnsi="Arial" w:eastAsia="Arial" w:cs="Arial"/>
                <w:b/>
                <w:sz w:val="21"/>
              </w:rPr>
              <w:t>Outcome</w:t>
            </w:r>
          </w:p>
        </w:tc>
        <w:tc>
          <w:tcPr>
            <w:tcW w:type="dxa" w:w="6272"/>
            <w:vAlign w:val="center"/>
            <w:shd w:val="clear" w:color="auto" w:fill="FFFFFF"/>
          </w:tcPr>
          <w:p>
            <w:pPr>
              <w:keepNext/>
              <w:spacing w:before="40" w:after="40" w:line="240" w:lineRule="auto"/>
              <w:jc w:val="left"/>
            </w:pPr>
            <w:r>
              <w:rPr>
                <w:rFonts w:ascii="Arial" w:hAnsi="Arial" w:eastAsia="Arial" w:cs="Arial"/>
                <w:sz w:val="21"/>
              </w:rPr>
              <w:t>1 if the home had at least 30 reviews in the year, otherwise 0</w:t>
            </w:r>
          </w:p>
        </w:tc>
      </w:tr>
      <w:tr>
        <w:trPr>
          <w:cantSplit/>
        </w:trPr>
        <w:tc>
          <w:tcPr>
            <w:tcW w:type="dxa" w:w="3593"/>
            <w:vAlign w:val="center"/>
            <w:shd w:val="clear" w:color="auto" w:fill="FFFFFF"/>
          </w:tcPr>
          <w:p>
            <w:pPr>
              <w:keepNext/>
              <w:spacing w:before="40" w:after="40" w:line="240" w:lineRule="auto"/>
              <w:jc w:val="left"/>
            </w:pPr>
            <w:r>
              <w:rPr>
                <w:rFonts w:ascii="Arial" w:hAnsi="Arial" w:eastAsia="Arial" w:cs="Arial"/>
                <w:sz w:val="21"/>
              </w:rPr>
              <w:t>Council area</w:t>
            </w:r>
          </w:p>
        </w:tc>
        <w:tc>
          <w:tcPr>
            <w:tcW w:type="dxa" w:w="6272"/>
            <w:vAlign w:val="center"/>
            <w:shd w:val="clear" w:color="auto" w:fill="FFFFFF"/>
          </w:tcPr>
          <w:p>
            <w:pPr>
              <w:keepNext/>
              <w:spacing w:before="40" w:after="40" w:line="240" w:lineRule="auto"/>
              <w:jc w:val="left"/>
            </w:pPr>
            <w:r>
              <w:rPr>
                <w:rFonts w:ascii="Arial" w:hAnsi="Arial" w:eastAsia="Arial" w:cs="Arial"/>
                <w:sz w:val="21"/>
              </w:rPr>
              <w:t>One of six</w:t>
            </w:r>
          </w:p>
        </w:tc>
      </w:tr>
      <w:tr>
        <w:trPr>
          <w:cantSplit/>
        </w:trPr>
        <w:tc>
          <w:tcPr>
            <w:tcW w:type="dxa" w:w="3593"/>
            <w:vAlign w:val="center"/>
            <w:shd w:val="clear" w:color="auto" w:fill="FFFFFF"/>
          </w:tcPr>
          <w:p>
            <w:pPr>
              <w:keepNext/>
              <w:spacing w:before="40" w:after="40" w:line="240" w:lineRule="auto"/>
              <w:jc w:val="left"/>
            </w:pPr>
            <w:r>
              <w:rPr>
                <w:rFonts w:ascii="Arial" w:hAnsi="Arial" w:eastAsia="Arial" w:cs="Arial"/>
                <w:sz w:val="21"/>
              </w:rPr>
              <w:t>Dwelling type</w:t>
            </w:r>
          </w:p>
        </w:tc>
        <w:tc>
          <w:tcPr>
            <w:tcW w:type="dxa" w:w="6272"/>
            <w:vAlign w:val="center"/>
            <w:shd w:val="clear" w:color="auto" w:fill="FFFFFF"/>
          </w:tcPr>
          <w:p>
            <w:pPr>
              <w:keepNext/>
              <w:spacing w:before="40" w:after="40" w:line="240" w:lineRule="auto"/>
              <w:jc w:val="left"/>
            </w:pPr>
            <w:r>
              <w:rPr>
                <w:rFonts w:ascii="Arial" w:hAnsi="Arial" w:eastAsia="Arial" w:cs="Arial"/>
                <w:sz w:val="21"/>
              </w:rPr>
              <w:t>Apartment, or house/townhouse</w:t>
            </w:r>
          </w:p>
        </w:tc>
      </w:tr>
      <w:tr>
        <w:trPr>
          <w:cantSplit/>
        </w:trPr>
        <w:tc>
          <w:tcPr>
            <w:tcW w:type="dxa" w:w="3593"/>
            <w:vAlign w:val="center"/>
            <w:shd w:val="clear" w:color="auto" w:fill="FFFFFF"/>
          </w:tcPr>
          <w:p>
            <w:pPr>
              <w:keepNext/>
              <w:spacing w:before="40" w:after="40" w:line="240" w:lineRule="auto"/>
              <w:jc w:val="left"/>
            </w:pPr>
            <w:r>
              <w:rPr>
                <w:rFonts w:ascii="Arial" w:hAnsi="Arial" w:eastAsia="Arial" w:cs="Arial"/>
                <w:sz w:val="21"/>
              </w:rPr>
              <w:t>Bedrooms</w:t>
            </w:r>
          </w:p>
        </w:tc>
        <w:tc>
          <w:tcPr>
            <w:tcW w:type="dxa" w:w="6272"/>
            <w:vAlign w:val="center"/>
            <w:shd w:val="clear" w:color="auto" w:fill="FFFFFF"/>
          </w:tcPr>
          <w:p>
            <w:pPr>
              <w:keepNext/>
              <w:spacing w:before="40" w:after="40" w:line="240" w:lineRule="auto"/>
              <w:jc w:val="left"/>
            </w:pPr>
            <w:r>
              <w:rPr>
                <w:rFonts w:ascii="Arial" w:hAnsi="Arial" w:eastAsia="Arial" w:cs="Arial"/>
                <w:sz w:val="21"/>
              </w:rPr>
              <w:t>One, two or three</w:t>
            </w:r>
          </w:p>
        </w:tc>
      </w:tr>
      <w:tr>
        <w:trPr>
          <w:cantSplit/>
        </w:trPr>
        <w:tc>
          <w:tcPr>
            <w:tcW w:type="dxa" w:w="3593"/>
            <w:vAlign w:val="center"/>
            <w:shd w:val="clear" w:color="auto" w:fill="FFFFFF"/>
          </w:tcPr>
          <w:p>
            <w:pPr>
              <w:keepNext/>
              <w:spacing w:before="40" w:after="40" w:line="240" w:lineRule="auto"/>
              <w:jc w:val="left"/>
            </w:pPr>
            <w:r>
              <w:rPr>
                <w:rFonts w:ascii="Arial" w:hAnsi="Arial" w:eastAsia="Arial" w:cs="Arial"/>
                <w:sz w:val="21"/>
              </w:rPr>
              <w:t>Price compared with similar homes</w:t>
            </w:r>
          </w:p>
        </w:tc>
        <w:tc>
          <w:tcPr>
            <w:tcW w:type="dxa" w:w="6272"/>
            <w:vAlign w:val="center"/>
            <w:shd w:val="clear" w:color="auto" w:fill="FFFFFF"/>
          </w:tcPr>
          <w:p>
            <w:pPr>
              <w:keepNext/>
              <w:spacing w:before="40" w:after="40" w:line="240" w:lineRule="auto"/>
              <w:jc w:val="left"/>
            </w:pPr>
            <w:r>
              <w:rPr>
                <w:rFonts w:ascii="Arial" w:hAnsi="Arial" w:eastAsia="Arial" w:cs="Arial"/>
                <w:sz w:val="21"/>
              </w:rPr>
              <w:t>Price relative to the group median, per 10%</w:t>
            </w:r>
          </w:p>
        </w:tc>
      </w:tr>
      <w:tr>
        <w:trPr>
          <w:cantSplit/>
        </w:trPr>
        <w:tc>
          <w:tcPr>
            <w:tcW w:type="dxa" w:w="3593"/>
            <w:vAlign w:val="center"/>
            <w:shd w:val="clear" w:color="auto" w:fill="FFFFFF"/>
          </w:tcPr>
          <w:p>
            <w:pPr>
              <w:keepNext/>
              <w:spacing w:before="40" w:after="40" w:line="240" w:lineRule="auto"/>
              <w:jc w:val="left"/>
            </w:pPr>
            <w:r>
              <w:rPr>
                <w:rFonts w:ascii="Arial" w:hAnsi="Arial" w:eastAsia="Arial" w:cs="Arial"/>
                <w:sz w:val="21"/>
              </w:rPr>
              <w:t>Accepts one-night stays</w:t>
            </w:r>
          </w:p>
        </w:tc>
        <w:tc>
          <w:tcPr>
            <w:tcW w:type="dxa" w:w="6272"/>
            <w:vAlign w:val="center"/>
            <w:shd w:val="clear" w:color="auto" w:fill="FFFFFF"/>
          </w:tcPr>
          <w:p>
            <w:pPr>
              <w:keepNext/>
              <w:spacing w:before="40" w:after="40" w:line="240" w:lineRule="auto"/>
              <w:jc w:val="left"/>
            </w:pPr>
            <w:r>
              <w:rPr>
                <w:rFonts w:ascii="Arial" w:hAnsi="Arial" w:eastAsia="Arial" w:cs="Arial"/>
                <w:sz w:val="21"/>
              </w:rPr>
              <w:t>Minimum stay of one night (yes or no)</w:t>
            </w:r>
          </w:p>
        </w:tc>
      </w:tr>
      <w:tr>
        <w:trPr>
          <w:cantSplit/>
        </w:trPr>
        <w:tc>
          <w:tcPr>
            <w:tcW w:type="dxa" w:w="3593"/>
            <w:vAlign w:val="center"/>
            <w:shd w:val="clear" w:color="auto" w:fill="FFFFFF"/>
          </w:tcPr>
          <w:p>
            <w:pPr>
              <w:spacing w:before="40" w:after="40" w:line="240" w:lineRule="auto"/>
              <w:jc w:val="left"/>
            </w:pPr>
            <w:r>
              <w:rPr>
                <w:rFonts w:ascii="Arial" w:hAnsi="Arial" w:eastAsia="Arial" w:cs="Arial"/>
                <w:sz w:val="21"/>
              </w:rPr>
              <w:t>Amenity count</w:t>
            </w:r>
          </w:p>
        </w:tc>
        <w:tc>
          <w:tcPr>
            <w:tcW w:type="dxa" w:w="6272"/>
            <w:vAlign w:val="center"/>
            <w:shd w:val="clear" w:color="auto" w:fill="FFFFFF"/>
          </w:tcPr>
          <w:p>
            <w:pPr>
              <w:spacing w:before="40" w:after="40" w:line="240" w:lineRule="auto"/>
              <w:jc w:val="left"/>
            </w:pPr>
            <w:r>
              <w:rPr>
                <w:rFonts w:ascii="Arial" w:hAnsi="Arial" w:eastAsia="Arial" w:cs="Arial"/>
                <w:sz w:val="21"/>
              </w:rPr>
              <w:t>Amenities listed, per ten</w:t>
            </w:r>
          </w:p>
        </w:tc>
      </w:tr>
    </w:tbl>
    <w:p>
      <w:pPr>
        <w:widowControl/>
        <w:spacing w:after="80" w:line="240" w:lineRule="auto"/>
        <w:jc w:val="left"/>
      </w:pPr>
    </w:p>
    <w:p>
      <w:pPr>
        <w:widowControl/>
        <w:spacing w:after="120" w:line="259" w:lineRule="auto"/>
        <w:jc w:val="left"/>
      </w:pPr>
      <w:r>
        <w:rPr>
          <w:rFonts w:ascii="Arial" w:hAnsi="Arial" w:eastAsia="Arial" w:cs="Arial"/>
        </w:rPr>
        <w:t xml:space="preserve">We compare this </w:t>
      </w:r>
      <w:r>
        <w:rPr>
          <w:rFonts w:ascii="Arial" w:hAnsi="Arial" w:eastAsia="Arial" w:cs="Arial"/>
          <w:b/>
        </w:rPr>
        <w:t>full model</w:t>
      </w:r>
      <w:r>
        <w:rPr>
          <w:rFonts w:ascii="Arial" w:hAnsi="Arial" w:eastAsia="Arial" w:cs="Arial"/>
        </w:rPr>
        <w:t xml:space="preserve"> with two simpler options. The </w:t>
      </w:r>
      <w:r>
        <w:rPr>
          <w:rFonts w:ascii="Arial" w:hAnsi="Arial" w:eastAsia="Arial" w:cs="Arial"/>
          <w:b/>
        </w:rPr>
        <w:t>group rate</w:t>
      </w:r>
      <w:r>
        <w:rPr>
          <w:rFonts w:ascii="Arial" w:hAnsi="Arial" w:eastAsia="Arial" w:cs="Arial"/>
        </w:rPr>
        <w:t xml:space="preserve"> (a group's share of busy homes) scores all its homes equally, which within a group is </w:t>
      </w:r>
      <w:r>
        <w:rPr>
          <w:rFonts w:ascii="Arial" w:hAnsi="Arial" w:eastAsia="Arial" w:cs="Arial"/>
          <w:b/>
        </w:rPr>
        <w:t>random picking</w:t>
      </w:r>
      <w:r>
        <w:rPr>
          <w:rFonts w:ascii="Arial" w:hAnsi="Arial" w:eastAsia="Arial" w:cs="Arial"/>
        </w:rPr>
        <w:t xml:space="preserve">. The </w:t>
      </w:r>
      <w:r>
        <w:rPr>
          <w:rFonts w:ascii="Arial" w:hAnsi="Arial" w:eastAsia="Arial" w:cs="Arial"/>
          <w:b/>
        </w:rPr>
        <w:t>reduced model</w:t>
      </w:r>
      <w:r>
        <w:rPr>
          <w:rFonts w:ascii="Arial" w:hAnsi="Arial" w:eastAsia="Arial" w:cs="Arial"/>
        </w:rPr>
        <w:t xml:space="preserve"> drops price and minimum stay to show what they add.</w:t>
      </w:r>
    </w:p>
    <w:p>
      <w:pPr>
        <w:widowControl/>
        <w:spacing w:after="120" w:line="259" w:lineRule="auto"/>
        <w:jc w:val="left"/>
      </w:pPr>
      <w:r>
        <w:rPr>
          <w:rFonts w:ascii="Arial" w:hAnsi="Arial" w:eastAsia="Arial" w:cs="Arial"/>
          <w:b/>
        </w:rPr>
        <w:t>Assumptions.</w:t>
      </w:r>
      <w:r>
        <w:rPr>
          <w:rFonts w:ascii="Arial" w:hAnsi="Arial" w:eastAsia="Arial" w:cs="Arial"/>
        </w:rPr>
        <w:t xml:space="preserve"> Homes of the same host can perform alike, so they stay together in every test. Each 10% price step, or ten more amenities, has the same effect wherever it occurs; Appendix A finds little overlap between inputs and only weak signs of curvature.</w:t>
      </w:r>
    </w:p>
    <w:p>
      <w:pPr>
        <w:widowControl/>
        <w:spacing w:after="120" w:line="259" w:lineRule="auto"/>
        <w:jc w:val="left"/>
      </w:pPr>
      <w:r>
        <w:rPr>
          <w:rFonts w:ascii="Arial" w:hAnsi="Arial" w:eastAsia="Arial" w:cs="Arial"/>
          <w:b/>
        </w:rPr>
        <w:t>Testing.</w:t>
      </w:r>
      <w:r>
        <w:rPr>
          <w:rFonts w:ascii="Arial" w:hAnsi="Arial" w:eastAsia="Arial" w:cs="Arial"/>
        </w:rPr>
        <w:t xml:space="preserve"> Each of 50 tests builds the model on 70% of hosts and scores the other 30%. In each priority group, each method picks a quarter of these homes, and we compare the share that were busy.</w:t>
      </w:r>
    </w:p>
    <w:p>
      <w:pPr>
        <w:pStyle w:val="Heading1"/>
        <w:keepNext/>
        <w:pageBreakBefore w:val="0"/>
      </w:pPr>
      <w:r>
        <w:rPr>
          <w:rFonts w:ascii="Arial" w:hAnsi="Arial" w:eastAsia="Arial" w:cs="Arial"/>
        </w:rPr>
        <w:t>5. Analysis and Results</w:t>
      </w:r>
    </w:p>
    <w:p>
      <w:pPr>
        <w:pStyle w:val="Heading2"/>
        <w:keepNext/>
      </w:pPr>
      <w:r>
        <w:rPr>
          <w:rFonts w:ascii="Arial" w:hAnsi="Arial" w:eastAsia="Arial" w:cs="Arial"/>
        </w:rPr>
        <w:t>5.1 Data exploration: most homes are quiet; busy homes accept one-night stays and are well rated</w:t>
      </w:r>
    </w:p>
    <w:p>
      <w:pPr>
        <w:widowControl/>
        <w:spacing w:after="120" w:line="259" w:lineRule="auto"/>
        <w:jc w:val="left"/>
      </w:pPr>
      <w:r>
        <w:rPr>
          <w:rFonts w:ascii="Arial" w:hAnsi="Arial" w:eastAsia="Arial" w:cs="Arial"/>
        </w:rPr>
        <w:t>Guest activity is very uneven (Figure 1). The median home received 15 reviews, a quarter (981 homes, 25.3%) received 30 or more, and 334 homes (8.6%) received none.</w:t>
      </w:r>
    </w:p>
    <w:p>
      <w:pPr>
        <w:keepNext/>
        <w:widowControl/>
        <w:spacing w:after="40" w:before="80" w:line="240" w:lineRule="auto"/>
        <w:jc w:val="center"/>
      </w:pPr>
      <w:r>
        <w:drawing>
          <wp:inline xmlns:a="http://schemas.openxmlformats.org/drawingml/2006/main" xmlns:pic="http://schemas.openxmlformats.org/drawingml/2006/picture">
            <wp:extent cx="6035040" cy="2736600"/>
            <wp:docPr id="1" name="Picture 1"/>
            <wp:cNvGraphicFramePr>
              <a:graphicFrameLocks noChangeAspect="1"/>
            </wp:cNvGraphicFramePr>
            <a:graphic>
              <a:graphicData uri="http://schemas.openxmlformats.org/drawingml/2006/picture">
                <pic:pic>
                  <pic:nvPicPr>
                    <pic:cNvPr id="0" name="figure_1_review_distribution.png"/>
                    <pic:cNvPicPr/>
                  </pic:nvPicPr>
                  <pic:blipFill>
                    <a:blip r:embed="rId14"/>
                    <a:stretch>
                      <a:fillRect/>
                    </a:stretch>
                  </pic:blipFill>
                  <pic:spPr>
                    <a:xfrm>
                      <a:off x="0" y="0"/>
                      <a:ext cx="6035040" cy="2736600"/>
                    </a:xfrm>
                    <a:prstGeom prst="rect"/>
                  </pic:spPr>
                </pic:pic>
              </a:graphicData>
            </a:graphic>
          </wp:inline>
        </w:drawing>
      </w:r>
    </w:p>
    <w:p>
      <w:pPr>
        <w:pStyle w:val="Caption"/>
      </w:pPr>
      <w:r>
        <w:rPr>
          <w:rFonts w:ascii="Arial" w:hAnsi="Arial" w:eastAsia="Arial" w:cs="Arial"/>
          <w:b/>
        </w:rPr>
        <w:t>Figure 1.</w:t>
      </w:r>
      <w:r>
        <w:rPr>
          <w:rFonts w:ascii="Arial" w:hAnsi="Arial" w:eastAsia="Arial" w:cs="Arial"/>
        </w:rPr>
        <w:t xml:space="preserve"> Annual reviews per home, 3,873 analysis homes. Source of all figures and tables: Inside Airbnb (2026); Group 2 analysis.</w:t>
      </w:r>
    </w:p>
    <w:p>
      <w:pPr>
        <w:keepNext/>
        <w:widowControl/>
        <w:spacing w:after="80" w:before="80" w:line="259" w:lineRule="auto"/>
        <w:jc w:val="left"/>
      </w:pPr>
      <w:r>
        <w:rPr>
          <w:rFonts w:ascii="Arial" w:hAnsi="Arial" w:eastAsia="Arial" w:cs="Arial"/>
          <w:b/>
        </w:rPr>
        <w:t>Table 3. Busy homes compared with the rest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5173"/>
        <w:gridCol w:w="1837"/>
        <w:gridCol w:w="1427"/>
        <w:gridCol w:w="1427"/>
      </w:tblGrid>
      <w:tr>
        <w:trPr>
          <w:cantSplit/>
          <w:tblHeader/>
        </w:trPr>
        <w:tc>
          <w:tcPr>
            <w:tcW w:type="dxa" w:w="5173"/>
            <w:vAlign w:val="center"/>
            <w:shd w:val="clear" w:color="auto" w:fill="E9EEF3"/>
          </w:tcPr>
          <w:p>
            <w:pPr>
              <w:keepNext/>
              <w:spacing w:before="40" w:after="40" w:line="240" w:lineRule="auto"/>
              <w:jc w:val="left"/>
            </w:pPr>
            <w:r>
              <w:rPr>
                <w:rFonts w:ascii="Arial" w:hAnsi="Arial" w:eastAsia="Arial" w:cs="Arial"/>
                <w:b/>
                <w:sz w:val="21"/>
              </w:rPr>
              <w:t>Characteristic</w:t>
            </w:r>
          </w:p>
        </w:tc>
        <w:tc>
          <w:tcPr>
            <w:tcW w:type="dxa" w:w="1837"/>
            <w:vAlign w:val="center"/>
            <w:shd w:val="clear" w:color="auto" w:fill="E9EEF3"/>
          </w:tcPr>
          <w:p>
            <w:pPr>
              <w:keepNext/>
              <w:spacing w:before="40" w:after="40" w:line="240" w:lineRule="auto"/>
              <w:jc w:val="left"/>
            </w:pPr>
            <w:r>
              <w:rPr>
                <w:rFonts w:ascii="Arial" w:hAnsi="Arial" w:eastAsia="Arial" w:cs="Arial"/>
                <w:b/>
                <w:sz w:val="21"/>
              </w:rPr>
              <w:t>Busy (30+ reviews)</w:t>
            </w:r>
          </w:p>
        </w:tc>
        <w:tc>
          <w:tcPr>
            <w:tcW w:type="dxa" w:w="1427"/>
            <w:vAlign w:val="center"/>
            <w:shd w:val="clear" w:color="auto" w:fill="E9EEF3"/>
          </w:tcPr>
          <w:p>
            <w:pPr>
              <w:keepNext/>
              <w:spacing w:before="40" w:after="40" w:line="240" w:lineRule="auto"/>
              <w:jc w:val="left"/>
            </w:pPr>
            <w:r>
              <w:rPr>
                <w:rFonts w:ascii="Arial" w:hAnsi="Arial" w:eastAsia="Arial" w:cs="Arial"/>
                <w:b/>
                <w:sz w:val="21"/>
              </w:rPr>
              <w:t>Below 30</w:t>
            </w:r>
          </w:p>
        </w:tc>
        <w:tc>
          <w:tcPr>
            <w:tcW w:type="dxa" w:w="1427"/>
            <w:vAlign w:val="center"/>
            <w:shd w:val="clear" w:color="auto" w:fill="E9EEF3"/>
          </w:tcPr>
          <w:p>
            <w:pPr>
              <w:keepNext/>
              <w:spacing w:before="40" w:after="40" w:line="240" w:lineRule="auto"/>
              <w:jc w:val="left"/>
            </w:pPr>
            <w:r>
              <w:rPr>
                <w:rFonts w:ascii="Arial" w:hAnsi="Arial" w:eastAsia="Arial" w:cs="Arial"/>
                <w:b/>
                <w:sz w:val="21"/>
              </w:rPr>
              <w:t>All homes</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Homes</w:t>
            </w:r>
          </w:p>
        </w:tc>
        <w:tc>
          <w:tcPr>
            <w:tcW w:type="dxa" w:w="1837"/>
            <w:vAlign w:val="center"/>
            <w:shd w:val="clear" w:color="auto" w:fill="FFFFFF"/>
          </w:tcPr>
          <w:p>
            <w:pPr>
              <w:keepNext/>
              <w:spacing w:before="40" w:after="40" w:line="240" w:lineRule="auto"/>
              <w:jc w:val="right"/>
            </w:pPr>
            <w:r>
              <w:rPr>
                <w:rFonts w:ascii="Arial" w:hAnsi="Arial" w:eastAsia="Arial" w:cs="Arial"/>
                <w:sz w:val="21"/>
              </w:rPr>
              <w:t>981</w:t>
            </w:r>
          </w:p>
        </w:tc>
        <w:tc>
          <w:tcPr>
            <w:tcW w:type="dxa" w:w="1427"/>
            <w:vAlign w:val="center"/>
            <w:shd w:val="clear" w:color="auto" w:fill="FFFFFF"/>
          </w:tcPr>
          <w:p>
            <w:pPr>
              <w:keepNext/>
              <w:spacing w:before="40" w:after="40" w:line="240" w:lineRule="auto"/>
              <w:jc w:val="right"/>
            </w:pPr>
            <w:r>
              <w:rPr>
                <w:rFonts w:ascii="Arial" w:hAnsi="Arial" w:eastAsia="Arial" w:cs="Arial"/>
                <w:sz w:val="21"/>
              </w:rPr>
              <w:t>2,892</w:t>
            </w:r>
          </w:p>
        </w:tc>
        <w:tc>
          <w:tcPr>
            <w:tcW w:type="dxa" w:w="1427"/>
            <w:vAlign w:val="center"/>
            <w:shd w:val="clear" w:color="auto" w:fill="FFFFFF"/>
          </w:tcPr>
          <w:p>
            <w:pPr>
              <w:keepNext/>
              <w:spacing w:before="40" w:after="40" w:line="240" w:lineRule="auto"/>
              <w:jc w:val="right"/>
            </w:pPr>
            <w:r>
              <w:rPr>
                <w:rFonts w:ascii="Arial" w:hAnsi="Arial" w:eastAsia="Arial" w:cs="Arial"/>
                <w:sz w:val="21"/>
              </w:rPr>
              <w:t>3,873</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Median nightly price (AUD)</w:t>
            </w:r>
          </w:p>
        </w:tc>
        <w:tc>
          <w:tcPr>
            <w:tcW w:type="dxa" w:w="1837"/>
            <w:vAlign w:val="center"/>
            <w:shd w:val="clear" w:color="auto" w:fill="FFFFFF"/>
          </w:tcPr>
          <w:p>
            <w:pPr>
              <w:keepNext/>
              <w:spacing w:before="40" w:after="40" w:line="240" w:lineRule="auto"/>
              <w:jc w:val="right"/>
            </w:pPr>
            <w:r>
              <w:rPr>
                <w:rFonts w:ascii="Arial" w:hAnsi="Arial" w:eastAsia="Arial" w:cs="Arial"/>
                <w:sz w:val="21"/>
              </w:rPr>
              <w:t>254</w:t>
            </w:r>
          </w:p>
        </w:tc>
        <w:tc>
          <w:tcPr>
            <w:tcW w:type="dxa" w:w="1427"/>
            <w:vAlign w:val="center"/>
            <w:shd w:val="clear" w:color="auto" w:fill="FFFFFF"/>
          </w:tcPr>
          <w:p>
            <w:pPr>
              <w:keepNext/>
              <w:spacing w:before="40" w:after="40" w:line="240" w:lineRule="auto"/>
              <w:jc w:val="right"/>
            </w:pPr>
            <w:r>
              <w:rPr>
                <w:rFonts w:ascii="Arial" w:hAnsi="Arial" w:eastAsia="Arial" w:cs="Arial"/>
                <w:sz w:val="21"/>
              </w:rPr>
              <w:t>266</w:t>
            </w:r>
          </w:p>
        </w:tc>
        <w:tc>
          <w:tcPr>
            <w:tcW w:type="dxa" w:w="1427"/>
            <w:vAlign w:val="center"/>
            <w:shd w:val="clear" w:color="auto" w:fill="FFFFFF"/>
          </w:tcPr>
          <w:p>
            <w:pPr>
              <w:keepNext/>
              <w:spacing w:before="40" w:after="40" w:line="240" w:lineRule="auto"/>
              <w:jc w:val="right"/>
            </w:pPr>
            <w:r>
              <w:rPr>
                <w:rFonts w:ascii="Arial" w:hAnsi="Arial" w:eastAsia="Arial" w:cs="Arial"/>
                <w:sz w:val="21"/>
              </w:rPr>
              <w:t>262</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Accept one-night stays</w:t>
            </w:r>
          </w:p>
        </w:tc>
        <w:tc>
          <w:tcPr>
            <w:tcW w:type="dxa" w:w="1837"/>
            <w:vAlign w:val="center"/>
            <w:shd w:val="clear" w:color="auto" w:fill="FFFFFF"/>
          </w:tcPr>
          <w:p>
            <w:pPr>
              <w:keepNext/>
              <w:spacing w:before="40" w:after="40" w:line="240" w:lineRule="auto"/>
              <w:jc w:val="right"/>
            </w:pPr>
            <w:r>
              <w:rPr>
                <w:rFonts w:ascii="Arial" w:hAnsi="Arial" w:eastAsia="Arial" w:cs="Arial"/>
                <w:sz w:val="21"/>
              </w:rPr>
              <w:t>67.7%</w:t>
            </w:r>
          </w:p>
        </w:tc>
        <w:tc>
          <w:tcPr>
            <w:tcW w:type="dxa" w:w="1427"/>
            <w:vAlign w:val="center"/>
            <w:shd w:val="clear" w:color="auto" w:fill="FFFFFF"/>
          </w:tcPr>
          <w:p>
            <w:pPr>
              <w:keepNext/>
              <w:spacing w:before="40" w:after="40" w:line="240" w:lineRule="auto"/>
              <w:jc w:val="right"/>
            </w:pPr>
            <w:r>
              <w:rPr>
                <w:rFonts w:ascii="Arial" w:hAnsi="Arial" w:eastAsia="Arial" w:cs="Arial"/>
                <w:sz w:val="21"/>
              </w:rPr>
              <w:t>37.5%</w:t>
            </w:r>
          </w:p>
        </w:tc>
        <w:tc>
          <w:tcPr>
            <w:tcW w:type="dxa" w:w="1427"/>
            <w:vAlign w:val="center"/>
            <w:shd w:val="clear" w:color="auto" w:fill="FFFFFF"/>
          </w:tcPr>
          <w:p>
            <w:pPr>
              <w:keepNext/>
              <w:spacing w:before="40" w:after="40" w:line="240" w:lineRule="auto"/>
              <w:jc w:val="right"/>
            </w:pPr>
            <w:r>
              <w:rPr>
                <w:rFonts w:ascii="Arial" w:hAnsi="Arial" w:eastAsia="Arial" w:cs="Arial"/>
                <w:sz w:val="21"/>
              </w:rPr>
              <w:t>45.1%</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In the City of Melbourne</w:t>
            </w:r>
          </w:p>
        </w:tc>
        <w:tc>
          <w:tcPr>
            <w:tcW w:type="dxa" w:w="1837"/>
            <w:vAlign w:val="center"/>
            <w:shd w:val="clear" w:color="auto" w:fill="FFFFFF"/>
          </w:tcPr>
          <w:p>
            <w:pPr>
              <w:keepNext/>
              <w:spacing w:before="40" w:after="40" w:line="240" w:lineRule="auto"/>
              <w:jc w:val="right"/>
            </w:pPr>
            <w:r>
              <w:rPr>
                <w:rFonts w:ascii="Arial" w:hAnsi="Arial" w:eastAsia="Arial" w:cs="Arial"/>
                <w:sz w:val="21"/>
              </w:rPr>
              <w:t>76.9%</w:t>
            </w:r>
          </w:p>
        </w:tc>
        <w:tc>
          <w:tcPr>
            <w:tcW w:type="dxa" w:w="1427"/>
            <w:vAlign w:val="center"/>
            <w:shd w:val="clear" w:color="auto" w:fill="FFFFFF"/>
          </w:tcPr>
          <w:p>
            <w:pPr>
              <w:keepNext/>
              <w:spacing w:before="40" w:after="40" w:line="240" w:lineRule="auto"/>
              <w:jc w:val="right"/>
            </w:pPr>
            <w:r>
              <w:rPr>
                <w:rFonts w:ascii="Arial" w:hAnsi="Arial" w:eastAsia="Arial" w:cs="Arial"/>
                <w:sz w:val="21"/>
              </w:rPr>
              <w:t>59.6%</w:t>
            </w:r>
          </w:p>
        </w:tc>
        <w:tc>
          <w:tcPr>
            <w:tcW w:type="dxa" w:w="1427"/>
            <w:vAlign w:val="center"/>
            <w:shd w:val="clear" w:color="auto" w:fill="FFFFFF"/>
          </w:tcPr>
          <w:p>
            <w:pPr>
              <w:keepNext/>
              <w:spacing w:before="40" w:after="40" w:line="240" w:lineRule="auto"/>
              <w:jc w:val="right"/>
            </w:pPr>
            <w:r>
              <w:rPr>
                <w:rFonts w:ascii="Arial" w:hAnsi="Arial" w:eastAsia="Arial" w:cs="Arial"/>
                <w:sz w:val="21"/>
              </w:rPr>
              <w:t>64.0%</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Median estimated nights (cap 255)</w:t>
            </w:r>
          </w:p>
        </w:tc>
        <w:tc>
          <w:tcPr>
            <w:tcW w:type="dxa" w:w="1837"/>
            <w:vAlign w:val="center"/>
            <w:shd w:val="clear" w:color="auto" w:fill="FFFFFF"/>
          </w:tcPr>
          <w:p>
            <w:pPr>
              <w:keepNext/>
              <w:spacing w:before="40" w:after="40" w:line="240" w:lineRule="auto"/>
              <w:jc w:val="right"/>
            </w:pPr>
            <w:r>
              <w:rPr>
                <w:rFonts w:ascii="Arial" w:hAnsi="Arial" w:eastAsia="Arial" w:cs="Arial"/>
                <w:sz w:val="21"/>
              </w:rPr>
              <w:t>255</w:t>
            </w:r>
          </w:p>
        </w:tc>
        <w:tc>
          <w:tcPr>
            <w:tcW w:type="dxa" w:w="1427"/>
            <w:vAlign w:val="center"/>
            <w:shd w:val="clear" w:color="auto" w:fill="FFFFFF"/>
          </w:tcPr>
          <w:p>
            <w:pPr>
              <w:keepNext/>
              <w:spacing w:before="40" w:after="40" w:line="240" w:lineRule="auto"/>
              <w:jc w:val="right"/>
            </w:pPr>
            <w:r>
              <w:rPr>
                <w:rFonts w:ascii="Arial" w:hAnsi="Arial" w:eastAsia="Arial" w:cs="Arial"/>
                <w:sz w:val="21"/>
              </w:rPr>
              <w:t>60</w:t>
            </w:r>
          </w:p>
        </w:tc>
        <w:tc>
          <w:tcPr>
            <w:tcW w:type="dxa" w:w="1427"/>
            <w:vAlign w:val="center"/>
            <w:shd w:val="clear" w:color="auto" w:fill="FFFFFF"/>
          </w:tcPr>
          <w:p>
            <w:pPr>
              <w:keepNext/>
              <w:spacing w:before="40" w:after="40" w:line="240" w:lineRule="auto"/>
              <w:jc w:val="right"/>
            </w:pPr>
            <w:r>
              <w:rPr>
                <w:rFonts w:ascii="Arial" w:hAnsi="Arial" w:eastAsia="Arial" w:cs="Arial"/>
                <w:sz w:val="21"/>
              </w:rPr>
              <w:t>96</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Median estimated revenue (AUD a year)</w:t>
            </w:r>
          </w:p>
        </w:tc>
        <w:tc>
          <w:tcPr>
            <w:tcW w:type="dxa" w:w="1837"/>
            <w:vAlign w:val="center"/>
            <w:shd w:val="clear" w:color="auto" w:fill="FFFFFF"/>
          </w:tcPr>
          <w:p>
            <w:pPr>
              <w:keepNext/>
              <w:spacing w:before="40" w:after="40" w:line="240" w:lineRule="auto"/>
              <w:jc w:val="right"/>
            </w:pPr>
            <w:r>
              <w:rPr>
                <w:rFonts w:ascii="Arial" w:hAnsi="Arial" w:eastAsia="Arial" w:cs="Arial"/>
                <w:sz w:val="21"/>
              </w:rPr>
              <w:t>58,400</w:t>
            </w:r>
          </w:p>
        </w:tc>
        <w:tc>
          <w:tcPr>
            <w:tcW w:type="dxa" w:w="1427"/>
            <w:vAlign w:val="center"/>
            <w:shd w:val="clear" w:color="auto" w:fill="FFFFFF"/>
          </w:tcPr>
          <w:p>
            <w:pPr>
              <w:keepNext/>
              <w:spacing w:before="40" w:after="40" w:line="240" w:lineRule="auto"/>
              <w:jc w:val="right"/>
            </w:pPr>
            <w:r>
              <w:rPr>
                <w:rFonts w:ascii="Arial" w:hAnsi="Arial" w:eastAsia="Arial" w:cs="Arial"/>
                <w:sz w:val="21"/>
              </w:rPr>
              <w:t>16,600</w:t>
            </w:r>
          </w:p>
        </w:tc>
        <w:tc>
          <w:tcPr>
            <w:tcW w:type="dxa" w:w="1427"/>
            <w:vAlign w:val="center"/>
            <w:shd w:val="clear" w:color="auto" w:fill="FFFFFF"/>
          </w:tcPr>
          <w:p>
            <w:pPr>
              <w:keepNext/>
              <w:spacing w:before="40" w:after="40" w:line="240" w:lineRule="auto"/>
              <w:jc w:val="right"/>
            </w:pPr>
            <w:r>
              <w:rPr>
                <w:rFonts w:ascii="Arial" w:hAnsi="Arial" w:eastAsia="Arial" w:cs="Arial"/>
                <w:sz w:val="21"/>
              </w:rPr>
              <w:t>24,700</w:t>
            </w:r>
          </w:p>
        </w:tc>
      </w:tr>
      <w:tr>
        <w:trPr>
          <w:cantSplit/>
        </w:trPr>
        <w:tc>
          <w:tcPr>
            <w:tcW w:type="dxa" w:w="5173"/>
            <w:vAlign w:val="center"/>
            <w:shd w:val="clear" w:color="auto" w:fill="FFFFFF"/>
          </w:tcPr>
          <w:p>
            <w:pPr>
              <w:keepNext/>
              <w:spacing w:before="40" w:after="40" w:line="240" w:lineRule="auto"/>
              <w:jc w:val="left"/>
            </w:pPr>
            <w:r>
              <w:rPr>
                <w:rFonts w:ascii="Arial" w:hAnsi="Arial" w:eastAsia="Arial" w:cs="Arial"/>
                <w:sz w:val="21"/>
              </w:rPr>
              <w:t>Mean guest rating (out of 5 stars)</w:t>
            </w:r>
          </w:p>
        </w:tc>
        <w:tc>
          <w:tcPr>
            <w:tcW w:type="dxa" w:w="1837"/>
            <w:vAlign w:val="center"/>
            <w:shd w:val="clear" w:color="auto" w:fill="FFFFFF"/>
          </w:tcPr>
          <w:p>
            <w:pPr>
              <w:keepNext/>
              <w:spacing w:before="40" w:after="40" w:line="240" w:lineRule="auto"/>
              <w:jc w:val="right"/>
            </w:pPr>
            <w:r>
              <w:rPr>
                <w:rFonts w:ascii="Arial" w:hAnsi="Arial" w:eastAsia="Arial" w:cs="Arial"/>
                <w:sz w:val="21"/>
              </w:rPr>
              <w:t>4.84</w:t>
            </w:r>
          </w:p>
        </w:tc>
        <w:tc>
          <w:tcPr>
            <w:tcW w:type="dxa" w:w="1427"/>
            <w:vAlign w:val="center"/>
            <w:shd w:val="clear" w:color="auto" w:fill="FFFFFF"/>
          </w:tcPr>
          <w:p>
            <w:pPr>
              <w:keepNext/>
              <w:spacing w:before="40" w:after="40" w:line="240" w:lineRule="auto"/>
              <w:jc w:val="right"/>
            </w:pPr>
            <w:r>
              <w:rPr>
                <w:rFonts w:ascii="Arial" w:hAnsi="Arial" w:eastAsia="Arial" w:cs="Arial"/>
                <w:sz w:val="21"/>
              </w:rPr>
              <w:t>4.69</w:t>
            </w:r>
          </w:p>
        </w:tc>
        <w:tc>
          <w:tcPr>
            <w:tcW w:type="dxa" w:w="1427"/>
            <w:vAlign w:val="center"/>
            <w:shd w:val="clear" w:color="auto" w:fill="FFFFFF"/>
          </w:tcPr>
          <w:p>
            <w:pPr>
              <w:keepNext/>
              <w:spacing w:before="40" w:after="40" w:line="240" w:lineRule="auto"/>
              <w:jc w:val="right"/>
            </w:pPr>
            <w:r>
              <w:rPr>
                <w:rFonts w:ascii="Arial" w:hAnsi="Arial" w:eastAsia="Arial" w:cs="Arial"/>
                <w:sz w:val="21"/>
              </w:rPr>
              <w:t>4.73</w:t>
            </w:r>
          </w:p>
        </w:tc>
      </w:tr>
      <w:tr>
        <w:trPr>
          <w:cantSplit/>
        </w:trPr>
        <w:tc>
          <w:tcPr>
            <w:tcW w:type="dxa" w:w="5173"/>
            <w:vAlign w:val="center"/>
            <w:shd w:val="clear" w:color="auto" w:fill="FFFFFF"/>
          </w:tcPr>
          <w:p>
            <w:pPr>
              <w:spacing w:before="40" w:after="40" w:line="240" w:lineRule="auto"/>
              <w:jc w:val="left"/>
            </w:pPr>
            <w:r>
              <w:rPr>
                <w:rFonts w:ascii="Arial" w:hAnsi="Arial" w:eastAsia="Arial" w:cs="Arial"/>
                <w:sz w:val="21"/>
              </w:rPr>
              <w:t>Rated below 4.5 stars</w:t>
            </w:r>
          </w:p>
        </w:tc>
        <w:tc>
          <w:tcPr>
            <w:tcW w:type="dxa" w:w="1837"/>
            <w:vAlign w:val="center"/>
            <w:shd w:val="clear" w:color="auto" w:fill="FFFFFF"/>
          </w:tcPr>
          <w:p>
            <w:pPr>
              <w:spacing w:before="40" w:after="40" w:line="240" w:lineRule="auto"/>
              <w:jc w:val="right"/>
            </w:pPr>
            <w:r>
              <w:rPr>
                <w:rFonts w:ascii="Arial" w:hAnsi="Arial" w:eastAsia="Arial" w:cs="Arial"/>
                <w:sz w:val="21"/>
              </w:rPr>
              <w:t>1.1%</w:t>
            </w:r>
          </w:p>
        </w:tc>
        <w:tc>
          <w:tcPr>
            <w:tcW w:type="dxa" w:w="1427"/>
            <w:vAlign w:val="center"/>
            <w:shd w:val="clear" w:color="auto" w:fill="FFFFFF"/>
          </w:tcPr>
          <w:p>
            <w:pPr>
              <w:spacing w:before="40" w:after="40" w:line="240" w:lineRule="auto"/>
              <w:jc w:val="right"/>
            </w:pPr>
            <w:r>
              <w:rPr>
                <w:rFonts w:ascii="Arial" w:hAnsi="Arial" w:eastAsia="Arial" w:cs="Arial"/>
                <w:sz w:val="21"/>
              </w:rPr>
              <w:t>15.2%</w:t>
            </w:r>
          </w:p>
        </w:tc>
        <w:tc>
          <w:tcPr>
            <w:tcW w:type="dxa" w:w="1427"/>
            <w:vAlign w:val="center"/>
            <w:shd w:val="clear" w:color="auto" w:fill="FFFFFF"/>
          </w:tcPr>
          <w:p>
            <w:pPr>
              <w:spacing w:before="40" w:after="40" w:line="240" w:lineRule="auto"/>
              <w:jc w:val="right"/>
            </w:pPr>
            <w:r>
              <w:rPr>
                <w:rFonts w:ascii="Arial" w:hAnsi="Arial" w:eastAsia="Arial" w:cs="Arial"/>
                <w:sz w:val="21"/>
              </w:rPr>
              <w:t>11.6%</w:t>
            </w:r>
          </w:p>
        </w:tc>
      </w:tr>
    </w:tbl>
    <w:p>
      <w:pPr>
        <w:widowControl/>
        <w:spacing w:after="80" w:line="240" w:lineRule="auto"/>
        <w:jc w:val="left"/>
      </w:pPr>
    </w:p>
    <w:p>
      <w:pPr>
        <w:widowControl/>
        <w:spacing w:after="120" w:line="259" w:lineRule="auto"/>
        <w:jc w:val="left"/>
      </w:pPr>
      <w:r>
        <w:rPr>
          <w:rFonts w:ascii="Arial" w:hAnsi="Arial" w:eastAsia="Arial" w:cs="Arial"/>
        </w:rPr>
        <w:t>Busy homes were slightly cheaper but far more often accepted one-night stays and sat in the City of Melbourne (Table 3); their higher revenue estimate comes from their review counts, not higher prices. They were also better rated: only 1.1% averaged below 4.5 stars, against 15.2% of the rest, though averages over few reviews vary more (Huang &amp; Xu, 2026). So high review counts do not appear to reflect unhappy guests.</w:t>
      </w:r>
    </w:p>
    <w:p>
      <w:pPr>
        <w:pStyle w:val="Heading2"/>
        <w:keepNext/>
      </w:pPr>
      <w:r>
        <w:rPr>
          <w:rFonts w:ascii="Arial" w:hAnsi="Arial" w:eastAsia="Arial" w:cs="Arial"/>
        </w:rPr>
        <w:t>5.2 Descriptive comparison: a simple summary puts City apartments first</w:t>
      </w:r>
    </w:p>
    <w:p>
      <w:pPr>
        <w:widowControl/>
        <w:spacing w:after="120" w:line="259" w:lineRule="auto"/>
        <w:jc w:val="left"/>
      </w:pPr>
      <w:r>
        <w:rPr>
          <w:rFonts w:ascii="Arial" w:hAnsi="Arial" w:eastAsia="Arial" w:cs="Arial"/>
        </w:rPr>
        <w:t>Group rates range from 8.2% to 36.6% against 25.3% overall, and the three priority groups lead (Figure 2, Table 4).</w:t>
      </w:r>
    </w:p>
    <w:p>
      <w:pPr>
        <w:keepNext/>
        <w:widowControl/>
        <w:spacing w:after="40" w:before="80" w:line="240" w:lineRule="auto"/>
        <w:jc w:val="center"/>
      </w:pPr>
      <w:r>
        <w:drawing>
          <wp:inline xmlns:a="http://schemas.openxmlformats.org/drawingml/2006/main" xmlns:pic="http://schemas.openxmlformats.org/drawingml/2006/picture">
            <wp:extent cx="6035040" cy="3880533"/>
            <wp:docPr id="2" name="Picture 2"/>
            <wp:cNvGraphicFramePr>
              <a:graphicFrameLocks noChangeAspect="1"/>
            </wp:cNvGraphicFramePr>
            <a:graphic>
              <a:graphicData uri="http://schemas.openxmlformats.org/drawingml/2006/picture">
                <pic:pic>
                  <pic:nvPicPr>
                    <pic:cNvPr id="0" name="figure_2_group_rates.png"/>
                    <pic:cNvPicPr/>
                  </pic:nvPicPr>
                  <pic:blipFill>
                    <a:blip r:embed="rId21"/>
                    <a:stretch>
                      <a:fillRect/>
                    </a:stretch>
                  </pic:blipFill>
                  <pic:spPr>
                    <a:xfrm>
                      <a:off x="0" y="0"/>
                      <a:ext cx="6035040" cy="3880533"/>
                    </a:xfrm>
                    <a:prstGeom prst="rect"/>
                  </pic:spPr>
                </pic:pic>
              </a:graphicData>
            </a:graphic>
          </wp:inline>
        </w:drawing>
      </w:r>
    </w:p>
    <w:p>
      <w:pPr>
        <w:pStyle w:val="Caption"/>
      </w:pPr>
      <w:r>
        <w:rPr>
          <w:rFonts w:ascii="Arial" w:hAnsi="Arial" w:eastAsia="Arial" w:cs="Arial"/>
          <w:b/>
        </w:rPr>
        <w:t>Figure 2.</w:t>
      </w:r>
      <w:r>
        <w:rPr>
          <w:rFonts w:ascii="Arial" w:hAnsi="Arial" w:eastAsia="Arial" w:cs="Arial"/>
        </w:rPr>
        <w:t xml:space="preserve"> Share of busy homes in all 14 groups, with 90% ranges from redrawing hosts; priority groups in blue.</w:t>
      </w:r>
    </w:p>
    <w:p>
      <w:pPr>
        <w:keepNext/>
        <w:widowControl/>
        <w:spacing w:after="80" w:before="80" w:line="259" w:lineRule="auto"/>
        <w:jc w:val="left"/>
      </w:pPr>
      <w:r>
        <w:rPr>
          <w:rFonts w:ascii="Arial" w:hAnsi="Arial" w:eastAsia="Arial" w:cs="Arial"/>
          <w:b/>
        </w:rPr>
        <w:t>Table 4. Priority groups: median estimated nights and annual revenue (AUD)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2074"/>
        <w:gridCol w:w="1049"/>
        <w:gridCol w:w="1049"/>
        <w:gridCol w:w="1356"/>
        <w:gridCol w:w="1509"/>
        <w:gridCol w:w="1314"/>
        <w:gridCol w:w="1509"/>
      </w:tblGrid>
      <w:tr>
        <w:trPr>
          <w:cantSplit/>
          <w:tblHeader/>
        </w:trPr>
        <w:tc>
          <w:tcPr>
            <w:tcW w:type="dxa" w:w="2074"/>
            <w:vAlign w:val="center"/>
            <w:shd w:val="clear" w:color="auto" w:fill="E9EEF3"/>
          </w:tcPr>
          <w:p>
            <w:pPr>
              <w:keepNext/>
              <w:spacing w:before="40" w:after="40" w:line="240" w:lineRule="auto"/>
              <w:jc w:val="left"/>
            </w:pPr>
            <w:r>
              <w:rPr>
                <w:rFonts w:ascii="Arial" w:hAnsi="Arial" w:eastAsia="Arial" w:cs="Arial"/>
                <w:b/>
                <w:sz w:val="21"/>
              </w:rPr>
              <w:t>Group</w:t>
            </w:r>
          </w:p>
        </w:tc>
        <w:tc>
          <w:tcPr>
            <w:tcW w:type="dxa" w:w="1049"/>
            <w:vAlign w:val="center"/>
            <w:shd w:val="clear" w:color="auto" w:fill="E9EEF3"/>
          </w:tcPr>
          <w:p>
            <w:pPr>
              <w:keepNext/>
              <w:spacing w:before="40" w:after="40" w:line="240" w:lineRule="auto"/>
              <w:jc w:val="left"/>
            </w:pPr>
            <w:r>
              <w:rPr>
                <w:rFonts w:ascii="Arial" w:hAnsi="Arial" w:eastAsia="Arial" w:cs="Arial"/>
                <w:b/>
                <w:sz w:val="21"/>
              </w:rPr>
              <w:t>Homes</w:t>
            </w:r>
          </w:p>
        </w:tc>
        <w:tc>
          <w:tcPr>
            <w:tcW w:type="dxa" w:w="1049"/>
            <w:vAlign w:val="center"/>
            <w:shd w:val="clear" w:color="auto" w:fill="E9EEF3"/>
          </w:tcPr>
          <w:p>
            <w:pPr>
              <w:keepNext/>
              <w:spacing w:before="40" w:after="40" w:line="240" w:lineRule="auto"/>
              <w:jc w:val="left"/>
            </w:pPr>
            <w:r>
              <w:rPr>
                <w:rFonts w:ascii="Arial" w:hAnsi="Arial" w:eastAsia="Arial" w:cs="Arial"/>
                <w:b/>
                <w:sz w:val="21"/>
              </w:rPr>
              <w:t>Share busy</w:t>
            </w:r>
          </w:p>
        </w:tc>
        <w:tc>
          <w:tcPr>
            <w:tcW w:type="dxa" w:w="1356"/>
            <w:vAlign w:val="center"/>
            <w:shd w:val="clear" w:color="auto" w:fill="E9EEF3"/>
          </w:tcPr>
          <w:p>
            <w:pPr>
              <w:keepNext/>
              <w:spacing w:before="40" w:after="40" w:line="240" w:lineRule="auto"/>
              <w:jc w:val="left"/>
            </w:pPr>
            <w:r>
              <w:rPr>
                <w:rFonts w:ascii="Arial" w:hAnsi="Arial" w:eastAsia="Arial" w:cs="Arial"/>
                <w:b/>
                <w:sz w:val="21"/>
              </w:rPr>
              <w:t>Nights, all homes</w:t>
            </w:r>
          </w:p>
        </w:tc>
        <w:tc>
          <w:tcPr>
            <w:tcW w:type="dxa" w:w="1509"/>
            <w:vAlign w:val="center"/>
            <w:shd w:val="clear" w:color="auto" w:fill="E9EEF3"/>
          </w:tcPr>
          <w:p>
            <w:pPr>
              <w:keepNext/>
              <w:spacing w:before="40" w:after="40" w:line="240" w:lineRule="auto"/>
              <w:jc w:val="left"/>
            </w:pPr>
            <w:r>
              <w:rPr>
                <w:rFonts w:ascii="Arial" w:hAnsi="Arial" w:eastAsia="Arial" w:cs="Arial"/>
                <w:b/>
                <w:sz w:val="21"/>
              </w:rPr>
              <w:t>Revenue, all homes</w:t>
            </w:r>
          </w:p>
        </w:tc>
        <w:tc>
          <w:tcPr>
            <w:tcW w:type="dxa" w:w="1314"/>
            <w:vAlign w:val="center"/>
            <w:shd w:val="clear" w:color="auto" w:fill="E9EEF3"/>
          </w:tcPr>
          <w:p>
            <w:pPr>
              <w:keepNext/>
              <w:spacing w:before="40" w:after="40" w:line="240" w:lineRule="auto"/>
              <w:jc w:val="left"/>
            </w:pPr>
            <w:r>
              <w:rPr>
                <w:rFonts w:ascii="Arial" w:hAnsi="Arial" w:eastAsia="Arial" w:cs="Arial"/>
                <w:b/>
                <w:sz w:val="21"/>
              </w:rPr>
              <w:t>Revenue rank</w:t>
            </w:r>
          </w:p>
        </w:tc>
        <w:tc>
          <w:tcPr>
            <w:tcW w:type="dxa" w:w="1509"/>
            <w:vAlign w:val="center"/>
            <w:shd w:val="clear" w:color="auto" w:fill="E9EEF3"/>
          </w:tcPr>
          <w:p>
            <w:pPr>
              <w:keepNext/>
              <w:spacing w:before="40" w:after="40" w:line="240" w:lineRule="auto"/>
              <w:jc w:val="left"/>
            </w:pPr>
            <w:r>
              <w:rPr>
                <w:rFonts w:ascii="Arial" w:hAnsi="Arial" w:eastAsia="Arial" w:cs="Arial"/>
                <w:b/>
                <w:sz w:val="21"/>
              </w:rPr>
              <w:t>Revenue, below 30</w:t>
            </w:r>
          </w:p>
        </w:tc>
      </w:tr>
      <w:tr>
        <w:trPr>
          <w:cantSplit/>
        </w:trPr>
        <w:tc>
          <w:tcPr>
            <w:tcW w:type="dxa" w:w="2074"/>
            <w:vAlign w:val="center"/>
            <w:shd w:val="clear" w:color="auto" w:fill="FFFFFF"/>
          </w:tcPr>
          <w:p>
            <w:pPr>
              <w:keepNext/>
              <w:spacing w:before="40" w:after="40" w:line="240" w:lineRule="auto"/>
              <w:jc w:val="left"/>
            </w:pPr>
            <w:r>
              <w:rPr>
                <w:rFonts w:ascii="Arial" w:hAnsi="Arial" w:eastAsia="Arial" w:cs="Arial"/>
                <w:sz w:val="21"/>
              </w:rPr>
              <w:t>City 3-bed apartments</w:t>
            </w:r>
          </w:p>
        </w:tc>
        <w:tc>
          <w:tcPr>
            <w:tcW w:type="dxa" w:w="1049"/>
            <w:vAlign w:val="center"/>
            <w:shd w:val="clear" w:color="auto" w:fill="FFFFFF"/>
          </w:tcPr>
          <w:p>
            <w:pPr>
              <w:keepNext/>
              <w:spacing w:before="40" w:after="40" w:line="240" w:lineRule="auto"/>
              <w:jc w:val="right"/>
            </w:pPr>
            <w:r>
              <w:rPr>
                <w:rFonts w:ascii="Arial" w:hAnsi="Arial" w:eastAsia="Arial" w:cs="Arial"/>
                <w:sz w:val="21"/>
              </w:rPr>
              <w:t>306</w:t>
            </w:r>
          </w:p>
        </w:tc>
        <w:tc>
          <w:tcPr>
            <w:tcW w:type="dxa" w:w="1049"/>
            <w:vAlign w:val="center"/>
            <w:shd w:val="clear" w:color="auto" w:fill="FFFFFF"/>
          </w:tcPr>
          <w:p>
            <w:pPr>
              <w:keepNext/>
              <w:spacing w:before="40" w:after="40" w:line="240" w:lineRule="auto"/>
              <w:jc w:val="right"/>
            </w:pPr>
            <w:r>
              <w:rPr>
                <w:rFonts w:ascii="Arial" w:hAnsi="Arial" w:eastAsia="Arial" w:cs="Arial"/>
                <w:sz w:val="21"/>
              </w:rPr>
              <w:t>36.6%</w:t>
            </w:r>
          </w:p>
        </w:tc>
        <w:tc>
          <w:tcPr>
            <w:tcW w:type="dxa" w:w="1356"/>
            <w:vAlign w:val="center"/>
            <w:shd w:val="clear" w:color="auto" w:fill="FFFFFF"/>
          </w:tcPr>
          <w:p>
            <w:pPr>
              <w:keepNext/>
              <w:spacing w:before="40" w:after="40" w:line="240" w:lineRule="auto"/>
              <w:jc w:val="right"/>
            </w:pPr>
            <w:r>
              <w:rPr>
                <w:rFonts w:ascii="Arial" w:hAnsi="Arial" w:eastAsia="Arial" w:cs="Arial"/>
                <w:sz w:val="21"/>
              </w:rPr>
              <w:t>126</w:t>
            </w:r>
          </w:p>
        </w:tc>
        <w:tc>
          <w:tcPr>
            <w:tcW w:type="dxa" w:w="1509"/>
            <w:vAlign w:val="center"/>
            <w:shd w:val="clear" w:color="auto" w:fill="FFFFFF"/>
          </w:tcPr>
          <w:p>
            <w:pPr>
              <w:keepNext/>
              <w:spacing w:before="40" w:after="40" w:line="240" w:lineRule="auto"/>
              <w:jc w:val="right"/>
            </w:pPr>
            <w:r>
              <w:rPr>
                <w:rFonts w:ascii="Arial" w:hAnsi="Arial" w:eastAsia="Arial" w:cs="Arial"/>
                <w:sz w:val="21"/>
              </w:rPr>
              <w:t>48,600</w:t>
            </w:r>
          </w:p>
        </w:tc>
        <w:tc>
          <w:tcPr>
            <w:tcW w:type="dxa" w:w="1314"/>
            <w:vAlign w:val="center"/>
            <w:shd w:val="clear" w:color="auto" w:fill="FFFFFF"/>
          </w:tcPr>
          <w:p>
            <w:pPr>
              <w:keepNext/>
              <w:spacing w:before="40" w:after="40" w:line="240" w:lineRule="auto"/>
              <w:jc w:val="right"/>
            </w:pPr>
            <w:r>
              <w:rPr>
                <w:rFonts w:ascii="Arial" w:hAnsi="Arial" w:eastAsia="Arial" w:cs="Arial"/>
                <w:sz w:val="21"/>
              </w:rPr>
              <w:t>1</w:t>
            </w:r>
          </w:p>
        </w:tc>
        <w:tc>
          <w:tcPr>
            <w:tcW w:type="dxa" w:w="1509"/>
            <w:vAlign w:val="center"/>
            <w:shd w:val="clear" w:color="auto" w:fill="FFFFFF"/>
          </w:tcPr>
          <w:p>
            <w:pPr>
              <w:keepNext/>
              <w:spacing w:before="40" w:after="40" w:line="240" w:lineRule="auto"/>
              <w:jc w:val="right"/>
            </w:pPr>
            <w:r>
              <w:rPr>
                <w:rFonts w:ascii="Arial" w:hAnsi="Arial" w:eastAsia="Arial" w:cs="Arial"/>
                <w:sz w:val="21"/>
              </w:rPr>
              <w:t>32,100</w:t>
            </w:r>
          </w:p>
        </w:tc>
      </w:tr>
      <w:tr>
        <w:trPr>
          <w:cantSplit/>
        </w:trPr>
        <w:tc>
          <w:tcPr>
            <w:tcW w:type="dxa" w:w="2074"/>
            <w:vAlign w:val="center"/>
            <w:shd w:val="clear" w:color="auto" w:fill="FFFFFF"/>
          </w:tcPr>
          <w:p>
            <w:pPr>
              <w:keepNext/>
              <w:spacing w:before="40" w:after="40" w:line="240" w:lineRule="auto"/>
              <w:jc w:val="left"/>
            </w:pPr>
            <w:r>
              <w:rPr>
                <w:rFonts w:ascii="Arial" w:hAnsi="Arial" w:eastAsia="Arial" w:cs="Arial"/>
                <w:sz w:val="21"/>
              </w:rPr>
              <w:t>City 2-bed apartments</w:t>
            </w:r>
          </w:p>
        </w:tc>
        <w:tc>
          <w:tcPr>
            <w:tcW w:type="dxa" w:w="1049"/>
            <w:vAlign w:val="center"/>
            <w:shd w:val="clear" w:color="auto" w:fill="FFFFFF"/>
          </w:tcPr>
          <w:p>
            <w:pPr>
              <w:keepNext/>
              <w:spacing w:before="40" w:after="40" w:line="240" w:lineRule="auto"/>
              <w:jc w:val="right"/>
            </w:pPr>
            <w:r>
              <w:rPr>
                <w:rFonts w:ascii="Arial" w:hAnsi="Arial" w:eastAsia="Arial" w:cs="Arial"/>
                <w:sz w:val="21"/>
              </w:rPr>
              <w:t>1,235</w:t>
            </w:r>
          </w:p>
        </w:tc>
        <w:tc>
          <w:tcPr>
            <w:tcW w:type="dxa" w:w="1049"/>
            <w:vAlign w:val="center"/>
            <w:shd w:val="clear" w:color="auto" w:fill="FFFFFF"/>
          </w:tcPr>
          <w:p>
            <w:pPr>
              <w:keepNext/>
              <w:spacing w:before="40" w:after="40" w:line="240" w:lineRule="auto"/>
              <w:jc w:val="right"/>
            </w:pPr>
            <w:r>
              <w:rPr>
                <w:rFonts w:ascii="Arial" w:hAnsi="Arial" w:eastAsia="Arial" w:cs="Arial"/>
                <w:sz w:val="21"/>
              </w:rPr>
              <w:t>32.8%</w:t>
            </w:r>
          </w:p>
        </w:tc>
        <w:tc>
          <w:tcPr>
            <w:tcW w:type="dxa" w:w="1356"/>
            <w:vAlign w:val="center"/>
            <w:shd w:val="clear" w:color="auto" w:fill="FFFFFF"/>
          </w:tcPr>
          <w:p>
            <w:pPr>
              <w:keepNext/>
              <w:spacing w:before="40" w:after="40" w:line="240" w:lineRule="auto"/>
              <w:jc w:val="right"/>
            </w:pPr>
            <w:r>
              <w:rPr>
                <w:rFonts w:ascii="Arial" w:hAnsi="Arial" w:eastAsia="Arial" w:cs="Arial"/>
                <w:sz w:val="21"/>
              </w:rPr>
              <w:t>108</w:t>
            </w:r>
          </w:p>
        </w:tc>
        <w:tc>
          <w:tcPr>
            <w:tcW w:type="dxa" w:w="1509"/>
            <w:vAlign w:val="center"/>
            <w:shd w:val="clear" w:color="auto" w:fill="FFFFFF"/>
          </w:tcPr>
          <w:p>
            <w:pPr>
              <w:keepNext/>
              <w:spacing w:before="40" w:after="40" w:line="240" w:lineRule="auto"/>
              <w:jc w:val="right"/>
            </w:pPr>
            <w:r>
              <w:rPr>
                <w:rFonts w:ascii="Arial" w:hAnsi="Arial" w:eastAsia="Arial" w:cs="Arial"/>
                <w:sz w:val="21"/>
              </w:rPr>
              <w:t>30,600</w:t>
            </w:r>
          </w:p>
        </w:tc>
        <w:tc>
          <w:tcPr>
            <w:tcW w:type="dxa" w:w="1314"/>
            <w:vAlign w:val="center"/>
            <w:shd w:val="clear" w:color="auto" w:fill="FFFFFF"/>
          </w:tcPr>
          <w:p>
            <w:pPr>
              <w:keepNext/>
              <w:spacing w:before="40" w:after="40" w:line="240" w:lineRule="auto"/>
              <w:jc w:val="right"/>
            </w:pPr>
            <w:r>
              <w:rPr>
                <w:rFonts w:ascii="Arial" w:hAnsi="Arial" w:eastAsia="Arial" w:cs="Arial"/>
                <w:sz w:val="21"/>
              </w:rPr>
              <w:t>5</w:t>
            </w:r>
          </w:p>
        </w:tc>
        <w:tc>
          <w:tcPr>
            <w:tcW w:type="dxa" w:w="1509"/>
            <w:vAlign w:val="center"/>
            <w:shd w:val="clear" w:color="auto" w:fill="FFFFFF"/>
          </w:tcPr>
          <w:p>
            <w:pPr>
              <w:keepNext/>
              <w:spacing w:before="40" w:after="40" w:line="240" w:lineRule="auto"/>
              <w:jc w:val="right"/>
            </w:pPr>
            <w:r>
              <w:rPr>
                <w:rFonts w:ascii="Arial" w:hAnsi="Arial" w:eastAsia="Arial" w:cs="Arial"/>
                <w:sz w:val="21"/>
              </w:rPr>
              <w:t>16,600</w:t>
            </w:r>
          </w:p>
        </w:tc>
      </w:tr>
      <w:tr>
        <w:trPr>
          <w:cantSplit/>
        </w:trPr>
        <w:tc>
          <w:tcPr>
            <w:tcW w:type="dxa" w:w="2074"/>
            <w:vAlign w:val="center"/>
            <w:shd w:val="clear" w:color="auto" w:fill="FFFFFF"/>
          </w:tcPr>
          <w:p>
            <w:pPr>
              <w:keepNext/>
              <w:spacing w:before="40" w:after="40" w:line="240" w:lineRule="auto"/>
              <w:jc w:val="left"/>
            </w:pPr>
            <w:r>
              <w:rPr>
                <w:rFonts w:ascii="Arial" w:hAnsi="Arial" w:eastAsia="Arial" w:cs="Arial"/>
                <w:sz w:val="21"/>
              </w:rPr>
              <w:t>Yarra Ranges 3-bed houses</w:t>
            </w:r>
          </w:p>
        </w:tc>
        <w:tc>
          <w:tcPr>
            <w:tcW w:type="dxa" w:w="1049"/>
            <w:vAlign w:val="center"/>
            <w:shd w:val="clear" w:color="auto" w:fill="FFFFFF"/>
          </w:tcPr>
          <w:p>
            <w:pPr>
              <w:keepNext/>
              <w:spacing w:before="40" w:after="40" w:line="240" w:lineRule="auto"/>
              <w:jc w:val="right"/>
            </w:pPr>
            <w:r>
              <w:rPr>
                <w:rFonts w:ascii="Arial" w:hAnsi="Arial" w:eastAsia="Arial" w:cs="Arial"/>
                <w:sz w:val="21"/>
              </w:rPr>
              <w:t>90</w:t>
            </w:r>
          </w:p>
        </w:tc>
        <w:tc>
          <w:tcPr>
            <w:tcW w:type="dxa" w:w="1049"/>
            <w:vAlign w:val="center"/>
            <w:shd w:val="clear" w:color="auto" w:fill="FFFFFF"/>
          </w:tcPr>
          <w:p>
            <w:pPr>
              <w:keepNext/>
              <w:spacing w:before="40" w:after="40" w:line="240" w:lineRule="auto"/>
              <w:jc w:val="right"/>
            </w:pPr>
            <w:r>
              <w:rPr>
                <w:rFonts w:ascii="Arial" w:hAnsi="Arial" w:eastAsia="Arial" w:cs="Arial"/>
                <w:sz w:val="21"/>
              </w:rPr>
              <w:t>30.0%</w:t>
            </w:r>
          </w:p>
        </w:tc>
        <w:tc>
          <w:tcPr>
            <w:tcW w:type="dxa" w:w="1356"/>
            <w:vAlign w:val="center"/>
            <w:shd w:val="clear" w:color="auto" w:fill="FFFFFF"/>
          </w:tcPr>
          <w:p>
            <w:pPr>
              <w:keepNext/>
              <w:spacing w:before="40" w:after="40" w:line="240" w:lineRule="auto"/>
              <w:jc w:val="right"/>
            </w:pPr>
            <w:r>
              <w:rPr>
                <w:rFonts w:ascii="Arial" w:hAnsi="Arial" w:eastAsia="Arial" w:cs="Arial"/>
                <w:sz w:val="21"/>
              </w:rPr>
              <w:t>120</w:t>
            </w:r>
          </w:p>
        </w:tc>
        <w:tc>
          <w:tcPr>
            <w:tcW w:type="dxa" w:w="1509"/>
            <w:vAlign w:val="center"/>
            <w:shd w:val="clear" w:color="auto" w:fill="FFFFFF"/>
          </w:tcPr>
          <w:p>
            <w:pPr>
              <w:keepNext/>
              <w:spacing w:before="40" w:after="40" w:line="240" w:lineRule="auto"/>
              <w:jc w:val="right"/>
            </w:pPr>
            <w:r>
              <w:rPr>
                <w:rFonts w:ascii="Arial" w:hAnsi="Arial" w:eastAsia="Arial" w:cs="Arial"/>
                <w:sz w:val="21"/>
              </w:rPr>
              <w:t>46,100</w:t>
            </w:r>
          </w:p>
        </w:tc>
        <w:tc>
          <w:tcPr>
            <w:tcW w:type="dxa" w:w="1314"/>
            <w:vAlign w:val="center"/>
            <w:shd w:val="clear" w:color="auto" w:fill="FFFFFF"/>
          </w:tcPr>
          <w:p>
            <w:pPr>
              <w:keepNext/>
              <w:spacing w:before="40" w:after="40" w:line="240" w:lineRule="auto"/>
              <w:jc w:val="right"/>
            </w:pPr>
            <w:r>
              <w:rPr>
                <w:rFonts w:ascii="Arial" w:hAnsi="Arial" w:eastAsia="Arial" w:cs="Arial"/>
                <w:sz w:val="21"/>
              </w:rPr>
              <w:t>2</w:t>
            </w:r>
          </w:p>
        </w:tc>
        <w:tc>
          <w:tcPr>
            <w:tcW w:type="dxa" w:w="1509"/>
            <w:vAlign w:val="center"/>
            <w:shd w:val="clear" w:color="auto" w:fill="FFFFFF"/>
          </w:tcPr>
          <w:p>
            <w:pPr>
              <w:keepNext/>
              <w:spacing w:before="40" w:after="40" w:line="240" w:lineRule="auto"/>
              <w:jc w:val="right"/>
            </w:pPr>
            <w:r>
              <w:rPr>
                <w:rFonts w:ascii="Arial" w:hAnsi="Arial" w:eastAsia="Arial" w:cs="Arial"/>
                <w:sz w:val="21"/>
              </w:rPr>
              <w:t>31,100</w:t>
            </w:r>
          </w:p>
        </w:tc>
      </w:tr>
      <w:tr>
        <w:trPr>
          <w:cantSplit/>
        </w:trPr>
        <w:tc>
          <w:tcPr>
            <w:tcW w:type="dxa" w:w="2074"/>
            <w:vAlign w:val="center"/>
            <w:shd w:val="clear" w:color="auto" w:fill="FFFFFF"/>
          </w:tcPr>
          <w:p>
            <w:pPr>
              <w:spacing w:before="40" w:after="40" w:line="240" w:lineRule="auto"/>
              <w:jc w:val="left"/>
            </w:pPr>
            <w:r>
              <w:rPr>
                <w:rFonts w:ascii="Arial" w:hAnsi="Arial" w:eastAsia="Arial" w:cs="Arial"/>
                <w:sz w:val="21"/>
              </w:rPr>
              <w:t>All 14 groups</w:t>
            </w:r>
          </w:p>
        </w:tc>
        <w:tc>
          <w:tcPr>
            <w:tcW w:type="dxa" w:w="1049"/>
            <w:vAlign w:val="center"/>
            <w:shd w:val="clear" w:color="auto" w:fill="FFFFFF"/>
          </w:tcPr>
          <w:p>
            <w:pPr>
              <w:spacing w:before="40" w:after="40" w:line="240" w:lineRule="auto"/>
              <w:jc w:val="right"/>
            </w:pPr>
            <w:r>
              <w:rPr>
                <w:rFonts w:ascii="Arial" w:hAnsi="Arial" w:eastAsia="Arial" w:cs="Arial"/>
                <w:sz w:val="21"/>
              </w:rPr>
              <w:t>3,873</w:t>
            </w:r>
          </w:p>
        </w:tc>
        <w:tc>
          <w:tcPr>
            <w:tcW w:type="dxa" w:w="1049"/>
            <w:vAlign w:val="center"/>
            <w:shd w:val="clear" w:color="auto" w:fill="FFFFFF"/>
          </w:tcPr>
          <w:p>
            <w:pPr>
              <w:spacing w:before="40" w:after="40" w:line="240" w:lineRule="auto"/>
              <w:jc w:val="right"/>
            </w:pPr>
            <w:r>
              <w:rPr>
                <w:rFonts w:ascii="Arial" w:hAnsi="Arial" w:eastAsia="Arial" w:cs="Arial"/>
                <w:sz w:val="21"/>
              </w:rPr>
              <w:t>25.3%</w:t>
            </w:r>
          </w:p>
        </w:tc>
        <w:tc>
          <w:tcPr>
            <w:tcW w:type="dxa" w:w="1356"/>
            <w:vAlign w:val="center"/>
            <w:shd w:val="clear" w:color="auto" w:fill="FFFFFF"/>
          </w:tcPr>
          <w:p>
            <w:pPr>
              <w:spacing w:before="40" w:after="40" w:line="240" w:lineRule="auto"/>
              <w:jc w:val="right"/>
            </w:pPr>
            <w:r>
              <w:rPr>
                <w:rFonts w:ascii="Arial" w:hAnsi="Arial" w:eastAsia="Arial" w:cs="Arial"/>
                <w:sz w:val="21"/>
              </w:rPr>
              <w:t>96</w:t>
            </w:r>
          </w:p>
        </w:tc>
        <w:tc>
          <w:tcPr>
            <w:tcW w:type="dxa" w:w="1509"/>
            <w:vAlign w:val="center"/>
            <w:shd w:val="clear" w:color="auto" w:fill="FFFFFF"/>
          </w:tcPr>
          <w:p>
            <w:pPr>
              <w:spacing w:before="40" w:after="40" w:line="240" w:lineRule="auto"/>
              <w:jc w:val="right"/>
            </w:pPr>
            <w:r>
              <w:rPr>
                <w:rFonts w:ascii="Arial" w:hAnsi="Arial" w:eastAsia="Arial" w:cs="Arial"/>
                <w:sz w:val="21"/>
              </w:rPr>
              <w:t>24,700</w:t>
            </w:r>
          </w:p>
        </w:tc>
        <w:tc>
          <w:tcPr>
            <w:tcW w:type="dxa" w:w="1314"/>
            <w:vAlign w:val="center"/>
            <w:shd w:val="clear" w:color="auto" w:fill="FFFFFF"/>
          </w:tcPr>
          <w:p>
            <w:pPr>
              <w:spacing w:before="40" w:after="40" w:line="240" w:lineRule="auto"/>
              <w:jc w:val="right"/>
            </w:pPr>
            <w:r>
              <w:rPr>
                <w:rFonts w:ascii="Arial" w:hAnsi="Arial" w:eastAsia="Arial" w:cs="Arial"/>
                <w:sz w:val="21"/>
              </w:rPr>
              <w:t>–</w:t>
            </w:r>
          </w:p>
        </w:tc>
        <w:tc>
          <w:tcPr>
            <w:tcW w:type="dxa" w:w="1509"/>
            <w:vAlign w:val="center"/>
            <w:shd w:val="clear" w:color="auto" w:fill="FFFFFF"/>
          </w:tcPr>
          <w:p>
            <w:pPr>
              <w:spacing w:before="40" w:after="40" w:line="240" w:lineRule="auto"/>
              <w:jc w:val="right"/>
            </w:pPr>
            <w:r>
              <w:rPr>
                <w:rFonts w:ascii="Arial" w:hAnsi="Arial" w:eastAsia="Arial" w:cs="Arial"/>
                <w:sz w:val="21"/>
              </w:rPr>
              <w:t>16,600</w:t>
            </w:r>
          </w:p>
        </w:tc>
      </w:tr>
    </w:tbl>
    <w:p>
      <w:pPr>
        <w:widowControl/>
        <w:spacing w:after="80" w:line="240" w:lineRule="auto"/>
        <w:jc w:val="left"/>
      </w:pPr>
    </w:p>
    <w:p>
      <w:pPr>
        <w:widowControl/>
        <w:spacing w:after="120" w:line="259" w:lineRule="auto"/>
        <w:jc w:val="left"/>
      </w:pPr>
      <w:r>
        <w:rPr>
          <w:rFonts w:ascii="Arial" w:hAnsi="Arial" w:eastAsia="Arial" w:cs="Arial"/>
        </w:rPr>
        <w:t>The same three groups lead without the price limits or one-year review rule (Huang &amp; Xu, 2026). In 1,000 host redraws, the City groups stayed in the top three in 94% and 90% of them, and Yarra Ranges houses in only 64%.</w:t>
      </w:r>
    </w:p>
    <w:p>
      <w:pPr>
        <w:widowControl/>
        <w:spacing w:after="120" w:line="259" w:lineRule="auto"/>
        <w:jc w:val="left"/>
      </w:pPr>
      <w:r>
        <w:rPr>
          <w:rFonts w:ascii="Arial" w:hAnsi="Arial" w:eastAsia="Arial" w:cs="Arial"/>
          <w:b/>
        </w:rPr>
        <w:t>When the rankings differ.</w:t>
      </w:r>
      <w:r>
        <w:rPr>
          <w:rFonts w:ascii="Arial" w:hAnsi="Arial" w:eastAsia="Arial" w:cs="Arial"/>
        </w:rPr>
        <w:t xml:space="preserve"> On median revenue (Table 4), Yarra Ranges houses rank second and City two-bedroom apartments fifth, mainly because the houses charge more a night (AUD 426 against 285). With rents unknown, activity guides the search; revenue tests each lease.</w:t>
      </w:r>
    </w:p>
    <w:p>
      <w:pPr>
        <w:pStyle w:val="Heading2"/>
        <w:keepNext/>
      </w:pPr>
      <w:r>
        <w:rPr>
          <w:rFonts w:ascii="Arial" w:hAnsi="Arial" w:eastAsia="Arial" w:cs="Arial"/>
        </w:rPr>
        <w:t>5.3 Predictive analysis: one-night stays and price go with busy homes</w:t>
      </w:r>
    </w:p>
    <w:p>
      <w:pPr>
        <w:widowControl/>
        <w:spacing w:after="120" w:line="259" w:lineRule="auto"/>
        <w:jc w:val="left"/>
      </w:pPr>
      <w:r>
        <w:rPr>
          <w:rFonts w:ascii="Arial" w:hAnsi="Arial" w:eastAsia="Arial" w:cs="Arial"/>
        </w:rPr>
        <w:t xml:space="preserve">Holding other inputs fixed, three settings an operator controls go with busy homes (Figure 3; Table A1). A typical City two-bedroom apartment has a </w:t>
      </w:r>
      <w:r>
        <w:rPr>
          <w:rFonts w:ascii="Arial" w:hAnsi="Arial" w:eastAsia="Arial" w:cs="Arial"/>
          <w:b/>
        </w:rPr>
        <w:t>42%</w:t>
      </w:r>
      <w:r>
        <w:rPr>
          <w:rFonts w:ascii="Arial" w:hAnsi="Arial" w:eastAsia="Arial" w:cs="Arial"/>
        </w:rPr>
        <w:t xml:space="preserve"> chance of being busy with one-night stays but </w:t>
      </w:r>
      <w:r>
        <w:rPr>
          <w:rFonts w:ascii="Arial" w:hAnsi="Arial" w:eastAsia="Arial" w:cs="Arial"/>
          <w:b/>
        </w:rPr>
        <w:t>18%</w:t>
      </w:r>
      <w:r>
        <w:rPr>
          <w:rFonts w:ascii="Arial" w:hAnsi="Arial" w:eastAsia="Arial" w:cs="Arial"/>
        </w:rPr>
        <w:t xml:space="preserve"> with a two-night minimum or longer. Pricing 20% above similar homes lowers it to </w:t>
      </w:r>
      <w:r>
        <w:rPr>
          <w:rFonts w:ascii="Arial" w:hAnsi="Arial" w:eastAsia="Arial" w:cs="Arial"/>
          <w:b/>
        </w:rPr>
        <w:t>36%</w:t>
      </w:r>
      <w:r>
        <w:rPr>
          <w:rFonts w:ascii="Arial" w:hAnsi="Arial" w:eastAsia="Arial" w:cs="Arial"/>
        </w:rPr>
        <w:t xml:space="preserve">; ten more amenities raise it to </w:t>
      </w:r>
      <w:r>
        <w:rPr>
          <w:rFonts w:ascii="Arial" w:hAnsi="Arial" w:eastAsia="Arial" w:cs="Arial"/>
          <w:b/>
        </w:rPr>
        <w:t>48%</w:t>
      </w:r>
      <w:r>
        <w:rPr>
          <w:rFonts w:ascii="Arial" w:hAnsi="Arial" w:eastAsia="Arial" w:cs="Arial"/>
        </w:rPr>
        <w:t>. These are associations: changing a setting alone does not guarantee more bookings.</w:t>
      </w:r>
    </w:p>
    <w:p>
      <w:pPr>
        <w:keepNext/>
        <w:widowControl/>
        <w:spacing w:after="40" w:before="80" w:line="240" w:lineRule="auto"/>
        <w:jc w:val="center"/>
      </w:pPr>
      <w:r>
        <w:drawing>
          <wp:inline xmlns:a="http://schemas.openxmlformats.org/drawingml/2006/main" xmlns:pic="http://schemas.openxmlformats.org/drawingml/2006/picture">
            <wp:extent cx="6035040" cy="2738634"/>
            <wp:docPr id="3" name="Picture 3"/>
            <wp:cNvGraphicFramePr>
              <a:graphicFrameLocks noChangeAspect="1"/>
            </wp:cNvGraphicFramePr>
            <a:graphic>
              <a:graphicData uri="http://schemas.openxmlformats.org/drawingml/2006/picture">
                <pic:pic>
                  <pic:nvPicPr>
                    <pic:cNvPr id="0" name="figure_3_factors.png"/>
                    <pic:cNvPicPr/>
                  </pic:nvPicPr>
                  <pic:blipFill>
                    <a:blip r:embed="rId22"/>
                    <a:stretch>
                      <a:fillRect/>
                    </a:stretch>
                  </pic:blipFill>
                  <pic:spPr>
                    <a:xfrm>
                      <a:off x="0" y="0"/>
                      <a:ext cx="6035040" cy="2738634"/>
                    </a:xfrm>
                    <a:prstGeom prst="rect"/>
                  </pic:spPr>
                </pic:pic>
              </a:graphicData>
            </a:graphic>
          </wp:inline>
        </w:drawing>
      </w:r>
    </w:p>
    <w:p>
      <w:pPr>
        <w:pStyle w:val="Caption"/>
      </w:pPr>
      <w:r>
        <w:rPr>
          <w:rFonts w:ascii="Arial" w:hAnsi="Arial" w:eastAsia="Arial" w:cs="Arial"/>
          <w:b/>
        </w:rPr>
        <w:t>Figure 3.</w:t>
      </w:r>
      <w:r>
        <w:rPr>
          <w:rFonts w:ascii="Arial" w:hAnsi="Arial" w:eastAsia="Arial" w:cs="Arial"/>
        </w:rPr>
        <w:t xml:space="preserve"> Model-estimated chance that a typical City two-bedroom apartment is busy when one input changes, with 95% confidence intervals.</w:t>
      </w:r>
    </w:p>
    <w:p>
      <w:pPr>
        <w:widowControl/>
        <w:spacing w:after="120" w:line="259" w:lineRule="auto"/>
        <w:jc w:val="left"/>
      </w:pPr>
      <w:r>
        <w:rPr>
          <w:rFonts w:ascii="Arial" w:hAnsi="Arial" w:eastAsia="Arial" w:cs="Arial"/>
        </w:rPr>
        <w:t xml:space="preserve">A simple two-setting rule captures most of this (Table 5). In the priority groups, </w:t>
      </w:r>
      <w:r>
        <w:rPr>
          <w:rFonts w:ascii="Arial" w:hAnsi="Arial" w:eastAsia="Arial" w:cs="Arial"/>
          <w:b/>
        </w:rPr>
        <w:t>50.4%</w:t>
      </w:r>
      <w:r>
        <w:rPr>
          <w:rFonts w:ascii="Arial" w:hAnsi="Arial" w:eastAsia="Arial" w:cs="Arial"/>
        </w:rPr>
        <w:t xml:space="preserve"> of homes that accepted one-night stays and were priced at or below their group median were busy, against </w:t>
      </w:r>
      <w:r>
        <w:rPr>
          <w:rFonts w:ascii="Arial" w:hAnsi="Arial" w:eastAsia="Arial" w:cs="Arial"/>
          <w:b/>
        </w:rPr>
        <w:t>33.4%</w:t>
      </w:r>
      <w:r>
        <w:rPr>
          <w:rFonts w:ascii="Arial" w:hAnsi="Arial" w:eastAsia="Arial" w:cs="Arial"/>
        </w:rPr>
        <w:t xml:space="preserve"> of all their homes and </w:t>
      </w:r>
      <w:r>
        <w:rPr>
          <w:rFonts w:ascii="Arial" w:hAnsi="Arial" w:eastAsia="Arial" w:cs="Arial"/>
          <w:b/>
        </w:rPr>
        <w:t>9.3%</w:t>
      </w:r>
      <w:r>
        <w:rPr>
          <w:rFonts w:ascii="Arial" w:hAnsi="Arial" w:eastAsia="Arial" w:cs="Arial"/>
        </w:rPr>
        <w:t xml:space="preserve"> of homes with neither. Only 20 of 90 Yarra Ranges houses accept one-night stays, so the rule rests mainly on City apartments.</w:t>
      </w:r>
    </w:p>
    <w:p>
      <w:pPr>
        <w:keepNext/>
        <w:widowControl/>
        <w:spacing w:after="80" w:before="80" w:line="259" w:lineRule="auto"/>
        <w:jc w:val="left"/>
      </w:pPr>
      <w:r>
        <w:rPr>
          <w:rFonts w:ascii="Arial" w:hAnsi="Arial" w:eastAsia="Arial" w:cs="Arial"/>
          <w:b/>
        </w:rPr>
        <w:t>Table 5. Share of busy homes in the three priority groups, by two settings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3468"/>
        <w:gridCol w:w="3198"/>
        <w:gridCol w:w="3198"/>
      </w:tblGrid>
      <w:tr>
        <w:trPr>
          <w:cantSplit/>
          <w:tblHeader/>
        </w:trPr>
        <w:tc>
          <w:tcPr>
            <w:tcW w:type="dxa" w:w="3468"/>
            <w:vAlign w:val="center"/>
            <w:shd w:val="clear" w:color="auto" w:fill="E9EEF3"/>
          </w:tcPr>
          <w:p>
            <w:pPr>
              <w:keepNext/>
              <w:spacing w:before="40" w:after="40" w:line="240" w:lineRule="auto"/>
              <w:jc w:val="left"/>
            </w:pPr>
            <w:r>
              <w:rPr>
                <w:rFonts w:ascii="Arial" w:hAnsi="Arial" w:eastAsia="Arial" w:cs="Arial"/>
                <w:b/>
                <w:sz w:val="21"/>
              </w:rPr>
              <w:t>Minimum stay</w:t>
            </w:r>
          </w:p>
        </w:tc>
        <w:tc>
          <w:tcPr>
            <w:tcW w:type="dxa" w:w="3198"/>
            <w:vAlign w:val="center"/>
            <w:shd w:val="clear" w:color="auto" w:fill="E9EEF3"/>
          </w:tcPr>
          <w:p>
            <w:pPr>
              <w:keepNext/>
              <w:spacing w:before="40" w:after="40" w:line="240" w:lineRule="auto"/>
              <w:jc w:val="left"/>
            </w:pPr>
            <w:r>
              <w:rPr>
                <w:rFonts w:ascii="Arial" w:hAnsi="Arial" w:eastAsia="Arial" w:cs="Arial"/>
                <w:b/>
                <w:sz w:val="21"/>
              </w:rPr>
              <w:t>Price at or below group median</w:t>
            </w:r>
          </w:p>
        </w:tc>
        <w:tc>
          <w:tcPr>
            <w:tcW w:type="dxa" w:w="3198"/>
            <w:vAlign w:val="center"/>
            <w:shd w:val="clear" w:color="auto" w:fill="E9EEF3"/>
          </w:tcPr>
          <w:p>
            <w:pPr>
              <w:keepNext/>
              <w:spacing w:before="40" w:after="40" w:line="240" w:lineRule="auto"/>
              <w:jc w:val="left"/>
            </w:pPr>
            <w:r>
              <w:rPr>
                <w:rFonts w:ascii="Arial" w:hAnsi="Arial" w:eastAsia="Arial" w:cs="Arial"/>
                <w:b/>
                <w:sz w:val="21"/>
              </w:rPr>
              <w:t>Price above group median</w:t>
            </w:r>
          </w:p>
        </w:tc>
      </w:tr>
      <w:tr>
        <w:trPr>
          <w:cantSplit/>
        </w:trPr>
        <w:tc>
          <w:tcPr>
            <w:tcW w:type="dxa" w:w="3468"/>
            <w:vAlign w:val="center"/>
            <w:shd w:val="clear" w:color="auto" w:fill="FFFFFF"/>
          </w:tcPr>
          <w:p>
            <w:pPr>
              <w:keepNext/>
              <w:spacing w:before="40" w:after="40" w:line="240" w:lineRule="auto"/>
              <w:jc w:val="left"/>
            </w:pPr>
            <w:r>
              <w:rPr>
                <w:rFonts w:ascii="Arial" w:hAnsi="Arial" w:eastAsia="Arial" w:cs="Arial"/>
                <w:sz w:val="21"/>
              </w:rPr>
              <w:t>One night accepted</w:t>
            </w:r>
          </w:p>
        </w:tc>
        <w:tc>
          <w:tcPr>
            <w:tcW w:type="dxa" w:w="3198"/>
            <w:vAlign w:val="center"/>
            <w:shd w:val="clear" w:color="auto" w:fill="FFFFFF"/>
          </w:tcPr>
          <w:p>
            <w:pPr>
              <w:keepNext/>
              <w:spacing w:before="40" w:after="40" w:line="240" w:lineRule="auto"/>
              <w:jc w:val="right"/>
            </w:pPr>
            <w:r>
              <w:rPr>
                <w:rFonts w:ascii="Arial" w:hAnsi="Arial" w:eastAsia="Arial" w:cs="Arial"/>
                <w:sz w:val="21"/>
              </w:rPr>
              <w:t>50.4% (462 homes)</w:t>
            </w:r>
          </w:p>
        </w:tc>
        <w:tc>
          <w:tcPr>
            <w:tcW w:type="dxa" w:w="3198"/>
            <w:vAlign w:val="center"/>
            <w:shd w:val="clear" w:color="auto" w:fill="FFFFFF"/>
          </w:tcPr>
          <w:p>
            <w:pPr>
              <w:keepNext/>
              <w:spacing w:before="40" w:after="40" w:line="240" w:lineRule="auto"/>
              <w:jc w:val="right"/>
            </w:pPr>
            <w:r>
              <w:rPr>
                <w:rFonts w:ascii="Arial" w:hAnsi="Arial" w:eastAsia="Arial" w:cs="Arial"/>
                <w:sz w:val="21"/>
              </w:rPr>
              <w:t>36.1% (477 homes)</w:t>
            </w:r>
          </w:p>
        </w:tc>
      </w:tr>
      <w:tr>
        <w:trPr>
          <w:cantSplit/>
        </w:trPr>
        <w:tc>
          <w:tcPr>
            <w:tcW w:type="dxa" w:w="3468"/>
            <w:vAlign w:val="center"/>
            <w:shd w:val="clear" w:color="auto" w:fill="FFFFFF"/>
          </w:tcPr>
          <w:p>
            <w:pPr>
              <w:spacing w:before="40" w:after="40" w:line="240" w:lineRule="auto"/>
              <w:jc w:val="left"/>
            </w:pPr>
            <w:r>
              <w:rPr>
                <w:rFonts w:ascii="Arial" w:hAnsi="Arial" w:eastAsia="Arial" w:cs="Arial"/>
                <w:sz w:val="21"/>
              </w:rPr>
              <w:t>Two nights or more</w:t>
            </w:r>
          </w:p>
        </w:tc>
        <w:tc>
          <w:tcPr>
            <w:tcW w:type="dxa" w:w="3198"/>
            <w:vAlign w:val="center"/>
            <w:shd w:val="clear" w:color="auto" w:fill="FFFFFF"/>
          </w:tcPr>
          <w:p>
            <w:pPr>
              <w:spacing w:before="40" w:after="40" w:line="240" w:lineRule="auto"/>
              <w:jc w:val="right"/>
            </w:pPr>
            <w:r>
              <w:rPr>
                <w:rFonts w:ascii="Arial" w:hAnsi="Arial" w:eastAsia="Arial" w:cs="Arial"/>
                <w:sz w:val="21"/>
              </w:rPr>
              <w:t>30.2% (358 homes)</w:t>
            </w:r>
          </w:p>
        </w:tc>
        <w:tc>
          <w:tcPr>
            <w:tcW w:type="dxa" w:w="3198"/>
            <w:vAlign w:val="center"/>
            <w:shd w:val="clear" w:color="auto" w:fill="FFFFFF"/>
          </w:tcPr>
          <w:p>
            <w:pPr>
              <w:spacing w:before="40" w:after="40" w:line="240" w:lineRule="auto"/>
              <w:jc w:val="right"/>
            </w:pPr>
            <w:r>
              <w:rPr>
                <w:rFonts w:ascii="Arial" w:hAnsi="Arial" w:eastAsia="Arial" w:cs="Arial"/>
                <w:sz w:val="21"/>
              </w:rPr>
              <w:t>9.3% (334 homes)</w:t>
            </w:r>
          </w:p>
        </w:tc>
      </w:tr>
    </w:tbl>
    <w:p>
      <w:pPr>
        <w:widowControl/>
        <w:spacing w:after="80" w:line="240" w:lineRule="auto"/>
        <w:jc w:val="left"/>
      </w:pPr>
    </w:p>
    <w:p>
      <w:pPr>
        <w:widowControl/>
        <w:spacing w:after="120" w:line="259" w:lineRule="auto"/>
        <w:jc w:val="left"/>
      </w:pPr>
      <w:r>
        <w:rPr>
          <w:rFonts w:ascii="Arial" w:hAnsi="Arial" w:eastAsia="Arial" w:cs="Arial"/>
        </w:rPr>
        <w:t xml:space="preserve">Tested on unseen hosts, </w:t>
      </w:r>
      <w:r>
        <w:rPr>
          <w:rFonts w:ascii="Arial" w:hAnsi="Arial" w:eastAsia="Arial" w:cs="Arial"/>
          <w:b/>
        </w:rPr>
        <w:t>49.6%</w:t>
      </w:r>
      <w:r>
        <w:rPr>
          <w:rFonts w:ascii="Arial" w:hAnsi="Arial" w:eastAsia="Arial" w:cs="Arial"/>
        </w:rPr>
        <w:t xml:space="preserve"> of the model's top quarter in each priority group were busy, against </w:t>
      </w:r>
      <w:r>
        <w:rPr>
          <w:rFonts w:ascii="Arial" w:hAnsi="Arial" w:eastAsia="Arial" w:cs="Arial"/>
          <w:b/>
        </w:rPr>
        <w:t>38.6%</w:t>
      </w:r>
      <w:r>
        <w:rPr>
          <w:rFonts w:ascii="Arial" w:hAnsi="Arial" w:eastAsia="Arial" w:cs="Arial"/>
        </w:rPr>
        <w:t xml:space="preserve"> for the reduced model and </w:t>
      </w:r>
      <w:r>
        <w:rPr>
          <w:rFonts w:ascii="Arial" w:hAnsi="Arial" w:eastAsia="Arial" w:cs="Arial"/>
          <w:b/>
        </w:rPr>
        <w:t>32.4%</w:t>
      </w:r>
      <w:r>
        <w:rPr>
          <w:rFonts w:ascii="Arial" w:hAnsi="Arial" w:eastAsia="Arial" w:cs="Arial"/>
        </w:rPr>
        <w:t xml:space="preserve"> for random picking (Figure 4); the model beat random picking in 46 of 50 tests. The two-setting rule does about as well (it picks 28% of homes), though it was checked on the homes that suggested it. The model also separates location from settings: with the same settings, the typical apartment's 42% chance would be 26–27% in Port Phillip or Stonnington (Figure 3). Table A2 gives its hits and misses across all 14 groups.</w:t>
      </w:r>
    </w:p>
    <w:p>
      <w:pPr>
        <w:keepNext/>
        <w:widowControl/>
        <w:spacing w:after="40" w:before="80" w:line="240" w:lineRule="auto"/>
        <w:jc w:val="center"/>
      </w:pPr>
      <w:r>
        <w:drawing>
          <wp:inline xmlns:a="http://schemas.openxmlformats.org/drawingml/2006/main" xmlns:pic="http://schemas.openxmlformats.org/drawingml/2006/picture">
            <wp:extent cx="6035040" cy="1982694"/>
            <wp:docPr id="4" name="Picture 4"/>
            <wp:cNvGraphicFramePr>
              <a:graphicFrameLocks noChangeAspect="1"/>
            </wp:cNvGraphicFramePr>
            <a:graphic>
              <a:graphicData uri="http://schemas.openxmlformats.org/drawingml/2006/picture">
                <pic:pic>
                  <pic:nvPicPr>
                    <pic:cNvPr id="0" name="figure_4_screening.png"/>
                    <pic:cNvPicPr/>
                  </pic:nvPicPr>
                  <pic:blipFill>
                    <a:blip r:embed="rId23"/>
                    <a:stretch>
                      <a:fillRect/>
                    </a:stretch>
                  </pic:blipFill>
                  <pic:spPr>
                    <a:xfrm>
                      <a:off x="0" y="0"/>
                      <a:ext cx="6035040" cy="1982694"/>
                    </a:xfrm>
                    <a:prstGeom prst="rect"/>
                  </pic:spPr>
                </pic:pic>
              </a:graphicData>
            </a:graphic>
          </wp:inline>
        </w:drawing>
      </w:r>
    </w:p>
    <w:p>
      <w:pPr>
        <w:pStyle w:val="Caption"/>
      </w:pPr>
      <w:r>
        <w:rPr>
          <w:rFonts w:ascii="Arial" w:hAnsi="Arial" w:eastAsia="Arial" w:cs="Arial"/>
          <w:b/>
        </w:rPr>
        <w:t>Figure 4.</w:t>
      </w:r>
      <w:r>
        <w:rPr>
          <w:rFonts w:ascii="Arial" w:hAnsi="Arial" w:eastAsia="Arial" w:cs="Arial"/>
        </w:rPr>
        <w:t xml:space="preserve"> Busy share of picked homes (a quarter of each priority group), averaged over 50 tests.</w:t>
      </w:r>
    </w:p>
    <w:p>
      <w:pPr>
        <w:pStyle w:val="Heading2"/>
        <w:keepNext/>
      </w:pPr>
      <w:r>
        <w:rPr>
          <w:rFonts w:ascii="Arial" w:hAnsi="Arial" w:eastAsia="Arial" w:cs="Arial"/>
        </w:rPr>
        <w:t>5.4 Over time: the leading groups stayed ahead</w:t>
      </w:r>
    </w:p>
    <w:p>
      <w:pPr>
        <w:widowControl/>
        <w:spacing w:after="120" w:line="259" w:lineRule="auto"/>
        <w:jc w:val="left"/>
      </w:pPr>
      <w:r>
        <w:rPr>
          <w:rFonts w:ascii="Arial" w:hAnsi="Arial" w:eastAsia="Arial" w:cs="Arial"/>
        </w:rPr>
        <w:t>We ranked ten groups (2,657 homes with two years' history) on the earlier year. The priority groups came top: 33.6% of their homes reached 34 reviews (the earlier year's reference level), against 19.9% elsewhere (Figure 5). A year later they still led (</w:t>
      </w:r>
      <w:r>
        <w:rPr>
          <w:rFonts w:ascii="Arial" w:hAnsi="Arial" w:eastAsia="Arial" w:cs="Arial"/>
          <w:b/>
        </w:rPr>
        <w:t>27.1% against 14.9%</w:t>
      </w:r>
      <w:r>
        <w:rPr>
          <w:rFonts w:ascii="Arial" w:hAnsi="Arial" w:eastAsia="Arial" w:cs="Arial"/>
        </w:rPr>
        <w:t>) and remained the top three, although Yarra Ranges houses fell to 21.4%.</w:t>
      </w:r>
    </w:p>
    <w:p>
      <w:pPr>
        <w:keepNext/>
        <w:widowControl/>
        <w:spacing w:after="40" w:before="80" w:line="240" w:lineRule="auto"/>
        <w:jc w:val="center"/>
      </w:pPr>
      <w:r>
        <w:drawing>
          <wp:inline xmlns:a="http://schemas.openxmlformats.org/drawingml/2006/main" xmlns:pic="http://schemas.openxmlformats.org/drawingml/2006/picture">
            <wp:extent cx="6035040" cy="2407826"/>
            <wp:docPr id="5" name="Picture 5"/>
            <wp:cNvGraphicFramePr>
              <a:graphicFrameLocks noChangeAspect="1"/>
            </wp:cNvGraphicFramePr>
            <a:graphic>
              <a:graphicData uri="http://schemas.openxmlformats.org/drawingml/2006/picture">
                <pic:pic>
                  <pic:nvPicPr>
                    <pic:cNvPr id="0" name="figure_5_two_years.png"/>
                    <pic:cNvPicPr/>
                  </pic:nvPicPr>
                  <pic:blipFill>
                    <a:blip r:embed="rId24"/>
                    <a:stretch>
                      <a:fillRect/>
                    </a:stretch>
                  </pic:blipFill>
                  <pic:spPr>
                    <a:xfrm>
                      <a:off x="0" y="0"/>
                      <a:ext cx="6035040" cy="2407826"/>
                    </a:xfrm>
                    <a:prstGeom prst="rect"/>
                  </pic:spPr>
                </pic:pic>
              </a:graphicData>
            </a:graphic>
          </wp:inline>
        </w:drawing>
      </w:r>
    </w:p>
    <w:p>
      <w:pPr>
        <w:pStyle w:val="Caption"/>
      </w:pPr>
      <w:r>
        <w:rPr>
          <w:rFonts w:ascii="Arial" w:hAnsi="Arial" w:eastAsia="Arial" w:cs="Arial"/>
          <w:b/>
        </w:rPr>
        <w:t>Figure 5.</w:t>
      </w:r>
      <w:r>
        <w:rPr>
          <w:rFonts w:ascii="Arial" w:hAnsi="Arial" w:eastAsia="Arial" w:cs="Arial"/>
        </w:rPr>
        <w:t xml:space="preserve"> The same 2,657 homes in two consecutive years; target 34 reviews.</w:t>
      </w:r>
    </w:p>
    <w:p>
      <w:pPr>
        <w:pStyle w:val="Heading1"/>
        <w:keepNext/>
        <w:pageBreakBefore w:val="0"/>
      </w:pPr>
      <w:r>
        <w:rPr>
          <w:rFonts w:ascii="Arial" w:hAnsi="Arial" w:eastAsia="Arial" w:cs="Arial"/>
        </w:rPr>
        <w:t>6. Key Findings and Recommendations</w:t>
      </w:r>
    </w:p>
    <w:p>
      <w:pPr>
        <w:pStyle w:val="Heading2"/>
        <w:keepNext/>
      </w:pPr>
      <w:r>
        <w:rPr>
          <w:rFonts w:ascii="Arial" w:hAnsi="Arial" w:eastAsia="Arial" w:cs="Arial"/>
        </w:rPr>
        <w:t>Key findings</w:t>
      </w:r>
    </w:p>
    <w:p>
      <w:pPr>
        <w:widowControl/>
        <w:spacing w:after="80" w:line="259" w:lineRule="auto"/>
        <w:ind w:left="432" w:hanging="432"/>
        <w:jc w:val="left"/>
      </w:pPr>
      <w:r>
        <w:rPr>
          <w:rFonts w:ascii="Arial" w:hAnsi="Arial" w:eastAsia="Arial" w:cs="Arial"/>
        </w:rPr>
        <w:t>1.</w:t>
        <w:tab/>
      </w:r>
      <w:r>
        <w:rPr>
          <w:rFonts w:ascii="Arial" w:hAnsi="Arial" w:eastAsia="Arial" w:cs="Arial"/>
          <w:b/>
        </w:rPr>
        <w:t>Where:</w:t>
      </w:r>
      <w:r>
        <w:rPr>
          <w:rFonts w:ascii="Arial" w:hAnsi="Arial" w:eastAsia="Arial" w:cs="Arial"/>
        </w:rPr>
        <w:t xml:space="preserve"> City of Melbourne two- and three-bedroom apartments led on busy homes, then Yarra Ranges three-bedroom houses, less certainly; all three stayed ahead a year later and had above-median revenue (Figures 2 and 5, Table 4).</w:t>
      </w:r>
    </w:p>
    <w:p>
      <w:pPr>
        <w:widowControl/>
        <w:spacing w:after="80" w:line="259" w:lineRule="auto"/>
        <w:ind w:left="432" w:hanging="432"/>
        <w:jc w:val="left"/>
      </w:pPr>
      <w:r>
        <w:rPr>
          <w:rFonts w:ascii="Arial" w:hAnsi="Arial" w:eastAsia="Arial" w:cs="Arial"/>
        </w:rPr>
        <w:t>2.</w:t>
        <w:tab/>
      </w:r>
      <w:r>
        <w:rPr>
          <w:rFonts w:ascii="Arial" w:hAnsi="Arial" w:eastAsia="Arial" w:cs="Arial"/>
          <w:b/>
        </w:rPr>
        <w:t>What goes with high activity:</w:t>
      </w:r>
      <w:r>
        <w:rPr>
          <w:rFonts w:ascii="Arial" w:hAnsi="Arial" w:eastAsia="Arial" w:cs="Arial"/>
        </w:rPr>
        <w:t xml:space="preserve"> One-night stays, a price at or below similar homes and, with other inputs fixed, more amenities (Figure 3). In the priority groups, 50.4% of homes with the first two were busy, against 9.3% with neither (Table 5), though one-night stays partly inflate review counts. Busy homes were also better rated (Table 3).</w:t>
      </w:r>
    </w:p>
    <w:p>
      <w:pPr>
        <w:widowControl/>
        <w:spacing w:after="80" w:line="259" w:lineRule="auto"/>
        <w:ind w:left="432" w:hanging="432"/>
        <w:jc w:val="left"/>
      </w:pPr>
      <w:r>
        <w:rPr>
          <w:rFonts w:ascii="Arial" w:hAnsi="Arial" w:eastAsia="Arial" w:cs="Arial"/>
        </w:rPr>
        <w:t>3.</w:t>
        <w:tab/>
      </w:r>
      <w:r>
        <w:rPr>
          <w:rFonts w:ascii="Arial" w:hAnsi="Arial" w:eastAsia="Arial" w:cs="Arial"/>
          <w:b/>
        </w:rPr>
        <w:t>Which home first:</w:t>
      </w:r>
      <w:r>
        <w:rPr>
          <w:rFonts w:ascii="Arial" w:hAnsi="Arial" w:eastAsia="Arial" w:cs="Arial"/>
        </w:rPr>
        <w:t xml:space="preserve"> These two settings found 50.4% busy, near the model's 49.6%, though only the model was tested on unseen hosts; random picking found 32.4% (Table 5, Figure 4).</w:t>
      </w:r>
    </w:p>
    <w:p>
      <w:pPr>
        <w:pStyle w:val="Heading2"/>
        <w:keepNext/>
      </w:pPr>
      <w:r>
        <w:rPr>
          <w:rFonts w:ascii="Arial" w:hAnsi="Arial" w:eastAsia="Arial" w:cs="Arial"/>
        </w:rPr>
        <w:t>Recommendations</w:t>
      </w:r>
    </w:p>
    <w:p>
      <w:pPr>
        <w:widowControl/>
        <w:spacing w:after="80" w:line="259" w:lineRule="auto"/>
        <w:ind w:left="432" w:hanging="432"/>
        <w:jc w:val="left"/>
      </w:pPr>
      <w:r>
        <w:rPr>
          <w:rFonts w:ascii="Arial" w:hAnsi="Arial" w:eastAsia="Arial" w:cs="Arial"/>
        </w:rPr>
        <w:t>1.</w:t>
        <w:tab/>
      </w:r>
      <w:r>
        <w:rPr>
          <w:rFonts w:ascii="Arial" w:hAnsi="Arial" w:eastAsia="Arial" w:cs="Arial"/>
          <w:b/>
        </w:rPr>
        <w:t>Search City of Melbourne two- and three-bedroom apartments first, then Yarra Ranges three-bedroom houses</w:t>
      </w:r>
      <w:r>
        <w:rPr>
          <w:rFonts w:ascii="Arial" w:hAnsi="Arial" w:eastAsia="Arial" w:cs="Arial"/>
        </w:rPr>
        <w:t xml:space="preserve"> (Figure 2, Table 4). Between leases that pass, choose the larger cash-flow margin; if margins are similar, choose the group with the higher share of busy homes.</w:t>
      </w:r>
    </w:p>
    <w:p>
      <w:pPr>
        <w:widowControl/>
        <w:spacing w:after="80" w:line="259" w:lineRule="auto"/>
        <w:ind w:left="432" w:hanging="432"/>
        <w:jc w:val="left"/>
      </w:pPr>
      <w:r>
        <w:rPr>
          <w:rFonts w:ascii="Arial" w:hAnsi="Arial" w:eastAsia="Arial" w:cs="Arial"/>
        </w:rPr>
        <w:t>2.</w:t>
        <w:tab/>
      </w:r>
      <w:r>
        <w:rPr>
          <w:rFonts w:ascii="Arial" w:hAnsi="Arial" w:eastAsia="Arial" w:cs="Arial"/>
          <w:b/>
        </w:rPr>
        <w:t>Prefer homes that can take one-night stays at a price at or below similar listings</w:t>
      </w:r>
      <w:r>
        <w:rPr>
          <w:rFonts w:ascii="Arial" w:hAnsi="Arial" w:eastAsia="Arial" w:cs="Arial"/>
        </w:rPr>
        <w:t xml:space="preserve"> (Table 5, Figure 3). At inspection, check that building rules allow one-night stays and that this price covers costs (Recommendation 3); then trial these settings and track results (Table 6).</w:t>
      </w:r>
    </w:p>
    <w:p>
      <w:pPr>
        <w:widowControl/>
        <w:spacing w:after="80" w:line="259" w:lineRule="auto"/>
        <w:ind w:left="432" w:hanging="432"/>
        <w:jc w:val="left"/>
      </w:pPr>
      <w:r>
        <w:rPr>
          <w:rFonts w:ascii="Arial" w:hAnsi="Arial" w:eastAsia="Arial" w:cs="Arial"/>
        </w:rPr>
        <w:t>3.</w:t>
        <w:tab/>
      </w:r>
      <w:r>
        <w:rPr>
          <w:rFonts w:ascii="Arial" w:hAnsi="Arial" w:eastAsia="Arial" w:cs="Arial"/>
          <w:b/>
        </w:rPr>
        <w:t>Compare weekly rent and running costs with group revenue</w:t>
      </w:r>
      <w:r>
        <w:rPr>
          <w:rFonts w:ascii="Arial" w:hAnsi="Arial" w:eastAsia="Arial" w:cs="Arial"/>
        </w:rPr>
        <w:t xml:space="preserve"> (Figure 6). Typical weekly revenue is </w:t>
      </w:r>
      <w:r>
        <w:rPr>
          <w:rFonts w:ascii="Arial" w:hAnsi="Arial" w:eastAsia="Arial" w:cs="Arial"/>
          <w:b/>
        </w:rPr>
        <w:t>AUD 590</w:t>
      </w:r>
      <w:r>
        <w:rPr>
          <w:rFonts w:ascii="Arial" w:hAnsi="Arial" w:eastAsia="Arial" w:cs="Arial"/>
        </w:rPr>
        <w:t xml:space="preserve"> for City two-bedroom apartments, </w:t>
      </w:r>
      <w:r>
        <w:rPr>
          <w:rFonts w:ascii="Arial" w:hAnsi="Arial" w:eastAsia="Arial" w:cs="Arial"/>
          <w:b/>
        </w:rPr>
        <w:t>930</w:t>
      </w:r>
      <w:r>
        <w:rPr>
          <w:rFonts w:ascii="Arial" w:hAnsi="Arial" w:eastAsia="Arial" w:cs="Arial"/>
        </w:rPr>
        <w:t xml:space="preserve"> for City three-bedroom apartments and </w:t>
      </w:r>
      <w:r>
        <w:rPr>
          <w:rFonts w:ascii="Arial" w:hAnsi="Arial" w:eastAsia="Arial" w:cs="Arial"/>
          <w:b/>
        </w:rPr>
        <w:t>890</w:t>
      </w:r>
      <w:r>
        <w:rPr>
          <w:rFonts w:ascii="Arial" w:hAnsi="Arial" w:eastAsia="Arial" w:cs="Arial"/>
        </w:rPr>
        <w:t xml:space="preserve"> for Yarra Ranges houses, but </w:t>
      </w:r>
      <w:r>
        <w:rPr>
          <w:rFonts w:ascii="Arial" w:hAnsi="Arial" w:eastAsia="Arial" w:cs="Arial"/>
          <w:b/>
        </w:rPr>
        <w:t>320, 620 and 600</w:t>
      </w:r>
      <w:r>
        <w:rPr>
          <w:rFonts w:ascii="Arial" w:hAnsi="Arial" w:eastAsia="Arial" w:cs="Arial"/>
        </w:rPr>
        <w:t xml:space="preserve"> for homes below target (under 30 reviews). Because these are medians, only half of a group's homes covered a cost equal to its typical figure. Drop candidates costing more than typical revenue, assess the rest through their own cash-flow plans, and budget for a year of the below-target shortfall.</w:t>
      </w:r>
    </w:p>
    <w:p>
      <w:pPr>
        <w:keepNext/>
        <w:widowControl/>
        <w:spacing w:after="80" w:before="80" w:line="259" w:lineRule="auto"/>
        <w:jc w:val="left"/>
      </w:pPr>
      <w:r>
        <w:rPr>
          <w:rFonts w:ascii="Arial" w:hAnsi="Arial" w:eastAsia="Arial" w:cs="Arial"/>
          <w:b/>
        </w:rPr>
        <w:t>Table 6. Four-week inspection plan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1949"/>
        <w:gridCol w:w="4736"/>
        <w:gridCol w:w="3180"/>
      </w:tblGrid>
      <w:tr>
        <w:trPr>
          <w:cantSplit/>
          <w:tblHeader/>
        </w:trPr>
        <w:tc>
          <w:tcPr>
            <w:tcW w:type="dxa" w:w="1949"/>
            <w:vAlign w:val="center"/>
            <w:shd w:val="clear" w:color="auto" w:fill="E9EEF3"/>
          </w:tcPr>
          <w:p>
            <w:pPr>
              <w:keepNext/>
              <w:spacing w:before="40" w:after="40" w:line="240" w:lineRule="auto"/>
              <w:jc w:val="left"/>
            </w:pPr>
            <w:r>
              <w:rPr>
                <w:rFonts w:ascii="Arial" w:hAnsi="Arial" w:eastAsia="Arial" w:cs="Arial"/>
                <w:b/>
                <w:sz w:val="21"/>
              </w:rPr>
              <w:t>Timing and owner</w:t>
            </w:r>
          </w:p>
        </w:tc>
        <w:tc>
          <w:tcPr>
            <w:tcW w:type="dxa" w:w="4736"/>
            <w:vAlign w:val="center"/>
            <w:shd w:val="clear" w:color="auto" w:fill="E9EEF3"/>
          </w:tcPr>
          <w:p>
            <w:pPr>
              <w:keepNext/>
              <w:spacing w:before="40" w:after="40" w:line="240" w:lineRule="auto"/>
              <w:jc w:val="left"/>
            </w:pPr>
            <w:r>
              <w:rPr>
                <w:rFonts w:ascii="Arial" w:hAnsi="Arial" w:eastAsia="Arial" w:cs="Arial"/>
                <w:b/>
                <w:sz w:val="21"/>
              </w:rPr>
              <w:t>Action</w:t>
            </w:r>
          </w:p>
        </w:tc>
        <w:tc>
          <w:tcPr>
            <w:tcW w:type="dxa" w:w="3180"/>
            <w:vAlign w:val="center"/>
            <w:shd w:val="clear" w:color="auto" w:fill="E9EEF3"/>
          </w:tcPr>
          <w:p>
            <w:pPr>
              <w:keepNext/>
              <w:spacing w:before="40" w:after="40" w:line="240" w:lineRule="auto"/>
              <w:jc w:val="left"/>
            </w:pPr>
            <w:r>
              <w:rPr>
                <w:rFonts w:ascii="Arial" w:hAnsi="Arial" w:eastAsia="Arial" w:cs="Arial"/>
                <w:b/>
                <w:sz w:val="21"/>
              </w:rPr>
              <w:t>Decision condition</w:t>
            </w:r>
          </w:p>
        </w:tc>
      </w:tr>
      <w:tr>
        <w:trPr>
          <w:cantSplit/>
        </w:trPr>
        <w:tc>
          <w:tcPr>
            <w:tcW w:type="dxa" w:w="1949"/>
            <w:vAlign w:val="center"/>
            <w:shd w:val="clear" w:color="auto" w:fill="FFFFFF"/>
          </w:tcPr>
          <w:p>
            <w:pPr>
              <w:keepNext/>
              <w:spacing w:before="40" w:after="40" w:line="240" w:lineRule="auto"/>
              <w:jc w:val="left"/>
            </w:pPr>
            <w:r>
              <w:rPr>
                <w:rFonts w:ascii="Arial" w:hAnsi="Arial" w:eastAsia="Arial" w:cs="Arial"/>
                <w:b/>
                <w:sz w:val="21"/>
              </w:rPr>
              <w:t>Week 1</w:t>
            </w:r>
            <w:r>
              <w:rPr>
                <w:rFonts w:ascii="Arial" w:hAnsi="Arial" w:eastAsia="Arial" w:cs="Arial"/>
                <w:sz w:val="21"/>
              </w:rPr>
              <w:t xml:space="preserve"> (Operator)</w:t>
            </w:r>
          </w:p>
        </w:tc>
        <w:tc>
          <w:tcPr>
            <w:tcW w:type="dxa" w:w="4736"/>
            <w:vAlign w:val="center"/>
            <w:shd w:val="clear" w:color="auto" w:fill="FFFFFF"/>
          </w:tcPr>
          <w:p>
            <w:pPr>
              <w:keepNext/>
              <w:spacing w:before="40" w:after="40" w:line="240" w:lineRule="auto"/>
              <w:jc w:val="left"/>
            </w:pPr>
            <w:r>
              <w:rPr>
                <w:rFonts w:ascii="Arial" w:hAnsi="Arial" w:eastAsia="Arial" w:cs="Arial"/>
                <w:sz w:val="21"/>
              </w:rPr>
              <w:t>Pool ten candidate homes in the priority groups; check one-night stays and price</w:t>
            </w:r>
          </w:p>
        </w:tc>
        <w:tc>
          <w:tcPr>
            <w:tcW w:type="dxa" w:w="3180"/>
            <w:vAlign w:val="center"/>
            <w:shd w:val="clear" w:color="auto" w:fill="FFFFFF"/>
          </w:tcPr>
          <w:p>
            <w:pPr>
              <w:keepNext/>
              <w:spacing w:before="40" w:after="40" w:line="240" w:lineRule="auto"/>
              <w:jc w:val="left"/>
            </w:pPr>
            <w:r>
              <w:rPr>
                <w:rFonts w:ascii="Arial" w:hAnsi="Arial" w:eastAsia="Arial" w:cs="Arial"/>
                <w:sz w:val="21"/>
              </w:rPr>
              <w:t>Inspect homes meeting both first, in group order</w:t>
            </w:r>
          </w:p>
        </w:tc>
      </w:tr>
      <w:tr>
        <w:trPr>
          <w:cantSplit/>
        </w:trPr>
        <w:tc>
          <w:tcPr>
            <w:tcW w:type="dxa" w:w="1949"/>
            <w:vAlign w:val="center"/>
            <w:shd w:val="clear" w:color="auto" w:fill="FFFFFF"/>
          </w:tcPr>
          <w:p>
            <w:pPr>
              <w:keepNext/>
              <w:spacing w:before="40" w:after="40" w:line="240" w:lineRule="auto"/>
              <w:jc w:val="left"/>
            </w:pPr>
            <w:r>
              <w:rPr>
                <w:rFonts w:ascii="Arial" w:hAnsi="Arial" w:eastAsia="Arial" w:cs="Arial"/>
                <w:b/>
                <w:sz w:val="21"/>
              </w:rPr>
              <w:t>Weeks 2–3</w:t>
            </w:r>
            <w:r>
              <w:rPr>
                <w:rFonts w:ascii="Arial" w:hAnsi="Arial" w:eastAsia="Arial" w:cs="Arial"/>
                <w:sz w:val="21"/>
              </w:rPr>
              <w:t xml:space="preserve"> (Operator &amp; Analyst)</w:t>
            </w:r>
          </w:p>
        </w:tc>
        <w:tc>
          <w:tcPr>
            <w:tcW w:type="dxa" w:w="4736"/>
            <w:vAlign w:val="center"/>
            <w:shd w:val="clear" w:color="auto" w:fill="FFFFFF"/>
          </w:tcPr>
          <w:p>
            <w:pPr>
              <w:keepNext/>
              <w:spacing w:before="40" w:after="40" w:line="240" w:lineRule="auto"/>
              <w:jc w:val="left"/>
            </w:pPr>
            <w:r>
              <w:rPr>
                <w:rFonts w:ascii="Arial" w:hAnsi="Arial" w:eastAsia="Arial" w:cs="Arial"/>
                <w:sz w:val="21"/>
              </w:rPr>
              <w:t>Get written landlord consent; check that no owners' corporation rule bans stays under 28 days (Consumer Affairs Victoria, n.d.); negotiate rent; get cost quotes</w:t>
            </w:r>
          </w:p>
        </w:tc>
        <w:tc>
          <w:tcPr>
            <w:tcW w:type="dxa" w:w="3180"/>
            <w:vAlign w:val="center"/>
            <w:shd w:val="clear" w:color="auto" w:fill="FFFFFF"/>
          </w:tcPr>
          <w:p>
            <w:pPr>
              <w:keepNext/>
              <w:spacing w:before="40" w:after="40" w:line="240" w:lineRule="auto"/>
              <w:jc w:val="left"/>
            </w:pPr>
            <w:r>
              <w:rPr>
                <w:rFonts w:ascii="Arial" w:hAnsi="Arial" w:eastAsia="Arial" w:cs="Arial"/>
                <w:sz w:val="21"/>
              </w:rPr>
              <w:t>Replace homes that fail any check</w:t>
            </w:r>
          </w:p>
        </w:tc>
      </w:tr>
      <w:tr>
        <w:trPr>
          <w:cantSplit/>
        </w:trPr>
        <w:tc>
          <w:tcPr>
            <w:tcW w:type="dxa" w:w="1949"/>
            <w:vAlign w:val="center"/>
            <w:shd w:val="clear" w:color="auto" w:fill="FFFFFF"/>
          </w:tcPr>
          <w:p>
            <w:pPr>
              <w:keepNext/>
              <w:spacing w:before="40" w:after="40" w:line="240" w:lineRule="auto"/>
              <w:jc w:val="left"/>
            </w:pPr>
            <w:r>
              <w:rPr>
                <w:rFonts w:ascii="Arial" w:hAnsi="Arial" w:eastAsia="Arial" w:cs="Arial"/>
                <w:b/>
                <w:sz w:val="21"/>
              </w:rPr>
              <w:t>Week 4</w:t>
            </w:r>
            <w:r>
              <w:rPr>
                <w:rFonts w:ascii="Arial" w:hAnsi="Arial" w:eastAsia="Arial" w:cs="Arial"/>
                <w:sz w:val="21"/>
              </w:rPr>
              <w:t xml:space="preserve"> (Client)</w:t>
            </w:r>
          </w:p>
        </w:tc>
        <w:tc>
          <w:tcPr>
            <w:tcW w:type="dxa" w:w="4736"/>
            <w:vAlign w:val="center"/>
            <w:shd w:val="clear" w:color="auto" w:fill="FFFFFF"/>
          </w:tcPr>
          <w:p>
            <w:pPr>
              <w:keepNext/>
              <w:spacing w:before="40" w:after="40" w:line="240" w:lineRule="auto"/>
              <w:jc w:val="left"/>
            </w:pPr>
            <w:r>
              <w:rPr>
                <w:rFonts w:ascii="Arial" w:hAnsi="Arial" w:eastAsia="Arial" w:cs="Arial"/>
                <w:sz w:val="21"/>
              </w:rPr>
              <w:t>Cash-flow plan: quotes and Victoria's 7.5% short-stay levy (State Revenue Office Victoria, n.d.) against typical and below-target revenue (Recommendation 3)</w:t>
            </w:r>
          </w:p>
        </w:tc>
        <w:tc>
          <w:tcPr>
            <w:tcW w:type="dxa" w:w="3180"/>
            <w:vAlign w:val="center"/>
            <w:shd w:val="clear" w:color="auto" w:fill="FFFFFF"/>
          </w:tcPr>
          <w:p>
            <w:pPr>
              <w:keepNext/>
              <w:spacing w:before="40" w:after="40" w:line="240" w:lineRule="auto"/>
              <w:jc w:val="left"/>
            </w:pPr>
            <w:r>
              <w:rPr>
                <w:rFonts w:ascii="Arial" w:hAnsi="Arial" w:eastAsia="Arial" w:cs="Arial"/>
                <w:sz w:val="21"/>
              </w:rPr>
              <w:t>Sign only if the plan covers setup costs, required return and a year of below-target loss</w:t>
            </w:r>
          </w:p>
        </w:tc>
      </w:tr>
      <w:tr>
        <w:trPr>
          <w:cantSplit/>
        </w:trPr>
        <w:tc>
          <w:tcPr>
            <w:tcW w:type="dxa" w:w="1949"/>
            <w:vAlign w:val="center"/>
            <w:shd w:val="clear" w:color="auto" w:fill="FFFFFF"/>
          </w:tcPr>
          <w:p>
            <w:pPr>
              <w:spacing w:before="40" w:after="40" w:line="240" w:lineRule="auto"/>
              <w:jc w:val="left"/>
            </w:pPr>
            <w:r>
              <w:rPr>
                <w:rFonts w:ascii="Arial" w:hAnsi="Arial" w:eastAsia="Arial" w:cs="Arial"/>
                <w:b/>
                <w:sz w:val="21"/>
              </w:rPr>
              <w:t>First 30 days</w:t>
            </w:r>
            <w:r>
              <w:rPr>
                <w:rFonts w:ascii="Arial" w:hAnsi="Arial" w:eastAsia="Arial" w:cs="Arial"/>
                <w:sz w:val="21"/>
              </w:rPr>
              <w:t xml:space="preserve"> (Operator)</w:t>
            </w:r>
          </w:p>
        </w:tc>
        <w:tc>
          <w:tcPr>
            <w:tcW w:type="dxa" w:w="4736"/>
            <w:vAlign w:val="center"/>
            <w:shd w:val="clear" w:color="auto" w:fill="FFFFFF"/>
          </w:tcPr>
          <w:p>
            <w:pPr>
              <w:spacing w:before="40" w:after="40" w:line="240" w:lineRule="auto"/>
              <w:jc w:val="left"/>
            </w:pPr>
            <w:r>
              <w:rPr>
                <w:rFonts w:ascii="Arial" w:hAnsi="Arial" w:eastAsia="Arial" w:cs="Arial"/>
                <w:sz w:val="21"/>
              </w:rPr>
              <w:t>Record paid nights, stay length, workload, net cash flow and reviews</w:t>
            </w:r>
          </w:p>
        </w:tc>
        <w:tc>
          <w:tcPr>
            <w:tcW w:type="dxa" w:w="3180"/>
            <w:vAlign w:val="center"/>
            <w:shd w:val="clear" w:color="auto" w:fill="FFFFFF"/>
          </w:tcPr>
          <w:p>
            <w:pPr>
              <w:spacing w:before="40" w:after="40" w:line="240" w:lineRule="auto"/>
              <w:jc w:val="left"/>
            </w:pPr>
            <w:r>
              <w:rPr>
                <w:rFonts w:ascii="Arial" w:hAnsi="Arial" w:eastAsia="Arial" w:cs="Arial"/>
                <w:sz w:val="21"/>
              </w:rPr>
              <w:t>Expand only if results match the plan</w:t>
            </w:r>
          </w:p>
        </w:tc>
      </w:tr>
    </w:tbl>
    <w:p>
      <w:pPr>
        <w:widowControl/>
        <w:spacing w:after="80" w:line="240" w:lineRule="auto"/>
        <w:jc w:val="left"/>
      </w:pPr>
    </w:p>
    <w:p>
      <w:pPr>
        <w:keepNext/>
        <w:widowControl/>
        <w:spacing w:after="40" w:before="80" w:line="240" w:lineRule="auto"/>
        <w:jc w:val="center"/>
      </w:pPr>
      <w:r>
        <w:drawing>
          <wp:inline xmlns:a="http://schemas.openxmlformats.org/drawingml/2006/main" xmlns:pic="http://schemas.openxmlformats.org/drawingml/2006/picture">
            <wp:extent cx="6035040" cy="2482294"/>
            <wp:docPr id="6" name="Picture 6"/>
            <wp:cNvGraphicFramePr>
              <a:graphicFrameLocks noChangeAspect="1"/>
            </wp:cNvGraphicFramePr>
            <a:graphic>
              <a:graphicData uri="http://schemas.openxmlformats.org/drawingml/2006/picture">
                <pic:pic>
                  <pic:nvPicPr>
                    <pic:cNvPr id="0" name="figure_6_weekly_reach.png"/>
                    <pic:cNvPicPr/>
                  </pic:nvPicPr>
                  <pic:blipFill>
                    <a:blip r:embed="rId25"/>
                    <a:stretch>
                      <a:fillRect/>
                    </a:stretch>
                  </pic:blipFill>
                  <pic:spPr>
                    <a:xfrm>
                      <a:off x="0" y="0"/>
                      <a:ext cx="6035040" cy="2482294"/>
                    </a:xfrm>
                    <a:prstGeom prst="rect"/>
                  </pic:spPr>
                </pic:pic>
              </a:graphicData>
            </a:graphic>
          </wp:inline>
        </w:drawing>
      </w:r>
    </w:p>
    <w:p>
      <w:pPr>
        <w:pStyle w:val="Caption"/>
      </w:pPr>
      <w:r>
        <w:rPr>
          <w:rFonts w:ascii="Arial" w:hAnsi="Arial" w:eastAsia="Arial" w:cs="Arial"/>
          <w:b/>
        </w:rPr>
        <w:t>Figure 6.</w:t>
      </w:r>
      <w:r>
        <w:rPr>
          <w:rFonts w:ascii="Arial" w:hAnsi="Arial" w:eastAsia="Arial" w:cs="Arial"/>
        </w:rPr>
        <w:t xml:space="preserve"> Share of each priority group's homes whose estimated weekly revenue reached a given weekly cost.</w:t>
      </w:r>
    </w:p>
    <w:p>
      <w:pPr>
        <w:widowControl/>
        <w:spacing w:after="120" w:line="259" w:lineRule="auto"/>
        <w:jc w:val="left"/>
      </w:pPr>
      <w:r>
        <w:rPr>
          <w:rFonts w:ascii="Arial" w:hAnsi="Arial" w:eastAsia="Arial" w:cs="Arial"/>
          <w:b/>
        </w:rPr>
        <w:t>Worked example (illustrative costs).</w:t>
      </w:r>
      <w:r>
        <w:rPr>
          <w:rFonts w:ascii="Arial" w:hAnsi="Arial" w:eastAsia="Arial" w:cs="Arial"/>
        </w:rPr>
        <w:t xml:space="preserve"> A City two-bedroom apartment costing </w:t>
      </w:r>
      <w:r>
        <w:rPr>
          <w:rFonts w:ascii="Arial" w:hAnsi="Arial" w:eastAsia="Arial" w:cs="Arial"/>
          <w:b/>
        </w:rPr>
        <w:t>AUD 620</w:t>
      </w:r>
      <w:r>
        <w:rPr>
          <w:rFonts w:ascii="Arial" w:hAnsi="Arial" w:eastAsia="Arial" w:cs="Arial"/>
        </w:rPr>
        <w:t xml:space="preserve"> a week in rent and running costs exceeds its group's typical AUD 590 and is dropped. A Yarra Ranges house costing </w:t>
      </w:r>
      <w:r>
        <w:rPr>
          <w:rFonts w:ascii="Arial" w:hAnsi="Arial" w:eastAsia="Arial" w:cs="Arial"/>
          <w:b/>
        </w:rPr>
        <w:t>AUD 700</w:t>
      </w:r>
      <w:r>
        <w:rPr>
          <w:rFonts w:ascii="Arial" w:hAnsi="Arial" w:eastAsia="Arial" w:cs="Arial"/>
        </w:rPr>
        <w:t xml:space="preserve"> clears its typical AUD 890; earning like a below-target home (AUD 600), it would lose AUD 100 a week, so the buffer needs AUD 5,200 a year.</w:t>
      </w:r>
    </w:p>
    <w:p>
      <w:pPr>
        <w:pStyle w:val="Heading1"/>
        <w:keepNext/>
        <w:pageBreakBefore w:val="0"/>
      </w:pPr>
      <w:r>
        <w:rPr>
          <w:rFonts w:ascii="Arial" w:hAnsi="Arial" w:eastAsia="Arial" w:cs="Arial"/>
        </w:rPr>
        <w:t>7. Limitations and Future Work</w:t>
      </w:r>
    </w:p>
    <w:p>
      <w:pPr>
        <w:pStyle w:val="ListBullet"/>
        <w:widowControl/>
        <w:spacing w:after="80" w:line="259" w:lineRule="auto"/>
        <w:jc w:val="left"/>
      </w:pPr>
      <w:r>
        <w:rPr>
          <w:rFonts w:ascii="Arial" w:hAnsi="Arial" w:eastAsia="Arial" w:cs="Arial"/>
          <w:b/>
        </w:rPr>
        <w:t>Reviews are not bookings, profit or satisfaction.</w:t>
      </w:r>
      <w:r>
        <w:rPr>
          <w:rFonts w:ascii="Arial" w:hAnsi="Arial" w:eastAsia="Arial" w:cs="Arial"/>
        </w:rPr>
        <w:t xml:space="preserve"> Inside Airbnb's 50% review rate sits within published estimates of 30.5%–72% (Inside Airbnb, n.d.), so dollar figures are rough; activity also fell in the later year (Figure 5). Ratings are lifetime averages near five stars.</w:t>
      </w:r>
    </w:p>
    <w:p>
      <w:pPr>
        <w:pStyle w:val="ListBullet"/>
        <w:widowControl/>
        <w:spacing w:after="80" w:line="259" w:lineRule="auto"/>
        <w:jc w:val="left"/>
      </w:pPr>
      <w:r>
        <w:rPr>
          <w:rFonts w:ascii="Arial" w:hAnsi="Arial" w:eastAsia="Arial" w:cs="Arial"/>
          <w:b/>
        </w:rPr>
        <w:t>One snapshot of surviving homes.</w:t>
      </w:r>
      <w:r>
        <w:rPr>
          <w:rFonts w:ascii="Arial" w:hAnsi="Arial" w:eastAsia="Arial" w:cs="Arial"/>
        </w:rPr>
        <w:t xml:space="preserve"> Homes that left Airbnb are missing, revenue uses June–July prices, and new, unpriced and outer-area listings are not covered.</w:t>
      </w:r>
    </w:p>
    <w:p>
      <w:pPr>
        <w:pStyle w:val="ListBullet"/>
        <w:widowControl/>
        <w:spacing w:after="80" w:line="259" w:lineRule="auto"/>
        <w:jc w:val="left"/>
      </w:pPr>
      <w:r>
        <w:rPr>
          <w:rFonts w:ascii="Arial" w:hAnsi="Arial" w:eastAsia="Arial" w:cs="Arial"/>
          <w:b/>
        </w:rPr>
        <w:t>Short stays inflate reviews and revenue.</w:t>
      </w:r>
      <w:r>
        <w:rPr>
          <w:rFonts w:ascii="Arial" w:hAnsi="Arial" w:eastAsia="Arial" w:cs="Arial"/>
        </w:rPr>
        <w:t xml:space="preserve"> A one-night minimum allows more stays for the same nights, so part of its effect is built into the target, and counting each stay as three nights may overstate revenue.</w:t>
      </w:r>
    </w:p>
    <w:p>
      <w:pPr>
        <w:pStyle w:val="ListBullet"/>
        <w:widowControl/>
        <w:spacing w:after="80" w:line="259" w:lineRule="auto"/>
        <w:jc w:val="left"/>
      </w:pPr>
      <w:r>
        <w:rPr>
          <w:rFonts w:ascii="Arial" w:hAnsi="Arial" w:eastAsia="Arial" w:cs="Arial"/>
          <w:b/>
        </w:rPr>
        <w:t>Associations, not causes.</w:t>
      </w:r>
      <w:r>
        <w:rPr>
          <w:rFonts w:ascii="Arial" w:hAnsi="Arial" w:eastAsia="Arial" w:cs="Arial"/>
        </w:rPr>
        <w:t xml:space="preserve"> Settings may respond to earlier performance, and we chose the inputs, rule and priority groups after seeing all homes, so the tests may overstate the gain.</w:t>
      </w:r>
    </w:p>
    <w:p>
      <w:pPr>
        <w:pStyle w:val="ListBullet"/>
        <w:widowControl/>
        <w:spacing w:after="80" w:line="259" w:lineRule="auto"/>
        <w:jc w:val="left"/>
      </w:pPr>
      <w:r>
        <w:rPr>
          <w:rFonts w:ascii="Arial" w:hAnsi="Arial" w:eastAsia="Arial" w:cs="Arial"/>
          <w:b/>
        </w:rPr>
        <w:t>No rent, cost or regulation data.</w:t>
      </w:r>
      <w:r>
        <w:rPr>
          <w:rFonts w:ascii="Arial" w:hAnsi="Arial" w:eastAsia="Arial" w:cs="Arial"/>
        </w:rPr>
        <w:t xml:space="preserve"> Recommendation 3 relies on the client's own quotes.</w:t>
      </w:r>
    </w:p>
    <w:p>
      <w:pPr>
        <w:widowControl/>
        <w:spacing w:after="120" w:line="259" w:lineRule="auto"/>
        <w:jc w:val="left"/>
      </w:pPr>
      <w:r>
        <w:rPr>
          <w:rFonts w:ascii="Arial" w:hAnsi="Arial" w:eastAsia="Arial" w:cs="Arial"/>
        </w:rPr>
        <w:t>Next, collect rent and cost quotes, track paid nights and net cash flow to test whether review activity identifies good businesses, analyse review text in the priority groups, and recheck the groups, model and two-setting rule on the next snapshot.</w:t>
      </w:r>
    </w:p>
    <w:p>
      <w:pPr>
        <w:pStyle w:val="Heading1"/>
        <w:keepNext/>
        <w:pageBreakBefore w:val="0"/>
      </w:pPr>
      <w:r>
        <w:rPr>
          <w:rFonts w:ascii="Arial" w:hAnsi="Arial" w:eastAsia="Arial" w:cs="Arial"/>
        </w:rPr>
        <w:t>8. References</w:t>
      </w:r>
    </w:p>
    <w:p>
      <w:pPr>
        <w:keepLines/>
        <w:widowControl/>
        <w:spacing w:after="120" w:line="360" w:lineRule="auto"/>
        <w:ind w:left="720" w:hanging="720"/>
        <w:jc w:val="left"/>
      </w:pPr>
      <w:r>
        <w:rPr>
          <w:rFonts w:ascii="Arial" w:hAnsi="Arial" w:eastAsia="Arial" w:cs="Arial"/>
        </w:rPr>
        <w:t xml:space="preserve">Consumer Affairs Victoria. (n.d.). </w:t>
      </w:r>
      <w:r>
        <w:rPr>
          <w:rFonts w:ascii="Arial" w:hAnsi="Arial" w:eastAsia="Arial" w:cs="Arial"/>
          <w:i/>
        </w:rPr>
        <w:t>Making rules to ban short stay accommodation</w:t>
      </w:r>
      <w:r>
        <w:rPr>
          <w:rFonts w:ascii="Arial" w:hAnsi="Arial" w:eastAsia="Arial" w:cs="Arial"/>
        </w:rPr>
        <w:t xml:space="preserve">. Retrieved October 16, 2026, from </w:t>
      </w:r>
      <w:hyperlink r:id="rId26">
        <w:r>
          <w:rPr>
            <w:rFonts w:ascii="Arial" w:hAnsi="Arial" w:eastAsia="Arial" w:cs="Arial"/>
            <w:color w:val="0563C1"/>
            <w:u w:val="single"/>
          </w:rPr>
          <w:t xml:space="preserve">https://www.consumer.vic.gov.au/housing/owners-corporations/rules/making-rules-to-ban-short-stay-accommodation</w:t>
        </w:r>
      </w:hyperlink>
    </w:p>
    <w:p>
      <w:pPr>
        <w:keepLines/>
        <w:widowControl/>
        <w:spacing w:after="120" w:line="360" w:lineRule="auto"/>
        <w:ind w:left="720" w:hanging="720"/>
        <w:jc w:val="left"/>
      </w:pPr>
      <w:r>
        <w:rPr>
          <w:rFonts w:ascii="Arial" w:hAnsi="Arial" w:eastAsia="Arial" w:cs="Arial"/>
        </w:rPr>
        <w:t xml:space="preserve">Huang, E., &amp; Xu, M. (2026). </w:t>
      </w:r>
      <w:r>
        <w:rPr>
          <w:rFonts w:ascii="Arial" w:hAnsi="Arial" w:eastAsia="Arial" w:cs="Arial"/>
          <w:i/>
        </w:rPr>
        <w:t>Melbourne Airbnb market screening</w:t>
      </w:r>
      <w:r>
        <w:rPr>
          <w:rFonts w:ascii="Arial" w:hAnsi="Arial" w:eastAsia="Arial" w:cs="Arial"/>
        </w:rPr>
        <w:t xml:space="preserve"> [Source code]. GitHub. </w:t>
      </w:r>
      <w:hyperlink r:id="rId13">
        <w:r>
          <w:rPr>
            <w:rFonts w:ascii="Arial" w:hAnsi="Arial" w:eastAsia="Arial" w:cs="Arial"/>
            <w:color w:val="0563C1"/>
            <w:u w:val="single"/>
          </w:rPr>
          <w:t xml:space="preserve">https://github.com/maksym-xu/CMCE30005-TheNextChapter/tree/main</w:t>
        </w:r>
      </w:hyperlink>
    </w:p>
    <w:p>
      <w:pPr>
        <w:keepLines/>
        <w:widowControl/>
        <w:spacing w:after="120" w:line="360" w:lineRule="auto"/>
        <w:ind w:left="720" w:hanging="720"/>
        <w:jc w:val="left"/>
      </w:pPr>
      <w:r>
        <w:rPr>
          <w:rFonts w:ascii="Arial" w:hAnsi="Arial" w:eastAsia="Arial" w:cs="Arial"/>
        </w:rPr>
        <w:t xml:space="preserve">Inside Airbnb. (n.d.). </w:t>
      </w:r>
      <w:r>
        <w:rPr>
          <w:rFonts w:ascii="Arial" w:hAnsi="Arial" w:eastAsia="Arial" w:cs="Arial"/>
          <w:i/>
        </w:rPr>
        <w:t>Data assumptions</w:t>
      </w:r>
      <w:r>
        <w:rPr>
          <w:rFonts w:ascii="Arial" w:hAnsi="Arial" w:eastAsia="Arial" w:cs="Arial"/>
        </w:rPr>
        <w:t xml:space="preserve">. Retrieved October 16, 2026, from </w:t>
      </w:r>
      <w:hyperlink r:id="rId27">
        <w:r>
          <w:rPr>
            <w:rFonts w:ascii="Arial" w:hAnsi="Arial" w:eastAsia="Arial" w:cs="Arial"/>
            <w:color w:val="0563C1"/>
            <w:u w:val="single"/>
          </w:rPr>
          <w:t xml:space="preserve">https://insideairbnb.com/data-assumptions/</w:t>
        </w:r>
      </w:hyperlink>
    </w:p>
    <w:p>
      <w:pPr>
        <w:keepLines/>
        <w:widowControl/>
        <w:spacing w:after="120" w:line="360" w:lineRule="auto"/>
        <w:ind w:left="720" w:hanging="720"/>
        <w:jc w:val="left"/>
      </w:pPr>
      <w:r>
        <w:rPr>
          <w:rFonts w:ascii="Arial" w:hAnsi="Arial" w:eastAsia="Arial" w:cs="Arial"/>
        </w:rPr>
        <w:t xml:space="preserve">Inside Airbnb. (2026). </w:t>
      </w:r>
      <w:r>
        <w:rPr>
          <w:rFonts w:ascii="Arial" w:hAnsi="Arial" w:eastAsia="Arial" w:cs="Arial"/>
          <w:i/>
        </w:rPr>
        <w:t>Melbourne, Victoria, Australia: Listings and reviews</w:t>
      </w:r>
      <w:r>
        <w:rPr>
          <w:rFonts w:ascii="Arial" w:hAnsi="Arial" w:eastAsia="Arial" w:cs="Arial"/>
        </w:rPr>
        <w:t xml:space="preserve"> (June 2026 snapshot, via CMCE30005 LMS) [Data set]. </w:t>
      </w:r>
      <w:hyperlink r:id="rId17">
        <w:r>
          <w:rPr>
            <w:rFonts w:ascii="Arial" w:hAnsi="Arial" w:eastAsia="Arial" w:cs="Arial"/>
            <w:color w:val="0563C1"/>
            <w:u w:val="single"/>
          </w:rPr>
          <w:t xml:space="preserve">https://insideairbnb.com/get-the-data/</w:t>
        </w:r>
      </w:hyperlink>
    </w:p>
    <w:p>
      <w:pPr>
        <w:keepLines/>
        <w:widowControl/>
        <w:spacing w:after="120" w:line="360" w:lineRule="auto"/>
        <w:ind w:left="720" w:hanging="720"/>
        <w:jc w:val="left"/>
      </w:pPr>
      <w:r>
        <w:rPr>
          <w:rFonts w:ascii="Arial" w:hAnsi="Arial" w:eastAsia="Arial" w:cs="Arial"/>
        </w:rPr>
        <w:t xml:space="preserve">R Core Team. (2026). </w:t>
      </w:r>
      <w:r>
        <w:rPr>
          <w:rFonts w:ascii="Arial" w:hAnsi="Arial" w:eastAsia="Arial" w:cs="Arial"/>
          <w:i/>
        </w:rPr>
        <w:t>R: A language and environment for statistical computing</w:t>
      </w:r>
      <w:r>
        <w:rPr>
          <w:rFonts w:ascii="Arial" w:hAnsi="Arial" w:eastAsia="Arial" w:cs="Arial"/>
        </w:rPr>
        <w:t xml:space="preserve"> (Version 4.5.3) [Computer software]. R Foundation for Statistical Computing. </w:t>
      </w:r>
      <w:hyperlink r:id="rId28">
        <w:r>
          <w:rPr>
            <w:rFonts w:ascii="Arial" w:hAnsi="Arial" w:eastAsia="Arial" w:cs="Arial"/>
            <w:color w:val="0563C1"/>
            <w:u w:val="single"/>
          </w:rPr>
          <w:t xml:space="preserve">https://www.R-project.org/</w:t>
        </w:r>
      </w:hyperlink>
    </w:p>
    <w:p>
      <w:pPr>
        <w:keepLines/>
        <w:widowControl/>
        <w:spacing w:after="120" w:line="360" w:lineRule="auto"/>
        <w:ind w:left="720" w:hanging="720"/>
        <w:jc w:val="left"/>
      </w:pPr>
      <w:r>
        <w:rPr>
          <w:rFonts w:ascii="Arial" w:hAnsi="Arial" w:eastAsia="Arial" w:cs="Arial"/>
        </w:rPr>
        <w:t xml:space="preserve">State Revenue Office Victoria. (n.d.). </w:t>
      </w:r>
      <w:r>
        <w:rPr>
          <w:rFonts w:ascii="Arial" w:hAnsi="Arial" w:eastAsia="Arial" w:cs="Arial"/>
          <w:i/>
        </w:rPr>
        <w:t>Understanding the short stay levy</w:t>
      </w:r>
      <w:r>
        <w:rPr>
          <w:rFonts w:ascii="Arial" w:hAnsi="Arial" w:eastAsia="Arial" w:cs="Arial"/>
        </w:rPr>
        <w:t xml:space="preserve">. Retrieved October 16, 2026, from </w:t>
      </w:r>
      <w:hyperlink r:id="rId29">
        <w:r>
          <w:rPr>
            <w:rFonts w:ascii="Arial" w:hAnsi="Arial" w:eastAsia="Arial" w:cs="Arial"/>
            <w:color w:val="0563C1"/>
            <w:u w:val="single"/>
          </w:rPr>
          <w:t xml:space="preserve">https://www.sro.vic.gov.au/owning-property/short-stay-levy/understanding-short-stay-levy</w:t>
        </w:r>
      </w:hyperlink>
    </w:p>
    <w:p>
      <w:pPr>
        <w:pStyle w:val="Heading2"/>
        <w:keepNext/>
      </w:pPr>
      <w:r>
        <w:rPr>
          <w:rFonts w:ascii="Arial" w:hAnsi="Arial" w:eastAsia="Arial" w:cs="Arial"/>
        </w:rPr>
        <w:t>AI acknowledgement</w:t>
      </w:r>
    </w:p>
    <w:p>
      <w:pPr>
        <w:widowControl/>
        <w:spacing w:after="120" w:line="259" w:lineRule="auto"/>
        <w:jc w:val="left"/>
      </w:pPr>
      <w:r>
        <w:rPr>
          <w:rFonts w:ascii="Arial" w:hAnsi="Arial" w:eastAsia="Arial" w:cs="Arial"/>
        </w:rPr>
        <w:t>ChatGPT, Gemini and Claude Code assisted with writing and coding; Eric Huang and Maksym Xu reviewed the outputs.</w:t>
      </w:r>
    </w:p>
    <w:p>
      <w:pPr>
        <w:pStyle w:val="Heading2"/>
        <w:keepNext/>
      </w:pPr>
      <w:r>
        <w:rPr>
          <w:rFonts w:ascii="Arial" w:hAnsi="Arial" w:eastAsia="Arial" w:cs="Arial"/>
        </w:rPr>
        <w:t>Author contributions</w:t>
      </w:r>
    </w:p>
    <w:p>
      <w:pPr>
        <w:widowControl/>
        <w:spacing w:after="120" w:line="259" w:lineRule="auto"/>
        <w:jc w:val="left"/>
      </w:pPr>
      <w:r>
        <w:rPr>
          <w:rFonts w:ascii="Arial" w:hAnsi="Arial" w:eastAsia="Arial" w:cs="Arial"/>
        </w:rPr>
        <w:t>Maksym Xu led data preparation, modelling and validation; Eric Huang led report drafting and review. Earlier team contributions are recorded in the repository guide.</w:t>
      </w:r>
    </w:p>
    <w:p>
      <w:pPr>
        <w:pStyle w:val="Heading1"/>
        <w:keepNext/>
        <w:pageBreakBefore/>
      </w:pPr>
      <w:r>
        <w:rPr>
          <w:rFonts w:ascii="Arial" w:hAnsi="Arial" w:eastAsia="Arial" w:cs="Arial"/>
        </w:rPr>
        <w:t>Appendix A. Model Details</w:t>
      </w:r>
    </w:p>
    <w:p>
      <w:pPr>
        <w:widowControl/>
        <w:spacing w:after="120" w:line="259" w:lineRule="auto"/>
        <w:jc w:val="left"/>
      </w:pPr>
      <w:r>
        <w:rPr>
          <w:rFonts w:ascii="Arial" w:hAnsi="Arial" w:eastAsia="Arial" w:cs="Arial"/>
        </w:rPr>
        <w:t>Group median prices and stand-ins for missing minimum stays use only homes each model was built on. In Table A1, each odds ratio (from the input's average weight over the 50 fits) multiplies the odds of being busy (busy homes per quiet home); above 1 raises the chance, below 1 lowers it.</w:t>
      </w:r>
    </w:p>
    <w:p>
      <w:pPr>
        <w:keepNext/>
        <w:widowControl/>
        <w:spacing w:after="80" w:before="80" w:line="259" w:lineRule="auto"/>
        <w:jc w:val="left"/>
      </w:pPr>
      <w:r>
        <w:rPr>
          <w:rFonts w:ascii="Arial" w:hAnsi="Arial" w:eastAsia="Arial" w:cs="Arial"/>
          <w:b/>
        </w:rPr>
        <w:t>Table A1. Odds ratios across 50 fits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5870"/>
        <w:gridCol w:w="1461"/>
        <w:gridCol w:w="2533"/>
      </w:tblGrid>
      <w:tr>
        <w:trPr>
          <w:cantSplit/>
          <w:tblHeader/>
        </w:trPr>
        <w:tc>
          <w:tcPr>
            <w:tcW w:type="dxa" w:w="5870"/>
            <w:vAlign w:val="center"/>
            <w:shd w:val="clear" w:color="auto" w:fill="E9EEF3"/>
          </w:tcPr>
          <w:p>
            <w:pPr>
              <w:keepNext/>
              <w:spacing w:before="40" w:after="40" w:line="240" w:lineRule="auto"/>
              <w:jc w:val="left"/>
            </w:pPr>
            <w:r>
              <w:rPr>
                <w:rFonts w:ascii="Arial" w:hAnsi="Arial" w:eastAsia="Arial" w:cs="Arial"/>
                <w:b/>
                <w:sz w:val="21"/>
              </w:rPr>
              <w:t>Input (compared with)</w:t>
            </w:r>
          </w:p>
        </w:tc>
        <w:tc>
          <w:tcPr>
            <w:tcW w:type="dxa" w:w="1461"/>
            <w:vAlign w:val="center"/>
            <w:shd w:val="clear" w:color="auto" w:fill="E9EEF3"/>
          </w:tcPr>
          <w:p>
            <w:pPr>
              <w:keepNext/>
              <w:spacing w:before="40" w:after="40" w:line="240" w:lineRule="auto"/>
              <w:jc w:val="left"/>
            </w:pPr>
            <w:r>
              <w:rPr>
                <w:rFonts w:ascii="Arial" w:hAnsi="Arial" w:eastAsia="Arial" w:cs="Arial"/>
                <w:b/>
                <w:sz w:val="21"/>
              </w:rPr>
              <w:t>Odds ratio</w:t>
            </w:r>
          </w:p>
        </w:tc>
        <w:tc>
          <w:tcPr>
            <w:tcW w:type="dxa" w:w="2533"/>
            <w:vAlign w:val="center"/>
            <w:shd w:val="clear" w:color="auto" w:fill="E9EEF3"/>
          </w:tcPr>
          <w:p>
            <w:pPr>
              <w:keepNext/>
              <w:spacing w:before="40" w:after="40" w:line="240" w:lineRule="auto"/>
              <w:jc w:val="left"/>
            </w:pPr>
            <w:r>
              <w:rPr>
                <w:rFonts w:ascii="Arial" w:hAnsi="Arial" w:eastAsia="Arial" w:cs="Arial"/>
                <w:b/>
                <w:sz w:val="21"/>
              </w:rPr>
              <w:t>Range across fits</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Accepts one-night stays (no)</w:t>
            </w:r>
          </w:p>
        </w:tc>
        <w:tc>
          <w:tcPr>
            <w:tcW w:type="dxa" w:w="1461"/>
            <w:vAlign w:val="center"/>
            <w:shd w:val="clear" w:color="auto" w:fill="FFFFFF"/>
          </w:tcPr>
          <w:p>
            <w:pPr>
              <w:keepNext/>
              <w:spacing w:before="40" w:after="40" w:line="240" w:lineRule="auto"/>
              <w:jc w:val="right"/>
            </w:pPr>
            <w:r>
              <w:rPr>
                <w:rFonts w:ascii="Arial" w:hAnsi="Arial" w:eastAsia="Arial" w:cs="Arial"/>
                <w:sz w:val="21"/>
              </w:rPr>
              <w:t>3.27</w:t>
            </w:r>
          </w:p>
        </w:tc>
        <w:tc>
          <w:tcPr>
            <w:tcW w:type="dxa" w:w="2533"/>
            <w:vAlign w:val="center"/>
            <w:shd w:val="clear" w:color="auto" w:fill="FFFFFF"/>
          </w:tcPr>
          <w:p>
            <w:pPr>
              <w:keepNext/>
              <w:spacing w:before="40" w:after="40" w:line="240" w:lineRule="auto"/>
              <w:jc w:val="right"/>
            </w:pPr>
            <w:r>
              <w:rPr>
                <w:rFonts w:ascii="Arial" w:hAnsi="Arial" w:eastAsia="Arial" w:cs="Arial"/>
                <w:sz w:val="21"/>
              </w:rPr>
              <w:t>2.53–4.05</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Ten more amenities</w:t>
            </w:r>
          </w:p>
        </w:tc>
        <w:tc>
          <w:tcPr>
            <w:tcW w:type="dxa" w:w="1461"/>
            <w:vAlign w:val="center"/>
            <w:shd w:val="clear" w:color="auto" w:fill="FFFFFF"/>
          </w:tcPr>
          <w:p>
            <w:pPr>
              <w:keepNext/>
              <w:spacing w:before="40" w:after="40" w:line="240" w:lineRule="auto"/>
              <w:jc w:val="right"/>
            </w:pPr>
            <w:r>
              <w:rPr>
                <w:rFonts w:ascii="Arial" w:hAnsi="Arial" w:eastAsia="Arial" w:cs="Arial"/>
                <w:sz w:val="21"/>
              </w:rPr>
              <w:t>1.27</w:t>
            </w:r>
          </w:p>
        </w:tc>
        <w:tc>
          <w:tcPr>
            <w:tcW w:type="dxa" w:w="2533"/>
            <w:vAlign w:val="center"/>
            <w:shd w:val="clear" w:color="auto" w:fill="FFFFFF"/>
          </w:tcPr>
          <w:p>
            <w:pPr>
              <w:keepNext/>
              <w:spacing w:before="40" w:after="40" w:line="240" w:lineRule="auto"/>
              <w:jc w:val="right"/>
            </w:pPr>
            <w:r>
              <w:rPr>
                <w:rFonts w:ascii="Arial" w:hAnsi="Arial" w:eastAsia="Arial" w:cs="Arial"/>
                <w:sz w:val="21"/>
              </w:rPr>
              <w:t>1.15–1.41</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Price 10% above similar homes</w:t>
            </w:r>
          </w:p>
        </w:tc>
        <w:tc>
          <w:tcPr>
            <w:tcW w:type="dxa" w:w="1461"/>
            <w:vAlign w:val="center"/>
            <w:shd w:val="clear" w:color="auto" w:fill="FFFFFF"/>
          </w:tcPr>
          <w:p>
            <w:pPr>
              <w:keepNext/>
              <w:spacing w:before="40" w:after="40" w:line="240" w:lineRule="auto"/>
              <w:jc w:val="right"/>
            </w:pPr>
            <w:r>
              <w:rPr>
                <w:rFonts w:ascii="Arial" w:hAnsi="Arial" w:eastAsia="Arial" w:cs="Arial"/>
                <w:sz w:val="21"/>
              </w:rPr>
              <w:t>0.88</w:t>
            </w:r>
          </w:p>
        </w:tc>
        <w:tc>
          <w:tcPr>
            <w:tcW w:type="dxa" w:w="2533"/>
            <w:vAlign w:val="center"/>
            <w:shd w:val="clear" w:color="auto" w:fill="FFFFFF"/>
          </w:tcPr>
          <w:p>
            <w:pPr>
              <w:keepNext/>
              <w:spacing w:before="40" w:after="40" w:line="240" w:lineRule="auto"/>
              <w:jc w:val="right"/>
            </w:pPr>
            <w:r>
              <w:rPr>
                <w:rFonts w:ascii="Arial" w:hAnsi="Arial" w:eastAsia="Arial" w:cs="Arial"/>
                <w:sz w:val="21"/>
              </w:rPr>
              <w:t>0.83–0.94</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b/>
                <w:sz w:val="21"/>
              </w:rPr>
              <w:t>Council area (City of Melbourne)</w:t>
            </w:r>
          </w:p>
        </w:tc>
        <w:tc>
          <w:tcPr>
            <w:tcW w:type="dxa" w:w="1461"/>
            <w:vAlign w:val="center"/>
            <w:shd w:val="clear" w:color="auto" w:fill="FFFFFF"/>
          </w:tcPr>
          <w:p>
            <w:pPr>
              <w:keepNext/>
              <w:spacing w:before="40" w:after="40" w:line="240" w:lineRule="auto"/>
              <w:jc w:val="right"/>
            </w:pPr>
          </w:p>
        </w:tc>
        <w:tc>
          <w:tcPr>
            <w:tcW w:type="dxa" w:w="2533"/>
            <w:vAlign w:val="center"/>
            <w:shd w:val="clear" w:color="auto" w:fill="FFFFFF"/>
          </w:tcPr>
          <w:p>
            <w:pPr>
              <w:keepNext/>
              <w:spacing w:before="40" w:after="40" w:line="240" w:lineRule="auto"/>
              <w:jc w:val="right"/>
            </w:pP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Port Phillip</w:t>
            </w:r>
          </w:p>
        </w:tc>
        <w:tc>
          <w:tcPr>
            <w:tcW w:type="dxa" w:w="1461"/>
            <w:vAlign w:val="center"/>
            <w:shd w:val="clear" w:color="auto" w:fill="FFFFFF"/>
          </w:tcPr>
          <w:p>
            <w:pPr>
              <w:keepNext/>
              <w:spacing w:before="40" w:after="40" w:line="240" w:lineRule="auto"/>
              <w:jc w:val="right"/>
            </w:pPr>
            <w:r>
              <w:rPr>
                <w:rFonts w:ascii="Arial" w:hAnsi="Arial" w:eastAsia="Arial" w:cs="Arial"/>
                <w:sz w:val="21"/>
              </w:rPr>
              <w:t>0.50</w:t>
            </w:r>
          </w:p>
        </w:tc>
        <w:tc>
          <w:tcPr>
            <w:tcW w:type="dxa" w:w="2533"/>
            <w:vAlign w:val="center"/>
            <w:shd w:val="clear" w:color="auto" w:fill="FFFFFF"/>
          </w:tcPr>
          <w:p>
            <w:pPr>
              <w:keepNext/>
              <w:spacing w:before="40" w:after="40" w:line="240" w:lineRule="auto"/>
              <w:jc w:val="right"/>
            </w:pPr>
            <w:r>
              <w:rPr>
                <w:rFonts w:ascii="Arial" w:hAnsi="Arial" w:eastAsia="Arial" w:cs="Arial"/>
                <w:sz w:val="21"/>
              </w:rPr>
              <w:t>0.33–0.66</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Stonnington</w:t>
            </w:r>
          </w:p>
        </w:tc>
        <w:tc>
          <w:tcPr>
            <w:tcW w:type="dxa" w:w="1461"/>
            <w:vAlign w:val="center"/>
            <w:shd w:val="clear" w:color="auto" w:fill="FFFFFF"/>
          </w:tcPr>
          <w:p>
            <w:pPr>
              <w:keepNext/>
              <w:spacing w:before="40" w:after="40" w:line="240" w:lineRule="auto"/>
              <w:jc w:val="right"/>
            </w:pPr>
            <w:r>
              <w:rPr>
                <w:rFonts w:ascii="Arial" w:hAnsi="Arial" w:eastAsia="Arial" w:cs="Arial"/>
                <w:sz w:val="21"/>
              </w:rPr>
              <w:t>0.48</w:t>
            </w:r>
          </w:p>
        </w:tc>
        <w:tc>
          <w:tcPr>
            <w:tcW w:type="dxa" w:w="2533"/>
            <w:vAlign w:val="center"/>
            <w:shd w:val="clear" w:color="auto" w:fill="FFFFFF"/>
          </w:tcPr>
          <w:p>
            <w:pPr>
              <w:keepNext/>
              <w:spacing w:before="40" w:after="40" w:line="240" w:lineRule="auto"/>
              <w:jc w:val="right"/>
            </w:pPr>
            <w:r>
              <w:rPr>
                <w:rFonts w:ascii="Arial" w:hAnsi="Arial" w:eastAsia="Arial" w:cs="Arial"/>
                <w:sz w:val="21"/>
              </w:rPr>
              <w:t>0.26–0.68</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Yarra</w:t>
            </w:r>
          </w:p>
        </w:tc>
        <w:tc>
          <w:tcPr>
            <w:tcW w:type="dxa" w:w="1461"/>
            <w:vAlign w:val="center"/>
            <w:shd w:val="clear" w:color="auto" w:fill="FFFFFF"/>
          </w:tcPr>
          <w:p>
            <w:pPr>
              <w:keepNext/>
              <w:spacing w:before="40" w:after="40" w:line="240" w:lineRule="auto"/>
              <w:jc w:val="right"/>
            </w:pPr>
            <w:r>
              <w:rPr>
                <w:rFonts w:ascii="Arial" w:hAnsi="Arial" w:eastAsia="Arial" w:cs="Arial"/>
                <w:sz w:val="21"/>
              </w:rPr>
              <w:t>0.83</w:t>
            </w:r>
          </w:p>
        </w:tc>
        <w:tc>
          <w:tcPr>
            <w:tcW w:type="dxa" w:w="2533"/>
            <w:vAlign w:val="center"/>
            <w:shd w:val="clear" w:color="auto" w:fill="FFFFFF"/>
          </w:tcPr>
          <w:p>
            <w:pPr>
              <w:keepNext/>
              <w:spacing w:before="40" w:after="40" w:line="240" w:lineRule="auto"/>
              <w:jc w:val="right"/>
            </w:pPr>
            <w:r>
              <w:rPr>
                <w:rFonts w:ascii="Arial" w:hAnsi="Arial" w:eastAsia="Arial" w:cs="Arial"/>
                <w:sz w:val="21"/>
              </w:rPr>
              <w:t>0.59–1.11</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Yarra Ranges</w:t>
            </w:r>
          </w:p>
        </w:tc>
        <w:tc>
          <w:tcPr>
            <w:tcW w:type="dxa" w:w="1461"/>
            <w:vAlign w:val="center"/>
            <w:shd w:val="clear" w:color="auto" w:fill="FFFFFF"/>
          </w:tcPr>
          <w:p>
            <w:pPr>
              <w:keepNext/>
              <w:spacing w:before="40" w:after="40" w:line="240" w:lineRule="auto"/>
              <w:jc w:val="right"/>
            </w:pPr>
            <w:r>
              <w:rPr>
                <w:rFonts w:ascii="Arial" w:hAnsi="Arial" w:eastAsia="Arial" w:cs="Arial"/>
                <w:sz w:val="21"/>
              </w:rPr>
              <w:t>1.22</w:t>
            </w:r>
          </w:p>
        </w:tc>
        <w:tc>
          <w:tcPr>
            <w:tcW w:type="dxa" w:w="2533"/>
            <w:vAlign w:val="center"/>
            <w:shd w:val="clear" w:color="auto" w:fill="FFFFFF"/>
          </w:tcPr>
          <w:p>
            <w:pPr>
              <w:keepNext/>
              <w:spacing w:before="40" w:after="40" w:line="240" w:lineRule="auto"/>
              <w:jc w:val="right"/>
            </w:pPr>
            <w:r>
              <w:rPr>
                <w:rFonts w:ascii="Arial" w:hAnsi="Arial" w:eastAsia="Arial" w:cs="Arial"/>
                <w:sz w:val="21"/>
              </w:rPr>
              <w:t>0.76–1.97</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Merri-bek</w:t>
            </w:r>
          </w:p>
        </w:tc>
        <w:tc>
          <w:tcPr>
            <w:tcW w:type="dxa" w:w="1461"/>
            <w:vAlign w:val="center"/>
            <w:shd w:val="clear" w:color="auto" w:fill="FFFFFF"/>
          </w:tcPr>
          <w:p>
            <w:pPr>
              <w:keepNext/>
              <w:spacing w:before="40" w:after="40" w:line="240" w:lineRule="auto"/>
              <w:jc w:val="right"/>
            </w:pPr>
            <w:r>
              <w:rPr>
                <w:rFonts w:ascii="Arial" w:hAnsi="Arial" w:eastAsia="Arial" w:cs="Arial"/>
                <w:sz w:val="21"/>
              </w:rPr>
              <w:t>0.75</w:t>
            </w:r>
          </w:p>
        </w:tc>
        <w:tc>
          <w:tcPr>
            <w:tcW w:type="dxa" w:w="2533"/>
            <w:vAlign w:val="center"/>
            <w:shd w:val="clear" w:color="auto" w:fill="FFFFFF"/>
          </w:tcPr>
          <w:p>
            <w:pPr>
              <w:keepNext/>
              <w:spacing w:before="40" w:after="40" w:line="240" w:lineRule="auto"/>
              <w:jc w:val="right"/>
            </w:pPr>
            <w:r>
              <w:rPr>
                <w:rFonts w:ascii="Arial" w:hAnsi="Arial" w:eastAsia="Arial" w:cs="Arial"/>
                <w:sz w:val="21"/>
              </w:rPr>
              <w:t>0.36–1.19</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House or townhouse (apartment)</w:t>
            </w:r>
          </w:p>
        </w:tc>
        <w:tc>
          <w:tcPr>
            <w:tcW w:type="dxa" w:w="1461"/>
            <w:vAlign w:val="center"/>
            <w:shd w:val="clear" w:color="auto" w:fill="FFFFFF"/>
          </w:tcPr>
          <w:p>
            <w:pPr>
              <w:keepNext/>
              <w:spacing w:before="40" w:after="40" w:line="240" w:lineRule="auto"/>
              <w:jc w:val="right"/>
            </w:pPr>
            <w:r>
              <w:rPr>
                <w:rFonts w:ascii="Arial" w:hAnsi="Arial" w:eastAsia="Arial" w:cs="Arial"/>
                <w:sz w:val="21"/>
              </w:rPr>
              <w:t>0.78</w:t>
            </w:r>
          </w:p>
        </w:tc>
        <w:tc>
          <w:tcPr>
            <w:tcW w:type="dxa" w:w="2533"/>
            <w:vAlign w:val="center"/>
            <w:shd w:val="clear" w:color="auto" w:fill="FFFFFF"/>
          </w:tcPr>
          <w:p>
            <w:pPr>
              <w:keepNext/>
              <w:spacing w:before="40" w:after="40" w:line="240" w:lineRule="auto"/>
              <w:jc w:val="right"/>
            </w:pPr>
            <w:r>
              <w:rPr>
                <w:rFonts w:ascii="Arial" w:hAnsi="Arial" w:eastAsia="Arial" w:cs="Arial"/>
                <w:sz w:val="21"/>
              </w:rPr>
              <w:t>0.57–1.30</w:t>
            </w:r>
          </w:p>
        </w:tc>
      </w:tr>
      <w:tr>
        <w:trPr>
          <w:cantSplit/>
        </w:trPr>
        <w:tc>
          <w:tcPr>
            <w:tcW w:type="dxa" w:w="5870"/>
            <w:vAlign w:val="center"/>
            <w:shd w:val="clear" w:color="auto" w:fill="FFFFFF"/>
          </w:tcPr>
          <w:p>
            <w:pPr>
              <w:keepNext/>
              <w:spacing w:before="40" w:after="40" w:line="240" w:lineRule="auto"/>
              <w:jc w:val="left"/>
            </w:pPr>
            <w:r>
              <w:rPr>
                <w:rFonts w:ascii="Arial" w:hAnsi="Arial" w:eastAsia="Arial" w:cs="Arial"/>
                <w:sz w:val="21"/>
              </w:rPr>
              <w:t>Two bedrooms (one)</w:t>
            </w:r>
          </w:p>
        </w:tc>
        <w:tc>
          <w:tcPr>
            <w:tcW w:type="dxa" w:w="1461"/>
            <w:vAlign w:val="center"/>
            <w:shd w:val="clear" w:color="auto" w:fill="FFFFFF"/>
          </w:tcPr>
          <w:p>
            <w:pPr>
              <w:keepNext/>
              <w:spacing w:before="40" w:after="40" w:line="240" w:lineRule="auto"/>
              <w:jc w:val="right"/>
            </w:pPr>
            <w:r>
              <w:rPr>
                <w:rFonts w:ascii="Arial" w:hAnsi="Arial" w:eastAsia="Arial" w:cs="Arial"/>
                <w:sz w:val="21"/>
              </w:rPr>
              <w:t>1.16</w:t>
            </w:r>
          </w:p>
        </w:tc>
        <w:tc>
          <w:tcPr>
            <w:tcW w:type="dxa" w:w="2533"/>
            <w:vAlign w:val="center"/>
            <w:shd w:val="clear" w:color="auto" w:fill="FFFFFF"/>
          </w:tcPr>
          <w:p>
            <w:pPr>
              <w:keepNext/>
              <w:spacing w:before="40" w:after="40" w:line="240" w:lineRule="auto"/>
              <w:jc w:val="right"/>
            </w:pPr>
            <w:r>
              <w:rPr>
                <w:rFonts w:ascii="Arial" w:hAnsi="Arial" w:eastAsia="Arial" w:cs="Arial"/>
                <w:sz w:val="21"/>
              </w:rPr>
              <w:t>0.89–1.41</w:t>
            </w:r>
          </w:p>
        </w:tc>
      </w:tr>
      <w:tr>
        <w:trPr>
          <w:cantSplit/>
        </w:trPr>
        <w:tc>
          <w:tcPr>
            <w:tcW w:type="dxa" w:w="5870"/>
            <w:vAlign w:val="center"/>
            <w:shd w:val="clear" w:color="auto" w:fill="FFFFFF"/>
          </w:tcPr>
          <w:p>
            <w:pPr>
              <w:spacing w:before="40" w:after="40" w:line="240" w:lineRule="auto"/>
              <w:jc w:val="left"/>
            </w:pPr>
            <w:r>
              <w:rPr>
                <w:rFonts w:ascii="Arial" w:hAnsi="Arial" w:eastAsia="Arial" w:cs="Arial"/>
                <w:sz w:val="21"/>
              </w:rPr>
              <w:t>Three bedrooms (one)</w:t>
            </w:r>
          </w:p>
        </w:tc>
        <w:tc>
          <w:tcPr>
            <w:tcW w:type="dxa" w:w="1461"/>
            <w:vAlign w:val="center"/>
            <w:shd w:val="clear" w:color="auto" w:fill="FFFFFF"/>
          </w:tcPr>
          <w:p>
            <w:pPr>
              <w:spacing w:before="40" w:after="40" w:line="240" w:lineRule="auto"/>
              <w:jc w:val="right"/>
            </w:pPr>
            <w:r>
              <w:rPr>
                <w:rFonts w:ascii="Arial" w:hAnsi="Arial" w:eastAsia="Arial" w:cs="Arial"/>
                <w:sz w:val="21"/>
              </w:rPr>
              <w:t>1.31</w:t>
            </w:r>
          </w:p>
        </w:tc>
        <w:tc>
          <w:tcPr>
            <w:tcW w:type="dxa" w:w="2533"/>
            <w:vAlign w:val="center"/>
            <w:shd w:val="clear" w:color="auto" w:fill="FFFFFF"/>
          </w:tcPr>
          <w:p>
            <w:pPr>
              <w:spacing w:before="40" w:after="40" w:line="240" w:lineRule="auto"/>
              <w:jc w:val="right"/>
            </w:pPr>
            <w:r>
              <w:rPr>
                <w:rFonts w:ascii="Arial" w:hAnsi="Arial" w:eastAsia="Arial" w:cs="Arial"/>
                <w:sz w:val="21"/>
              </w:rPr>
              <w:t>0.86–1.84</w:t>
            </w:r>
          </w:p>
        </w:tc>
      </w:tr>
    </w:tbl>
    <w:p>
      <w:pPr>
        <w:widowControl/>
        <w:spacing w:after="80" w:line="240" w:lineRule="auto"/>
        <w:jc w:val="left"/>
      </w:pPr>
    </w:p>
    <w:p>
      <w:pPr>
        <w:widowControl/>
        <w:spacing w:after="120" w:line="259" w:lineRule="auto"/>
        <w:jc w:val="left"/>
      </w:pPr>
      <w:r>
        <w:rPr>
          <w:rFonts w:ascii="Arial" w:hAnsi="Arial" w:eastAsia="Arial" w:cs="Arial"/>
        </w:rPr>
        <w:t>The ranges show stability across fits, not confidence intervals; those including 1 (for example, Yarra Ranges) leave the direction uncertain. Across all 14 groups, the model ranked a random busy home above a random quiet one 71% of the time, against 60% for group rates (AUC 0.71 and 0.60). Treating same-host homes as related widens margins of error to 1.1–2.6 times ordinary ones. Inputs overlap little (variance inflation factors below 3). An ordinary test of curved price and amenity effects suggests slight curvature (p = 0.03; amenities alone, p = 0.011); treating same-host homes as related makes this unclear (amenities, p = 0.17). Full evaluation tables are in the repository (Huang &amp; Xu, 2026).</w:t>
      </w:r>
    </w:p>
    <w:p>
      <w:pPr>
        <w:keepNext/>
        <w:widowControl/>
        <w:spacing w:after="80" w:before="80" w:line="259" w:lineRule="auto"/>
        <w:jc w:val="left"/>
      </w:pPr>
      <w:r>
        <w:rPr>
          <w:rFonts w:ascii="Arial" w:hAnsi="Arial" w:eastAsia="Arial" w:cs="Arial"/>
          <w:b/>
        </w:rPr>
        <w:t>Table A2. Hits and misses: top quarter picked across all 14 groups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jc w:val="center"/>
        <w:tblLayout w:type="fixed"/>
      </w:tblPr>
      <w:tblGrid>
        <w:gridCol w:w="4497"/>
        <w:gridCol w:w="1378"/>
        <w:gridCol w:w="2067"/>
        <w:gridCol w:w="1922"/>
      </w:tblGrid>
      <w:tr>
        <w:trPr>
          <w:cantSplit/>
          <w:tblHeader/>
        </w:trPr>
        <w:tc>
          <w:tcPr>
            <w:tcW w:type="dxa" w:w="4497"/>
            <w:vAlign w:val="center"/>
            <w:shd w:val="clear" w:color="auto" w:fill="E9EEF3"/>
          </w:tcPr>
          <w:p>
            <w:pPr>
              <w:keepNext/>
              <w:spacing w:before="40" w:after="40" w:line="240" w:lineRule="auto"/>
              <w:jc w:val="left"/>
            </w:pPr>
            <w:r>
              <w:rPr>
                <w:rFonts w:ascii="Arial" w:hAnsi="Arial" w:eastAsia="Arial" w:cs="Arial"/>
                <w:b/>
                <w:sz w:val="21"/>
              </w:rPr>
              <w:t>Selection</w:t>
            </w:r>
          </w:p>
        </w:tc>
        <w:tc>
          <w:tcPr>
            <w:tcW w:type="dxa" w:w="1378"/>
            <w:vAlign w:val="center"/>
            <w:shd w:val="clear" w:color="auto" w:fill="E9EEF3"/>
          </w:tcPr>
          <w:p>
            <w:pPr>
              <w:keepNext/>
              <w:spacing w:before="40" w:after="40" w:line="240" w:lineRule="auto"/>
              <w:jc w:val="left"/>
            </w:pPr>
            <w:r>
              <w:rPr>
                <w:rFonts w:ascii="Arial" w:hAnsi="Arial" w:eastAsia="Arial" w:cs="Arial"/>
                <w:b/>
                <w:sz w:val="21"/>
              </w:rPr>
              <w:t>Busy</w:t>
            </w:r>
          </w:p>
        </w:tc>
        <w:tc>
          <w:tcPr>
            <w:tcW w:type="dxa" w:w="2067"/>
            <w:vAlign w:val="center"/>
            <w:shd w:val="clear" w:color="auto" w:fill="E9EEF3"/>
          </w:tcPr>
          <w:p>
            <w:pPr>
              <w:keepNext/>
              <w:spacing w:before="40" w:after="40" w:line="240" w:lineRule="auto"/>
              <w:jc w:val="left"/>
            </w:pPr>
            <w:r>
              <w:rPr>
                <w:rFonts w:ascii="Arial" w:hAnsi="Arial" w:eastAsia="Arial" w:cs="Arial"/>
                <w:b/>
                <w:sz w:val="21"/>
              </w:rPr>
              <w:t>Below target</w:t>
            </w:r>
          </w:p>
        </w:tc>
        <w:tc>
          <w:tcPr>
            <w:tcW w:type="dxa" w:w="1922"/>
            <w:vAlign w:val="center"/>
            <w:shd w:val="clear" w:color="auto" w:fill="E9EEF3"/>
          </w:tcPr>
          <w:p>
            <w:pPr>
              <w:keepNext/>
              <w:spacing w:before="40" w:after="40" w:line="240" w:lineRule="auto"/>
              <w:jc w:val="left"/>
            </w:pPr>
            <w:r>
              <w:rPr>
                <w:rFonts w:ascii="Arial" w:hAnsi="Arial" w:eastAsia="Arial" w:cs="Arial"/>
                <w:b/>
                <w:sz w:val="21"/>
              </w:rPr>
              <w:t>Total</w:t>
            </w:r>
          </w:p>
        </w:tc>
      </w:tr>
      <w:tr>
        <w:trPr>
          <w:cantSplit/>
        </w:trPr>
        <w:tc>
          <w:tcPr>
            <w:tcW w:type="dxa" w:w="4497"/>
            <w:vAlign w:val="center"/>
            <w:shd w:val="clear" w:color="auto" w:fill="FFFFFF"/>
          </w:tcPr>
          <w:p>
            <w:pPr>
              <w:keepNext/>
              <w:spacing w:before="40" w:after="40" w:line="240" w:lineRule="auto"/>
              <w:jc w:val="left"/>
            </w:pPr>
            <w:r>
              <w:rPr>
                <w:rFonts w:ascii="Arial" w:hAnsi="Arial" w:eastAsia="Arial" w:cs="Arial"/>
                <w:sz w:val="21"/>
              </w:rPr>
              <w:t>Picked by model</w:t>
            </w:r>
          </w:p>
        </w:tc>
        <w:tc>
          <w:tcPr>
            <w:tcW w:type="dxa" w:w="1378"/>
            <w:vAlign w:val="center"/>
            <w:shd w:val="clear" w:color="auto" w:fill="FFFFFF"/>
          </w:tcPr>
          <w:p>
            <w:pPr>
              <w:keepNext/>
              <w:spacing w:before="40" w:after="40" w:line="240" w:lineRule="auto"/>
              <w:jc w:val="right"/>
            </w:pPr>
            <w:r>
              <w:rPr>
                <w:rFonts w:ascii="Arial" w:hAnsi="Arial" w:eastAsia="Arial" w:cs="Arial"/>
                <w:sz w:val="21"/>
              </w:rPr>
              <w:t>423</w:t>
            </w:r>
          </w:p>
        </w:tc>
        <w:tc>
          <w:tcPr>
            <w:tcW w:type="dxa" w:w="2067"/>
            <w:vAlign w:val="center"/>
            <w:shd w:val="clear" w:color="auto" w:fill="FFFFFF"/>
          </w:tcPr>
          <w:p>
            <w:pPr>
              <w:keepNext/>
              <w:spacing w:before="40" w:after="40" w:line="240" w:lineRule="auto"/>
              <w:jc w:val="right"/>
            </w:pPr>
            <w:r>
              <w:rPr>
                <w:rFonts w:ascii="Arial" w:hAnsi="Arial" w:eastAsia="Arial" w:cs="Arial"/>
                <w:sz w:val="21"/>
              </w:rPr>
              <w:t>546</w:t>
            </w:r>
          </w:p>
        </w:tc>
        <w:tc>
          <w:tcPr>
            <w:tcW w:type="dxa" w:w="1922"/>
            <w:vAlign w:val="center"/>
            <w:shd w:val="clear" w:color="auto" w:fill="FFFFFF"/>
          </w:tcPr>
          <w:p>
            <w:pPr>
              <w:keepNext/>
              <w:spacing w:before="40" w:after="40" w:line="240" w:lineRule="auto"/>
              <w:jc w:val="right"/>
            </w:pPr>
            <w:r>
              <w:rPr>
                <w:rFonts w:ascii="Arial" w:hAnsi="Arial" w:eastAsia="Arial" w:cs="Arial"/>
                <w:sz w:val="21"/>
              </w:rPr>
              <w:t>969</w:t>
            </w:r>
          </w:p>
        </w:tc>
      </w:tr>
      <w:tr>
        <w:trPr>
          <w:cantSplit/>
        </w:trPr>
        <w:tc>
          <w:tcPr>
            <w:tcW w:type="dxa" w:w="4497"/>
            <w:vAlign w:val="center"/>
            <w:shd w:val="clear" w:color="auto" w:fill="FFFFFF"/>
          </w:tcPr>
          <w:p>
            <w:pPr>
              <w:spacing w:before="40" w:after="40" w:line="240" w:lineRule="auto"/>
              <w:jc w:val="left"/>
            </w:pPr>
            <w:r>
              <w:rPr>
                <w:rFonts w:ascii="Arial" w:hAnsi="Arial" w:eastAsia="Arial" w:cs="Arial"/>
                <w:sz w:val="21"/>
              </w:rPr>
              <w:t>Not picked</w:t>
            </w:r>
          </w:p>
        </w:tc>
        <w:tc>
          <w:tcPr>
            <w:tcW w:type="dxa" w:w="1378"/>
            <w:vAlign w:val="center"/>
            <w:shd w:val="clear" w:color="auto" w:fill="FFFFFF"/>
          </w:tcPr>
          <w:p>
            <w:pPr>
              <w:spacing w:before="40" w:after="40" w:line="240" w:lineRule="auto"/>
              <w:jc w:val="right"/>
            </w:pPr>
            <w:r>
              <w:rPr>
                <w:rFonts w:ascii="Arial" w:hAnsi="Arial" w:eastAsia="Arial" w:cs="Arial"/>
                <w:sz w:val="21"/>
              </w:rPr>
              <w:t>558</w:t>
            </w:r>
          </w:p>
        </w:tc>
        <w:tc>
          <w:tcPr>
            <w:tcW w:type="dxa" w:w="2067"/>
            <w:vAlign w:val="center"/>
            <w:shd w:val="clear" w:color="auto" w:fill="FFFFFF"/>
          </w:tcPr>
          <w:p>
            <w:pPr>
              <w:spacing w:before="40" w:after="40" w:line="240" w:lineRule="auto"/>
              <w:jc w:val="right"/>
            </w:pPr>
            <w:r>
              <w:rPr>
                <w:rFonts w:ascii="Arial" w:hAnsi="Arial" w:eastAsia="Arial" w:cs="Arial"/>
                <w:sz w:val="21"/>
              </w:rPr>
              <w:t>2,346</w:t>
            </w:r>
          </w:p>
        </w:tc>
        <w:tc>
          <w:tcPr>
            <w:tcW w:type="dxa" w:w="1922"/>
            <w:vAlign w:val="center"/>
            <w:shd w:val="clear" w:color="auto" w:fill="FFFFFF"/>
          </w:tcPr>
          <w:p>
            <w:pPr>
              <w:spacing w:before="40" w:after="40" w:line="240" w:lineRule="auto"/>
              <w:jc w:val="right"/>
            </w:pPr>
            <w:r>
              <w:rPr>
                <w:rFonts w:ascii="Arial" w:hAnsi="Arial" w:eastAsia="Arial" w:cs="Arial"/>
                <w:sz w:val="21"/>
              </w:rPr>
              <w:t>2,904</w:t>
            </w:r>
          </w:p>
        </w:tc>
      </w:tr>
    </w:tbl>
    <w:p>
      <w:pPr>
        <w:widowControl/>
        <w:spacing w:after="80" w:line="240" w:lineRule="auto"/>
        <w:jc w:val="left"/>
      </w:pPr>
    </w:p>
    <w:p>
      <w:pPr>
        <w:widowControl/>
        <w:spacing w:after="120" w:line="259" w:lineRule="auto"/>
        <w:jc w:val="left"/>
      </w:pPr>
      <w:r>
        <w:rPr>
          <w:rFonts w:ascii="Arial" w:hAnsi="Arial" w:eastAsia="Arial" w:cs="Arial"/>
        </w:rPr>
        <w:t>Each home was scored by a model built without its host (five folds of hosts). Of the 969 picked, 43.7% were busy (precision), against 25.3% overall, and they included 43.1% of busy homes (recall). Accuracy (71.5%) misleads: calling every home "below target" scores 74.7%.</w:t>
      </w:r>
    </w:p>
    <w:sectPr w:rsidR="00FC693F" w:rsidRPr="0006063C" w:rsidSect="00034616">
      <w:footerReference w:type="default" r:id="rId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80"/>
    </w:pPr>
    <w:rPr>
      <w:rFonts w:ascii="Arial" w:hAnsi="Arial"/>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ksym-xu/CMCE30005-TheNextChapter/tree/final-report-reader-friendly-2026-10-04"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footer" Target="footer1.xml"/><Relationship Id="rId17" Type="http://schemas.openxmlformats.org/officeDocument/2006/relationships/hyperlink" Target="https://insideairbnb.com/get-the-data/" TargetMode="External"/><Relationship Id="rId18" Type="http://schemas.openxmlformats.org/officeDocument/2006/relationships/hyperlink" Target="https://github.com/maksym-xu/CMCE30005-TheNextChapter/tree/4e2dd2373f72d3a418d8cd7a2908bee39add083d" TargetMode="External"/><Relationship Id="rId19" Type="http://schemas.openxmlformats.org/officeDocument/2006/relationships/hyperlink" Target="https://insideairbnb.com/get-the-data/" TargetMode="External"/><Relationship Id="rId20" Type="http://schemas.openxmlformats.org/officeDocument/2006/relationships/hyperlink" Target="https://stat.ethz.ch/R-manual/R-devel/library/stats/html/glm.html" TargetMode="External"/><Relationship Id="rId13" Type="http://schemas.openxmlformats.org/officeDocument/2006/relationships/hyperlink" Target="https://github.com/maksym-xu/CMCE30005-TheNextChapter/tree/main" TargetMode="External"/><Relationship Id="rId14"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hyperlink" Target="https://www.consumer.vic.gov.au/housing/owners-corporations/rules/making-rules-to-ban-short-stay-accommodation" TargetMode="External"/><Relationship Id="rId27" Type="http://schemas.openxmlformats.org/officeDocument/2006/relationships/hyperlink" Target="https://insideairbnb.com/data-assumptions/" TargetMode="External"/><Relationship Id="rId28" Type="http://schemas.openxmlformats.org/officeDocument/2006/relationships/hyperlink" Target="https://www.R-project.org/" TargetMode="External"/><Relationship Id="rId29" Type="http://schemas.openxmlformats.org/officeDocument/2006/relationships/hyperlink" Target="https://www.sro.vic.gov.au/owning-property/short-stay-levy/understanding-short-stay-le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Airbnb Market Screening</dc:title>
  <dc:subject>CMCE30005 Final Project Report</dc:subject>
  <dc:creator>Eric Huang and Maksym Xu</dc:creator>
  <cp:keywords/>
  <dc:description>generated by python-docx</dc:description>
  <cp:lastModifiedBy>Group 2</cp:lastModifiedBy>
  <cp:revision>1</cp:revision>
  <dcterms:created xsi:type="dcterms:W3CDTF">2013-12-23T23:15:00Z</dcterms:created>
  <dcterms:modified xsi:type="dcterms:W3CDTF">2013-12-23T23:15:00Z</dcterms:modified>
  <cp:category/>
</cp:coreProperties>
</file>