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https://github.com/maksym-xu/CMCE30005-TheNextChapter/tree/final-report-marking-fixes-2026-10-16</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homes in Greater Melbourne and let them as short stays through Airbnb. Rent and setup costs are paid before any guest income arrives, so a lease in the wrong place ties up scarce startup funds.</w:t>
      </w:r>
    </w:p>
    <w:p>
      <w:pPr>
        <w:widowControl/>
        <w:spacing w:after="120" w:line="259" w:lineRule="auto"/>
        <w:jc w:val="left"/>
      </w:pPr>
      <w:r>
        <w:rPr>
          <w:rFonts w:ascii="Arial" w:hAnsi="Arial" w:eastAsia="Arial" w:cs="Arial"/>
        </w:rPr>
        <w:t>We recommend searching two- and three-bedroom apartments in the City of Melbourne first, with three-bedroom houses and townhouses in Yarra Ranges as a second option. These groups had the highest shares of homes with strong guest activity, and their typical homes brought in an estimated AUD 30,600–48,600 a year before costs, against AUD 24,700 for all homes studied.</w:t>
      </w:r>
    </w:p>
    <w:p>
      <w:pPr>
        <w:widowControl/>
        <w:spacing w:after="120" w:line="259" w:lineRule="auto"/>
        <w:jc w:val="left"/>
      </w:pPr>
      <w:r>
        <w:rPr>
          <w:rFonts w:ascii="Arial" w:hAnsi="Arial" w:eastAsia="Arial" w:cs="Arial"/>
        </w:rPr>
        <w:t>Within these groups, a simple model picks homes that reach our activity target about half the time (49.6%), against one in three (32.4%) at random. It ranks only homes already on Airbnb; for other rentals, use the group order and the checks in Section 6.</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 share of homes with strong guest activity, and translate this into estimated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Test whether a simple model picks better homes within the leading groups than random picking.</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(it reaches our </w:t>
      </w:r>
      <w:r>
        <w:rPr>
          <w:rFonts w:ascii="Arial" w:hAnsi="Arial" w:eastAsia="Arial" w:cs="Arial"/>
          <w:b/>
        </w:rPr>
        <w:t>target</w:t>
      </w:r>
      <w:r>
        <w:rPr>
          <w:rFonts w:ascii="Arial" w:hAnsi="Arial" w:eastAsia="Arial" w:cs="Arial"/>
        </w:rPr>
        <w:t>) when it receives at least 30 guest reviews in the 365 days before data collection, a level reached by a quarter of separate reference homes (Section 3). Inside Airbnb (n.d.) assumes half of stays are reviewed and each lasts three nights, or the minimum stay if longer, capping estimated nights at 70% of the year (255). With three-night stays, 30 reviews means about 180 booked nights a year.</w:t>
      </w:r>
    </w:p>
    <w:p>
      <w:pPr>
        <w:widowControl/>
        <w:spacing w:after="120" w:line="259" w:lineRule="auto"/>
        <w:jc w:val="left"/>
      </w:pPr>
      <w:r>
        <w:rPr>
          <w:rFonts w:ascii="Arial" w:hAnsi="Arial" w:eastAsia="Arial" w:cs="Arial"/>
        </w:rPr>
        <w:t>We rank on reviews rather than revenue because Inside Airbnb's revenue estimate multiplies these nights by the advertised price, and without rents a higher price does not mean a better lease. Rents, costs and profit are outside our data.</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with 90 fields and 1,026,690 dated reviews. We did not use the calendar, which cannot separate bookings from blocked nights.</w:t>
      </w:r>
    </w:p>
    <w:p>
      <w:pPr>
        <w:widowControl/>
        <w:spacing w:after="120" w:line="259" w:lineRule="auto"/>
        <w:jc w:val="left"/>
      </w:pPr>
      <w:r>
        <w:rPr>
          <w:rFonts w:ascii="Arial" w:hAnsi="Arial" w:eastAsia="Arial" w:cs="Arial"/>
        </w:rPr>
        <w:t>Cleaning converted price text to numbers, treated "NA" as missing and counted amenities. We rebuilt annual review counts from review dates over exactly 365 days; the supplied count covers 366 days. Price is missing for 6,553 listings (25%) and bedrooms for 4,679 (18%); 4,477 listings (17%) have never been reviewed.</w:t>
      </w:r>
    </w:p>
    <w:p>
      <w:pPr>
        <w:widowControl/>
        <w:spacing w:after="120" w:line="259" w:lineRule="auto"/>
        <w:jc w:val="left"/>
      </w:pPr>
      <w:r>
        <w:rPr>
          <w:rFonts w:ascii="Arial" w:hAnsi="Arial" w:eastAsia="Arial" w:cs="Arial"/>
        </w:rPr>
        <w:t>We keep prices of AUD 30–1,500, excluding unpriced listings and extreme prices. Eligible homes are entire rental units and condos (</w:t>
      </w:r>
      <w:r>
        <w:rPr>
          <w:rFonts w:ascii="Arial" w:hAnsi="Arial" w:eastAsia="Arial" w:cs="Arial"/>
          <w:i/>
        </w:rPr>
        <w:t>apartments</w:t>
      </w:r>
      <w:r>
        <w:rPr>
          <w:rFonts w:ascii="Arial" w:hAnsi="Arial" w:eastAsia="Arial" w:cs="Arial"/>
        </w:rPr>
        <w:t>) or entire homes and townhouses (</w:t>
      </w:r>
      <w:r>
        <w:rPr>
          <w:rFonts w:ascii="Arial" w:hAnsi="Arial" w:eastAsia="Arial" w:cs="Arial"/>
          <w:i/>
        </w:rPr>
        <w:t>houses/townhouses</w:t>
      </w:r>
      <w:r>
        <w:rPr>
          <w:rFonts w:ascii="Arial" w:hAnsi="Arial" w:eastAsia="Arial" w:cs="Arial"/>
        </w:rPr>
        <w:t>), with one to three bedrooms and a first review at least a year before collection. This provides a full year of recorded review history.</w:t>
      </w:r>
    </w:p>
    <w:p>
      <w:pPr>
        <w:widowControl/>
        <w:spacing w:after="120" w:line="259" w:lineRule="auto"/>
        <w:jc w:val="left"/>
      </w:pPr>
      <w:r>
        <w:rPr>
          <w:rFonts w:ascii="Arial" w:hAnsi="Arial" w:eastAsia="Arial" w:cs="Arial"/>
        </w:rPr>
        <w:t>So that the target is not set by the homes we then compare, we set aside about one in five hosts. Their 906 homes in the final groups set the target: about one in four received 30 or more reviews (Table 1).</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115"/>
        <w:gridCol w:w="1750"/>
      </w:tblGrid>
      <w:tr>
        <w:trPr>
          <w:cantSplit/>
          <w:tblHeader/>
        </w:trPr>
        <w:tc>
          <w:tcPr>
            <w:tcW w:type="dxa" w:w="8115"/>
            <w:vAlign w:val="center"/>
            <w:shd w:val="clear" w:color="auto" w:fill="E9EEF3"/>
          </w:tcPr>
          <w:p>
            <w:pPr>
              <w:keepNext/>
              <w:spacing w:before="40" w:after="40" w:line="240" w:lineRule="auto"/>
              <w:jc w:val="left"/>
            </w:pPr>
            <w:r>
              <w:rPr>
                <w:rFonts w:ascii="Arial" w:hAnsi="Arial" w:eastAsia="Arial" w:cs="Arial"/>
                <w:b/>
                <w:sz w:val="21"/>
              </w:rPr>
              <w:t>Step</w:t>
            </w:r>
          </w:p>
        </w:tc>
        <w:tc>
          <w:tcPr>
            <w:tcW w:type="dxa" w:w="1750"/>
            <w:vAlign w:val="center"/>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All listings</w:t>
            </w:r>
          </w:p>
        </w:tc>
        <w:tc>
          <w:tcPr>
            <w:tcW w:type="dxa" w:w="1750"/>
            <w:vAlign w:val="center"/>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750"/>
            <w:vAlign w:val="center"/>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750"/>
            <w:vAlign w:val="center"/>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Priced AUD 30–1,500</w:t>
            </w:r>
          </w:p>
        </w:tc>
        <w:tc>
          <w:tcPr>
            <w:tcW w:type="dxa" w:w="1750"/>
            <w:vAlign w:val="center"/>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750"/>
            <w:vAlign w:val="center"/>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After setting aside reference hosts</w:t>
            </w:r>
          </w:p>
        </w:tc>
        <w:tc>
          <w:tcPr>
            <w:tcW w:type="dxa" w:w="1750"/>
            <w:vAlign w:val="center"/>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b/>
                <w:sz w:val="21"/>
              </w:rPr>
              <w:t>Analysis sample: 14 groups with at least 50 homes</w:t>
            </w:r>
          </w:p>
        </w:tc>
        <w:tc>
          <w:tcPr>
            <w:tcW w:type="dxa" w:w="1750"/>
            <w:vAlign w:val="center"/>
            <w:shd w:val="clear" w:color="auto" w:fill="FFFFFF"/>
          </w:tcPr>
          <w:p>
            <w:pPr>
              <w:keepNext/>
              <w:spacing w:before="40" w:after="40" w:line="240" w:lineRule="auto"/>
              <w:jc w:val="right"/>
            </w:pPr>
            <w:r>
              <w:rPr>
                <w:rFonts w:ascii="Arial" w:hAnsi="Arial" w:eastAsia="Arial" w:cs="Arial"/>
                <w:b/>
                <w:sz w:val="21"/>
              </w:rPr>
              <w:t>3,873</w:t>
            </w:r>
          </w:p>
        </w:tc>
      </w:tr>
      <w:tr>
        <w:trPr>
          <w:cantSplit/>
        </w:trPr>
        <w:tc>
          <w:tcPr>
            <w:tcW w:type="dxa" w:w="8115"/>
            <w:vAlign w:val="center"/>
            <w:shd w:val="clear" w:color="auto" w:fill="FFFFFF"/>
          </w:tcPr>
          <w:p>
            <w:pPr>
              <w:spacing w:before="40" w:after="40" w:line="240" w:lineRule="auto"/>
              <w:jc w:val="left"/>
            </w:pPr>
            <w:r>
              <w:rPr>
                <w:rFonts w:ascii="Arial" w:hAnsi="Arial" w:eastAsia="Arial" w:cs="Arial"/>
                <w:sz w:val="21"/>
              </w:rPr>
              <w:t>Reference homes in these groups (target only)</w:t>
            </w:r>
          </w:p>
        </w:tc>
        <w:tc>
          <w:tcPr>
            <w:tcW w:type="dxa" w:w="1750"/>
            <w:vAlign w:val="center"/>
            <w:shd w:val="clear" w:color="auto" w:fill="FFFFFF"/>
          </w:tcPr>
          <w:p>
            <w:pPr>
              <w:spacing w:before="40" w:after="40" w:line="240" w:lineRule="auto"/>
              <w:jc w:val="right"/>
            </w:pPr>
            <w:r>
              <w:rPr>
                <w:rFonts w:ascii="Arial" w:hAnsi="Arial" w:eastAsia="Arial" w:cs="Arial"/>
                <w:sz w:val="21"/>
              </w:rPr>
              <w:t>906</w:t>
            </w:r>
          </w:p>
        </w:tc>
      </w:tr>
    </w:tbl>
    <w:p>
      <w:pPr>
        <w:widowControl/>
        <w:spacing w:after="80" w:line="240" w:lineRule="auto"/>
        <w:jc w:val="left"/>
      </w:pPr>
    </w:p>
    <w:p>
      <w:pPr>
        <w:widowControl/>
        <w:spacing w:after="120" w:line="259" w:lineRule="auto"/>
        <w:jc w:val="left"/>
      </w:pPr>
      <w:r>
        <w:rPr>
          <w:rFonts w:ascii="Arial" w:hAnsi="Arial" w:eastAsia="Arial" w:cs="Arial"/>
        </w:rPr>
        <w:t>The 3,873 analysis homes belong to 1,726 hosts in six council areas. The price rule mainly removes inactive listings: 77.8% of the 3,796 residential listings it removes had no review in the past year, against 17.0% of those kept.</w:t>
      </w: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Group comparison.</w:t>
      </w:r>
      <w:r>
        <w:rPr>
          <w:rFonts w:ascii="Arial" w:hAnsi="Arial" w:eastAsia="Arial" w:cs="Arial"/>
        </w:rPr>
        <w:t xml:space="preserve"> We compare the share of busy homes in the 14 groups. To show how much a share could move by chance, we redraw hosts at random 1,000 times and report the middle 90% of results.</w:t>
      </w:r>
    </w:p>
    <w:p>
      <w:pPr>
        <w:widowControl/>
        <w:spacing w:after="120" w:line="259" w:lineRule="auto"/>
        <w:jc w:val="left"/>
      </w:pPr>
      <w:r>
        <w:rPr>
          <w:rFonts w:ascii="Arial" w:hAnsi="Arial" w:eastAsia="Arial" w:cs="Arial"/>
          <w:b/>
        </w:rPr>
        <w:t>Model.</w:t>
      </w:r>
      <w:r>
        <w:rPr>
          <w:rFonts w:ascii="Arial" w:hAnsi="Arial" w:eastAsia="Arial" w:cs="Arial"/>
        </w:rPr>
        <w:t xml:space="preserve"> Logistic regression estimates the chance that a home is busy. Each input raises or lowers a score, which becomes a chance between 0% and 100%. Table 2 lists the outcome and the six inputs.</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vAlign w:val="center"/>
            <w:shd w:val="clear" w:color="auto" w:fill="E9EEF3"/>
          </w:tcPr>
          <w:p>
            <w:pPr>
              <w:keepNext/>
              <w:spacing w:before="40" w:after="40" w:line="240" w:lineRule="auto"/>
              <w:jc w:val="left"/>
            </w:pPr>
            <w:r>
              <w:rPr>
                <w:rFonts w:ascii="Arial" w:hAnsi="Arial" w:eastAsia="Arial" w:cs="Arial"/>
                <w:b/>
                <w:sz w:val="21"/>
              </w:rPr>
              <w:t>Variable</w:t>
            </w:r>
          </w:p>
        </w:tc>
        <w:tc>
          <w:tcPr>
            <w:tcW w:type="dxa" w:w="6272"/>
            <w:vAlign w:val="center"/>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b/>
                <w:sz w:val="21"/>
              </w:rPr>
              <w:t>Outcome</w:t>
            </w:r>
          </w:p>
        </w:tc>
        <w:tc>
          <w:tcPr>
            <w:tcW w:type="dxa" w:w="6272"/>
            <w:vAlign w:val="center"/>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Council area</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Dwelling type</w:t>
            </w:r>
          </w:p>
        </w:tc>
        <w:tc>
          <w:tcPr>
            <w:tcW w:type="dxa" w:w="6272"/>
            <w:vAlign w:val="center"/>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Bedrooms</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vAlign w:val="center"/>
            <w:shd w:val="clear" w:color="auto" w:fill="FFFFFF"/>
          </w:tcPr>
          <w:p>
            <w:pPr>
              <w:keepNext/>
              <w:spacing w:before="40" w:after="40" w:line="240" w:lineRule="auto"/>
              <w:jc w:val="left"/>
            </w:pPr>
            <w:r>
              <w:rPr>
                <w:rFonts w:ascii="Arial" w:hAnsi="Arial" w:eastAsia="Arial" w:cs="Arial"/>
                <w:sz w:val="21"/>
              </w:rPr>
              <w:t>Nightly price relative to the group median, in steps of 10%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vAlign w:val="center"/>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vAlign w:val="center"/>
            <w:shd w:val="clear" w:color="auto" w:fill="FFFFFF"/>
          </w:tcPr>
          <w:p>
            <w:pPr>
              <w:spacing w:before="40" w:after="40" w:line="240" w:lineRule="auto"/>
              <w:jc w:val="left"/>
            </w:pPr>
            <w:r>
              <w:rPr>
                <w:rFonts w:ascii="Arial" w:hAnsi="Arial" w:eastAsia="Arial" w:cs="Arial"/>
                <w:sz w:val="21"/>
              </w:rPr>
              <w:t>Amenity count</w:t>
            </w:r>
          </w:p>
        </w:tc>
        <w:tc>
          <w:tcPr>
            <w:tcW w:type="dxa" w:w="6272"/>
            <w:vAlign w:val="center"/>
            <w:shd w:val="clear" w:color="auto" w:fill="FFFFFF"/>
          </w:tcPr>
          <w:p>
            <w:pPr>
              <w:spacing w:before="40" w:after="40" w:line="240" w:lineRule="auto"/>
              <w:jc w:val="left"/>
            </w:pPr>
            <w:r>
              <w:rPr>
                <w:rFonts w:ascii="Arial" w:hAnsi="Arial" w:eastAsia="Arial" w:cs="Arial"/>
                <w:sz w:val="21"/>
              </w:rPr>
              <w:t>Amenities listed, in steps of ten</w:t>
            </w:r>
          </w:p>
        </w:tc>
      </w:tr>
    </w:tbl>
    <w:p>
      <w:pPr>
        <w:widowControl/>
        <w:spacing w:after="80" w:line="240" w:lineRule="auto"/>
        <w:jc w:val="left"/>
      </w:pPr>
    </w:p>
    <w:p>
      <w:pPr>
        <w:widowControl/>
        <w:spacing w:after="120" w:line="259" w:lineRule="auto"/>
        <w:jc w:val="left"/>
      </w:pPr>
      <w:r>
        <w:rPr>
          <w:rFonts w:ascii="Arial" w:hAnsi="Arial" w:eastAsia="Arial" w:cs="Arial"/>
        </w:rPr>
        <w:t xml:space="preserve">We compare this </w:t>
      </w:r>
      <w:r>
        <w:rPr>
          <w:rFonts w:ascii="Arial" w:hAnsi="Arial" w:eastAsia="Arial" w:cs="Arial"/>
          <w:b/>
        </w:rPr>
        <w:t>full model</w:t>
      </w:r>
      <w:r>
        <w:rPr>
          <w:rFonts w:ascii="Arial" w:hAnsi="Arial" w:eastAsia="Arial" w:cs="Arial"/>
        </w:rPr>
        <w:t xml:space="preserve"> with two simpler options. The </w:t>
      </w:r>
      <w:r>
        <w:rPr>
          <w:rFonts w:ascii="Arial" w:hAnsi="Arial" w:eastAsia="Arial" w:cs="Arial"/>
          <w:b/>
        </w:rPr>
        <w:t>group rate</w:t>
      </w:r>
      <w:r>
        <w:rPr>
          <w:rFonts w:ascii="Arial" w:hAnsi="Arial" w:eastAsia="Arial" w:cs="Arial"/>
        </w:rPr>
        <w:t xml:space="preserve">, a group's share of busy homes, scores all its homes equally; within a group, this is </w:t>
      </w:r>
      <w:r>
        <w:rPr>
          <w:rFonts w:ascii="Arial" w:hAnsi="Arial" w:eastAsia="Arial" w:cs="Arial"/>
          <w:b/>
        </w:rPr>
        <w:t>random picking</w:t>
      </w:r>
      <w:r>
        <w:rPr>
          <w:rFonts w:ascii="Arial" w:hAnsi="Arial" w:eastAsia="Arial" w:cs="Arial"/>
        </w:rPr>
        <w:t xml:space="preserve">. The </w:t>
      </w:r>
      <w:r>
        <w:rPr>
          <w:rFonts w:ascii="Arial" w:hAnsi="Arial" w:eastAsia="Arial" w:cs="Arial"/>
          <w:b/>
        </w:rPr>
        <w:t>reduced model</w:t>
      </w:r>
      <w:r>
        <w:rPr>
          <w:rFonts w:ascii="Arial" w:hAnsi="Arial" w:eastAsia="Arial" w:cs="Arial"/>
        </w:rPr>
        <w:t xml:space="preserve"> drops price and minimum stay to show what they add.</w:t>
      </w:r>
    </w:p>
    <w:p>
      <w:pPr>
        <w:widowControl/>
        <w:spacing w:after="120" w:line="259" w:lineRule="auto"/>
        <w:jc w:val="left"/>
      </w:pPr>
      <w:r>
        <w:rPr>
          <w:rFonts w:ascii="Arial" w:hAnsi="Arial" w:eastAsia="Arial" w:cs="Arial"/>
          <w:b/>
        </w:rPr>
        <w:t>Assumptions.</w:t>
      </w:r>
      <w:r>
        <w:rPr>
          <w:rFonts w:ascii="Arial" w:hAnsi="Arial" w:eastAsia="Arial" w:cs="Arial"/>
        </w:rPr>
        <w:t xml:space="preserve"> Homes run by the same host can perform alike, so they stay together in every test. We assume price and amenities have steady effects. Checks found little overlap between inputs and no clear curved effects after allowing for hosts (Appendix A).</w:t>
      </w:r>
    </w:p>
    <w:p>
      <w:pPr>
        <w:widowControl/>
        <w:spacing w:after="120" w:line="259" w:lineRule="auto"/>
        <w:jc w:val="left"/>
      </w:pPr>
      <w:r>
        <w:rPr>
          <w:rFonts w:ascii="Arial" w:hAnsi="Arial" w:eastAsia="Arial" w:cs="Arial"/>
          <w:b/>
        </w:rPr>
        <w:t>Testing.</w:t>
      </w:r>
      <w:r>
        <w:rPr>
          <w:rFonts w:ascii="Arial" w:hAnsi="Arial" w:eastAsia="Arial" w:cs="Arial"/>
        </w:rPr>
        <w:t xml:space="preserve"> Each of 50 tests builds the model from 70% of hosts and scores the unseen homes of the other 30%. In each priority group, each method picks a quarter of the test homes, and we compare the share that were busy.</w:t>
      </w:r>
    </w:p>
    <w:p>
      <w:pPr>
        <w:widowControl/>
        <w:spacing w:after="120" w:line="259" w:lineRule="auto"/>
        <w:jc w:val="left"/>
      </w:pPr>
      <w:r>
        <w:rPr>
          <w:rFonts w:ascii="Arial" w:hAnsi="Arial" w:eastAsia="Arial" w:cs="Arial"/>
          <w:b/>
        </w:rPr>
        <w:t>Two-year check.</w:t>
      </w:r>
      <w:r>
        <w:rPr>
          <w:rFonts w:ascii="Arial" w:hAnsi="Arial" w:eastAsia="Arial" w:cs="Arial"/>
        </w:rPr>
        <w:t xml:space="preserve"> For 2,657 homes with two years of reviews, in ten groups, we chose the top three groups on the earlier year and followed them into the later year (target 34 reviews, set from the earlier year's reference homes).</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most homes are quiet, and busy homes accept one-night stays</w:t>
      </w:r>
    </w:p>
    <w:p>
      <w:pPr>
        <w:widowControl/>
        <w:spacing w:after="120" w:line="259" w:lineRule="auto"/>
        <w:jc w:val="left"/>
      </w:pPr>
      <w:r>
        <w:rPr>
          <w:rFonts w:ascii="Arial" w:hAnsi="Arial" w:eastAsia="Arial" w:cs="Arial"/>
        </w:rPr>
        <w:t>Guest activity is very uneven (Figure 1). The middle (median) home received 15 reviews, a quarter received 30 or more, and 334 homes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of all figures and tables: Inside Airbnb (2026); Group 2 analysis.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247"/>
        <w:gridCol w:w="1812"/>
        <w:gridCol w:w="1402"/>
        <w:gridCol w:w="1402"/>
      </w:tblGrid>
      <w:tr>
        <w:trPr>
          <w:cantSplit/>
          <w:tblHeader/>
        </w:trPr>
        <w:tc>
          <w:tcPr>
            <w:tcW w:type="dxa" w:w="5247"/>
            <w:vAlign w:val="center"/>
            <w:shd w:val="clear" w:color="auto" w:fill="E9EEF3"/>
          </w:tcPr>
          <w:p>
            <w:pPr>
              <w:keepNext/>
              <w:spacing w:before="40" w:after="40" w:line="240" w:lineRule="auto"/>
              <w:jc w:val="left"/>
            </w:pPr>
            <w:r>
              <w:rPr>
                <w:rFonts w:ascii="Arial" w:hAnsi="Arial" w:eastAsia="Arial" w:cs="Arial"/>
                <w:b/>
                <w:sz w:val="21"/>
              </w:rPr>
              <w:t>Characteristic</w:t>
            </w:r>
          </w:p>
        </w:tc>
        <w:tc>
          <w:tcPr>
            <w:tcW w:type="dxa" w:w="1812"/>
            <w:vAlign w:val="center"/>
            <w:shd w:val="clear" w:color="auto" w:fill="E9EEF3"/>
          </w:tcPr>
          <w:p>
            <w:pPr>
              <w:keepNext/>
              <w:spacing w:before="40" w:after="40" w:line="240" w:lineRule="auto"/>
              <w:jc w:val="left"/>
            </w:pPr>
            <w:r>
              <w:rPr>
                <w:rFonts w:ascii="Arial" w:hAnsi="Arial" w:eastAsia="Arial" w:cs="Arial"/>
                <w:b/>
                <w:sz w:val="21"/>
              </w:rPr>
              <w:t>Busy (30+ reviews)</w:t>
            </w:r>
          </w:p>
        </w:tc>
        <w:tc>
          <w:tcPr>
            <w:tcW w:type="dxa" w:w="1402"/>
            <w:vAlign w:val="center"/>
            <w:shd w:val="clear" w:color="auto" w:fill="E9EEF3"/>
          </w:tcPr>
          <w:p>
            <w:pPr>
              <w:keepNext/>
              <w:spacing w:before="40" w:after="40" w:line="240" w:lineRule="auto"/>
              <w:jc w:val="left"/>
            </w:pPr>
            <w:r>
              <w:rPr>
                <w:rFonts w:ascii="Arial" w:hAnsi="Arial" w:eastAsia="Arial" w:cs="Arial"/>
                <w:b/>
                <w:sz w:val="21"/>
              </w:rPr>
              <w:t>Below 30</w:t>
            </w:r>
          </w:p>
        </w:tc>
        <w:tc>
          <w:tcPr>
            <w:tcW w:type="dxa" w:w="1402"/>
            <w:vAlign w:val="center"/>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Homes</w:t>
            </w:r>
          </w:p>
        </w:tc>
        <w:tc>
          <w:tcPr>
            <w:tcW w:type="dxa" w:w="1812"/>
            <w:vAlign w:val="center"/>
            <w:shd w:val="clear" w:color="auto" w:fill="FFFFFF"/>
          </w:tcPr>
          <w:p>
            <w:pPr>
              <w:keepNext/>
              <w:spacing w:before="40" w:after="40" w:line="240" w:lineRule="auto"/>
              <w:jc w:val="right"/>
            </w:pPr>
            <w:r>
              <w:rPr>
                <w:rFonts w:ascii="Arial" w:hAnsi="Arial" w:eastAsia="Arial" w:cs="Arial"/>
                <w:sz w:val="21"/>
              </w:rPr>
              <w:t>981</w:t>
            </w:r>
          </w:p>
        </w:tc>
        <w:tc>
          <w:tcPr>
            <w:tcW w:type="dxa" w:w="1402"/>
            <w:vAlign w:val="center"/>
            <w:shd w:val="clear" w:color="auto" w:fill="FFFFFF"/>
          </w:tcPr>
          <w:p>
            <w:pPr>
              <w:keepNext/>
              <w:spacing w:before="40" w:after="40" w:line="240" w:lineRule="auto"/>
              <w:jc w:val="right"/>
            </w:pPr>
            <w:r>
              <w:rPr>
                <w:rFonts w:ascii="Arial" w:hAnsi="Arial" w:eastAsia="Arial" w:cs="Arial"/>
                <w:sz w:val="21"/>
              </w:rPr>
              <w:t>2,892</w:t>
            </w:r>
          </w:p>
        </w:tc>
        <w:tc>
          <w:tcPr>
            <w:tcW w:type="dxa" w:w="1402"/>
            <w:vAlign w:val="center"/>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nightly price (AUD)</w:t>
            </w:r>
          </w:p>
        </w:tc>
        <w:tc>
          <w:tcPr>
            <w:tcW w:type="dxa" w:w="1812"/>
            <w:vAlign w:val="center"/>
            <w:shd w:val="clear" w:color="auto" w:fill="FFFFFF"/>
          </w:tcPr>
          <w:p>
            <w:pPr>
              <w:keepNext/>
              <w:spacing w:before="40" w:after="40" w:line="240" w:lineRule="auto"/>
              <w:jc w:val="right"/>
            </w:pPr>
            <w:r>
              <w:rPr>
                <w:rFonts w:ascii="Arial" w:hAnsi="Arial" w:eastAsia="Arial" w:cs="Arial"/>
                <w:sz w:val="21"/>
              </w:rPr>
              <w:t>254</w:t>
            </w:r>
          </w:p>
        </w:tc>
        <w:tc>
          <w:tcPr>
            <w:tcW w:type="dxa" w:w="1402"/>
            <w:vAlign w:val="center"/>
            <w:shd w:val="clear" w:color="auto" w:fill="FFFFFF"/>
          </w:tcPr>
          <w:p>
            <w:pPr>
              <w:keepNext/>
              <w:spacing w:before="40" w:after="40" w:line="240" w:lineRule="auto"/>
              <w:jc w:val="right"/>
            </w:pPr>
            <w:r>
              <w:rPr>
                <w:rFonts w:ascii="Arial" w:hAnsi="Arial" w:eastAsia="Arial" w:cs="Arial"/>
                <w:sz w:val="21"/>
              </w:rPr>
              <w:t>266</w:t>
            </w:r>
          </w:p>
        </w:tc>
        <w:tc>
          <w:tcPr>
            <w:tcW w:type="dxa" w:w="1402"/>
            <w:vAlign w:val="center"/>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amenity count</w:t>
            </w:r>
          </w:p>
        </w:tc>
        <w:tc>
          <w:tcPr>
            <w:tcW w:type="dxa" w:w="1812"/>
            <w:vAlign w:val="center"/>
            <w:shd w:val="clear" w:color="auto" w:fill="FFFFFF"/>
          </w:tcPr>
          <w:p>
            <w:pPr>
              <w:keepNext/>
              <w:spacing w:before="40" w:after="40" w:line="240" w:lineRule="auto"/>
              <w:jc w:val="right"/>
            </w:pPr>
            <w:r>
              <w:rPr>
                <w:rFonts w:ascii="Arial" w:hAnsi="Arial" w:eastAsia="Arial" w:cs="Arial"/>
                <w:sz w:val="21"/>
              </w:rPr>
              <w:t>44</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Accept one-night stays</w:t>
            </w:r>
          </w:p>
        </w:tc>
        <w:tc>
          <w:tcPr>
            <w:tcW w:type="dxa" w:w="1812"/>
            <w:vAlign w:val="center"/>
            <w:shd w:val="clear" w:color="auto" w:fill="FFFFFF"/>
          </w:tcPr>
          <w:p>
            <w:pPr>
              <w:keepNext/>
              <w:spacing w:before="40" w:after="40" w:line="240" w:lineRule="auto"/>
              <w:jc w:val="right"/>
            </w:pPr>
            <w:r>
              <w:rPr>
                <w:rFonts w:ascii="Arial" w:hAnsi="Arial" w:eastAsia="Arial" w:cs="Arial"/>
                <w:sz w:val="21"/>
              </w:rPr>
              <w:t>67.7%</w:t>
            </w:r>
          </w:p>
        </w:tc>
        <w:tc>
          <w:tcPr>
            <w:tcW w:type="dxa" w:w="1402"/>
            <w:vAlign w:val="center"/>
            <w:shd w:val="clear" w:color="auto" w:fill="FFFFFF"/>
          </w:tcPr>
          <w:p>
            <w:pPr>
              <w:keepNext/>
              <w:spacing w:before="40" w:after="40" w:line="240" w:lineRule="auto"/>
              <w:jc w:val="right"/>
            </w:pPr>
            <w:r>
              <w:rPr>
                <w:rFonts w:ascii="Arial" w:hAnsi="Arial" w:eastAsia="Arial" w:cs="Arial"/>
                <w:sz w:val="21"/>
              </w:rPr>
              <w:t>37.5%</w:t>
            </w:r>
          </w:p>
        </w:tc>
        <w:tc>
          <w:tcPr>
            <w:tcW w:type="dxa" w:w="1402"/>
            <w:vAlign w:val="center"/>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Minimum stay seven nights or more</w:t>
            </w:r>
          </w:p>
        </w:tc>
        <w:tc>
          <w:tcPr>
            <w:tcW w:type="dxa" w:w="1812"/>
            <w:vAlign w:val="center"/>
            <w:shd w:val="clear" w:color="auto" w:fill="FFFFFF"/>
          </w:tcPr>
          <w:p>
            <w:pPr>
              <w:keepNext/>
              <w:spacing w:before="40" w:after="40" w:line="240" w:lineRule="auto"/>
              <w:jc w:val="right"/>
            </w:pPr>
            <w:r>
              <w:rPr>
                <w:rFonts w:ascii="Arial" w:hAnsi="Arial" w:eastAsia="Arial" w:cs="Arial"/>
                <w:sz w:val="21"/>
              </w:rPr>
              <w:t>0.0%</w:t>
            </w:r>
          </w:p>
        </w:tc>
        <w:tc>
          <w:tcPr>
            <w:tcW w:type="dxa" w:w="1402"/>
            <w:vAlign w:val="center"/>
            <w:shd w:val="clear" w:color="auto" w:fill="FFFFFF"/>
          </w:tcPr>
          <w:p>
            <w:pPr>
              <w:keepNext/>
              <w:spacing w:before="40" w:after="40" w:line="240" w:lineRule="auto"/>
              <w:jc w:val="right"/>
            </w:pPr>
            <w:r>
              <w:rPr>
                <w:rFonts w:ascii="Arial" w:hAnsi="Arial" w:eastAsia="Arial" w:cs="Arial"/>
                <w:sz w:val="21"/>
              </w:rPr>
              <w:t>5.7%</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In the City of Melbourne</w:t>
            </w:r>
          </w:p>
        </w:tc>
        <w:tc>
          <w:tcPr>
            <w:tcW w:type="dxa" w:w="1812"/>
            <w:vAlign w:val="center"/>
            <w:shd w:val="clear" w:color="auto" w:fill="FFFFFF"/>
          </w:tcPr>
          <w:p>
            <w:pPr>
              <w:keepNext/>
              <w:spacing w:before="40" w:after="40" w:line="240" w:lineRule="auto"/>
              <w:jc w:val="right"/>
            </w:pPr>
            <w:r>
              <w:rPr>
                <w:rFonts w:ascii="Arial" w:hAnsi="Arial" w:eastAsia="Arial" w:cs="Arial"/>
                <w:sz w:val="21"/>
              </w:rPr>
              <w:t>76.9%</w:t>
            </w:r>
          </w:p>
        </w:tc>
        <w:tc>
          <w:tcPr>
            <w:tcW w:type="dxa" w:w="1402"/>
            <w:vAlign w:val="center"/>
            <w:shd w:val="clear" w:color="auto" w:fill="FFFFFF"/>
          </w:tcPr>
          <w:p>
            <w:pPr>
              <w:keepNext/>
              <w:spacing w:before="40" w:after="40" w:line="240" w:lineRule="auto"/>
              <w:jc w:val="right"/>
            </w:pPr>
            <w:r>
              <w:rPr>
                <w:rFonts w:ascii="Arial" w:hAnsi="Arial" w:eastAsia="Arial" w:cs="Arial"/>
                <w:sz w:val="21"/>
              </w:rPr>
              <w:t>59.6%</w:t>
            </w:r>
          </w:p>
        </w:tc>
        <w:tc>
          <w:tcPr>
            <w:tcW w:type="dxa" w:w="1402"/>
            <w:vAlign w:val="center"/>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estimated nights booked (cap 255)</w:t>
            </w:r>
          </w:p>
        </w:tc>
        <w:tc>
          <w:tcPr>
            <w:tcW w:type="dxa" w:w="1812"/>
            <w:vAlign w:val="center"/>
            <w:shd w:val="clear" w:color="auto" w:fill="FFFFFF"/>
          </w:tcPr>
          <w:p>
            <w:pPr>
              <w:keepNext/>
              <w:spacing w:before="40" w:after="40" w:line="240" w:lineRule="auto"/>
              <w:jc w:val="right"/>
            </w:pPr>
            <w:r>
              <w:rPr>
                <w:rFonts w:ascii="Arial" w:hAnsi="Arial" w:eastAsia="Arial" w:cs="Arial"/>
                <w:sz w:val="21"/>
              </w:rPr>
              <w:t>255</w:t>
            </w:r>
          </w:p>
        </w:tc>
        <w:tc>
          <w:tcPr>
            <w:tcW w:type="dxa" w:w="1402"/>
            <w:vAlign w:val="center"/>
            <w:shd w:val="clear" w:color="auto" w:fill="FFFFFF"/>
          </w:tcPr>
          <w:p>
            <w:pPr>
              <w:keepNext/>
              <w:spacing w:before="40" w:after="40" w:line="240" w:lineRule="auto"/>
              <w:jc w:val="right"/>
            </w:pPr>
            <w:r>
              <w:rPr>
                <w:rFonts w:ascii="Arial" w:hAnsi="Arial" w:eastAsia="Arial" w:cs="Arial"/>
                <w:sz w:val="21"/>
              </w:rPr>
              <w:t>60</w:t>
            </w:r>
          </w:p>
        </w:tc>
        <w:tc>
          <w:tcPr>
            <w:tcW w:type="dxa" w:w="1402"/>
            <w:vAlign w:val="center"/>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247"/>
            <w:vAlign w:val="center"/>
            <w:shd w:val="clear" w:color="auto" w:fill="FFFFFF"/>
          </w:tcPr>
          <w:p>
            <w:pPr>
              <w:spacing w:before="40" w:after="40" w:line="240" w:lineRule="auto"/>
              <w:jc w:val="left"/>
            </w:pPr>
            <w:r>
              <w:rPr>
                <w:rFonts w:ascii="Arial" w:hAnsi="Arial" w:eastAsia="Arial" w:cs="Arial"/>
                <w:sz w:val="21"/>
              </w:rPr>
              <w:t>Median estimated revenue (AUD a year)</w:t>
            </w:r>
          </w:p>
        </w:tc>
        <w:tc>
          <w:tcPr>
            <w:tcW w:type="dxa" w:w="1812"/>
            <w:vAlign w:val="center"/>
            <w:shd w:val="clear" w:color="auto" w:fill="FFFFFF"/>
          </w:tcPr>
          <w:p>
            <w:pPr>
              <w:spacing w:before="40" w:after="40" w:line="240" w:lineRule="auto"/>
              <w:jc w:val="right"/>
            </w:pPr>
            <w:r>
              <w:rPr>
                <w:rFonts w:ascii="Arial" w:hAnsi="Arial" w:eastAsia="Arial" w:cs="Arial"/>
                <w:sz w:val="21"/>
              </w:rPr>
              <w:t>58,400</w:t>
            </w:r>
          </w:p>
        </w:tc>
        <w:tc>
          <w:tcPr>
            <w:tcW w:type="dxa" w:w="1402"/>
            <w:vAlign w:val="center"/>
            <w:shd w:val="clear" w:color="auto" w:fill="FFFFFF"/>
          </w:tcPr>
          <w:p>
            <w:pPr>
              <w:spacing w:before="40" w:after="40" w:line="240" w:lineRule="auto"/>
              <w:jc w:val="right"/>
            </w:pPr>
            <w:r>
              <w:rPr>
                <w:rFonts w:ascii="Arial" w:hAnsi="Arial" w:eastAsia="Arial" w:cs="Arial"/>
                <w:sz w:val="21"/>
              </w:rPr>
              <w:t>16,600</w:t>
            </w:r>
          </w:p>
        </w:tc>
        <w:tc>
          <w:tcPr>
            <w:tcW w:type="dxa" w:w="1402"/>
            <w:vAlign w:val="center"/>
            <w:shd w:val="clear" w:color="auto" w:fill="FFFFFF"/>
          </w:tcPr>
          <w:p>
            <w:pPr>
              <w:spacing w:before="40" w:after="40" w:line="240" w:lineRule="auto"/>
              <w:jc w:val="right"/>
            </w:pPr>
            <w:r>
              <w:rPr>
                <w:rFonts w:ascii="Arial" w:hAnsi="Arial" w:eastAsia="Arial" w:cs="Arial"/>
                <w:sz w:val="21"/>
              </w:rPr>
              <w:t>24,700</w:t>
            </w:r>
          </w:p>
        </w:tc>
      </w:tr>
    </w:tbl>
    <w:p>
      <w:pPr>
        <w:widowControl/>
        <w:spacing w:after="80" w:line="240" w:lineRule="auto"/>
        <w:jc w:val="left"/>
      </w:pPr>
    </w:p>
    <w:p>
      <w:pPr>
        <w:widowControl/>
        <w:spacing w:after="120" w:line="259" w:lineRule="auto"/>
        <w:jc w:val="left"/>
      </w:pPr>
      <w:r>
        <w:rPr>
          <w:rFonts w:ascii="Arial" w:hAnsi="Arial" w:eastAsia="Arial" w:cs="Arial"/>
        </w:rPr>
        <w:t>Busy homes were slightly cheaper, with similar amenity counts, but far more often accepted one-night stays and were in the City of Melbourne. Their estimated revenue was 3.5 times higher, reflecting its review-based calculation (Table 3).</w:t>
      </w:r>
    </w:p>
    <w:p>
      <w:pPr>
        <w:pStyle w:val="Heading2"/>
        <w:keepNext/>
      </w:pPr>
      <w:r>
        <w:rPr>
          <w:rFonts w:ascii="Arial" w:hAnsi="Arial" w:eastAsia="Arial" w:cs="Arial"/>
        </w:rPr>
        <w:t>5.2 Descriptive comparison: City apartments are the first search priority</w:t>
      </w:r>
    </w:p>
    <w:p>
      <w:pPr>
        <w:widowControl/>
        <w:spacing w:after="120" w:line="259" w:lineRule="auto"/>
        <w:jc w:val="left"/>
      </w:pPr>
      <w:r>
        <w:rPr>
          <w:rFonts w:ascii="Arial" w:hAnsi="Arial" w:eastAsia="Arial" w:cs="Arial"/>
        </w:rPr>
        <w:t>Group rates range from 8.2% to 36.6% against 25.3% overall, and the three priority groups lead (Figure 2, Table 4).</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w:t>
      </w:r>
    </w:p>
    <w:p>
      <w:pPr>
        <w:keepNext/>
        <w:widowControl/>
        <w:spacing w:after="80" w:before="80" w:line="259" w:lineRule="auto"/>
        <w:jc w:val="left"/>
      </w:pPr>
      <w:r>
        <w:rPr>
          <w:rFonts w:ascii="Arial" w:hAnsi="Arial" w:eastAsia="Arial" w:cs="Arial"/>
          <w:b/>
        </w:rPr>
        <w:t>Table 4. Priority groups: estimated nights and revenue (medians; revenue in AUD a year)</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25"/>
        <w:gridCol w:w="1080"/>
        <w:gridCol w:w="1080"/>
        <w:gridCol w:w="1204"/>
        <w:gridCol w:w="1401"/>
        <w:gridCol w:w="1421"/>
        <w:gridCol w:w="1452"/>
      </w:tblGrid>
      <w:tr>
        <w:trPr>
          <w:cantSplit/>
          <w:tblHeader/>
        </w:trPr>
        <w:tc>
          <w:tcPr>
            <w:tcW w:type="dxa" w:w="2225"/>
            <w:vAlign w:val="center"/>
            <w:shd w:val="clear" w:color="auto" w:fill="E9EEF3"/>
          </w:tcPr>
          <w:p>
            <w:pPr>
              <w:keepNext/>
              <w:spacing w:before="40" w:after="40" w:line="240" w:lineRule="auto"/>
              <w:jc w:val="left"/>
            </w:pPr>
            <w:r>
              <w:rPr>
                <w:rFonts w:ascii="Arial" w:hAnsi="Arial" w:eastAsia="Arial" w:cs="Arial"/>
                <w:b/>
                <w:sz w:val="21"/>
              </w:rPr>
              <w:t>Group</w:t>
            </w:r>
          </w:p>
        </w:tc>
        <w:tc>
          <w:tcPr>
            <w:tcW w:type="dxa" w:w="1080"/>
            <w:vAlign w:val="center"/>
            <w:shd w:val="clear" w:color="auto" w:fill="E9EEF3"/>
          </w:tcPr>
          <w:p>
            <w:pPr>
              <w:keepNext/>
              <w:spacing w:before="40" w:after="40" w:line="240" w:lineRule="auto"/>
              <w:jc w:val="left"/>
            </w:pPr>
            <w:r>
              <w:rPr>
                <w:rFonts w:ascii="Arial" w:hAnsi="Arial" w:eastAsia="Arial" w:cs="Arial"/>
                <w:b/>
                <w:sz w:val="21"/>
              </w:rPr>
              <w:t>Homes</w:t>
            </w:r>
          </w:p>
        </w:tc>
        <w:tc>
          <w:tcPr>
            <w:tcW w:type="dxa" w:w="1080"/>
            <w:vAlign w:val="center"/>
            <w:shd w:val="clear" w:color="auto" w:fill="E9EEF3"/>
          </w:tcPr>
          <w:p>
            <w:pPr>
              <w:keepNext/>
              <w:spacing w:before="40" w:after="40" w:line="240" w:lineRule="auto"/>
              <w:jc w:val="left"/>
            </w:pPr>
            <w:r>
              <w:rPr>
                <w:rFonts w:ascii="Arial" w:hAnsi="Arial" w:eastAsia="Arial" w:cs="Arial"/>
                <w:b/>
                <w:sz w:val="21"/>
              </w:rPr>
              <w:t>Share busy</w:t>
            </w:r>
          </w:p>
        </w:tc>
        <w:tc>
          <w:tcPr>
            <w:tcW w:type="dxa" w:w="1204"/>
            <w:vAlign w:val="center"/>
            <w:shd w:val="clear" w:color="auto" w:fill="E9EEF3"/>
          </w:tcPr>
          <w:p>
            <w:pPr>
              <w:keepNext/>
              <w:spacing w:before="40" w:after="40" w:line="240" w:lineRule="auto"/>
              <w:jc w:val="left"/>
            </w:pPr>
            <w:r>
              <w:rPr>
                <w:rFonts w:ascii="Arial" w:hAnsi="Arial" w:eastAsia="Arial" w:cs="Arial"/>
                <w:b/>
                <w:sz w:val="21"/>
              </w:rPr>
              <w:t>Nights booked</w:t>
            </w:r>
          </w:p>
        </w:tc>
        <w:tc>
          <w:tcPr>
            <w:tcW w:type="dxa" w:w="1401"/>
            <w:vAlign w:val="center"/>
            <w:shd w:val="clear" w:color="auto" w:fill="E9EEF3"/>
          </w:tcPr>
          <w:p>
            <w:pPr>
              <w:keepNext/>
              <w:spacing w:before="40" w:after="40" w:line="240" w:lineRule="auto"/>
              <w:jc w:val="left"/>
            </w:pPr>
            <w:r>
              <w:rPr>
                <w:rFonts w:ascii="Arial" w:hAnsi="Arial" w:eastAsia="Arial" w:cs="Arial"/>
                <w:b/>
                <w:sz w:val="21"/>
              </w:rPr>
              <w:t>Revenue</w:t>
            </w:r>
          </w:p>
        </w:tc>
        <w:tc>
          <w:tcPr>
            <w:tcW w:type="dxa" w:w="1421"/>
            <w:vAlign w:val="center"/>
            <w:shd w:val="clear" w:color="auto" w:fill="E9EEF3"/>
          </w:tcPr>
          <w:p>
            <w:pPr>
              <w:keepNext/>
              <w:spacing w:before="40" w:after="40" w:line="240" w:lineRule="auto"/>
              <w:jc w:val="left"/>
            </w:pPr>
            <w:r>
              <w:rPr>
                <w:rFonts w:ascii="Arial" w:hAnsi="Arial" w:eastAsia="Arial" w:cs="Arial"/>
                <w:b/>
                <w:sz w:val="21"/>
              </w:rPr>
              <w:t>Revenue rank (of 14)</w:t>
            </w:r>
          </w:p>
        </w:tc>
        <w:tc>
          <w:tcPr>
            <w:tcW w:type="dxa" w:w="1452"/>
            <w:vAlign w:val="center"/>
            <w:shd w:val="clear" w:color="auto" w:fill="E9EEF3"/>
          </w:tcPr>
          <w:p>
            <w:pPr>
              <w:keepNext/>
              <w:spacing w:before="40" w:after="40" w:line="240" w:lineRule="auto"/>
              <w:jc w:val="left"/>
            </w:pPr>
            <w:r>
              <w:rPr>
                <w:rFonts w:ascii="Arial" w:hAnsi="Arial" w:eastAsia="Arial" w:cs="Arial"/>
                <w:b/>
                <w:sz w:val="21"/>
              </w:rPr>
              <w:t>Revenue if below target</w:t>
            </w:r>
          </w:p>
        </w:tc>
      </w:tr>
      <w:tr>
        <w:trPr>
          <w:cantSplit/>
        </w:trPr>
        <w:tc>
          <w:tcPr>
            <w:tcW w:type="dxa" w:w="2225"/>
            <w:vAlign w:val="center"/>
            <w:shd w:val="clear" w:color="auto" w:fill="FFFFFF"/>
          </w:tcPr>
          <w:p>
            <w:pPr>
              <w:keepNext/>
              <w:spacing w:before="40" w:after="40" w:line="240" w:lineRule="auto"/>
              <w:jc w:val="left"/>
            </w:pPr>
            <w:r>
              <w:rPr>
                <w:rFonts w:ascii="Arial" w:hAnsi="Arial" w:eastAsia="Arial" w:cs="Arial"/>
                <w:sz w:val="21"/>
              </w:rPr>
              <w:t>City 3-bed apartments</w:t>
            </w:r>
          </w:p>
        </w:tc>
        <w:tc>
          <w:tcPr>
            <w:tcW w:type="dxa" w:w="1080"/>
            <w:vAlign w:val="center"/>
            <w:shd w:val="clear" w:color="auto" w:fill="FFFFFF"/>
          </w:tcPr>
          <w:p>
            <w:pPr>
              <w:keepNext/>
              <w:spacing w:before="40" w:after="40" w:line="240" w:lineRule="auto"/>
              <w:jc w:val="right"/>
            </w:pPr>
            <w:r>
              <w:rPr>
                <w:rFonts w:ascii="Arial" w:hAnsi="Arial" w:eastAsia="Arial" w:cs="Arial"/>
                <w:sz w:val="21"/>
              </w:rPr>
              <w:t>306</w:t>
            </w:r>
          </w:p>
        </w:tc>
        <w:tc>
          <w:tcPr>
            <w:tcW w:type="dxa" w:w="1080"/>
            <w:vAlign w:val="center"/>
            <w:shd w:val="clear" w:color="auto" w:fill="FFFFFF"/>
          </w:tcPr>
          <w:p>
            <w:pPr>
              <w:keepNext/>
              <w:spacing w:before="40" w:after="40" w:line="240" w:lineRule="auto"/>
              <w:jc w:val="right"/>
            </w:pPr>
            <w:r>
              <w:rPr>
                <w:rFonts w:ascii="Arial" w:hAnsi="Arial" w:eastAsia="Arial" w:cs="Arial"/>
                <w:sz w:val="21"/>
              </w:rPr>
              <w:t>36.6%</w:t>
            </w:r>
          </w:p>
        </w:tc>
        <w:tc>
          <w:tcPr>
            <w:tcW w:type="dxa" w:w="1204"/>
            <w:vAlign w:val="center"/>
            <w:shd w:val="clear" w:color="auto" w:fill="FFFFFF"/>
          </w:tcPr>
          <w:p>
            <w:pPr>
              <w:keepNext/>
              <w:spacing w:before="40" w:after="40" w:line="240" w:lineRule="auto"/>
              <w:jc w:val="right"/>
            </w:pPr>
            <w:r>
              <w:rPr>
                <w:rFonts w:ascii="Arial" w:hAnsi="Arial" w:eastAsia="Arial" w:cs="Arial"/>
                <w:sz w:val="21"/>
              </w:rPr>
              <w:t>126</w:t>
            </w:r>
          </w:p>
        </w:tc>
        <w:tc>
          <w:tcPr>
            <w:tcW w:type="dxa" w:w="1401"/>
            <w:vAlign w:val="center"/>
            <w:shd w:val="clear" w:color="auto" w:fill="FFFFFF"/>
          </w:tcPr>
          <w:p>
            <w:pPr>
              <w:keepNext/>
              <w:spacing w:before="40" w:after="40" w:line="240" w:lineRule="auto"/>
              <w:jc w:val="right"/>
            </w:pPr>
            <w:r>
              <w:rPr>
                <w:rFonts w:ascii="Arial" w:hAnsi="Arial" w:eastAsia="Arial" w:cs="Arial"/>
                <w:sz w:val="21"/>
              </w:rPr>
              <w:t>48,600</w:t>
            </w:r>
          </w:p>
        </w:tc>
        <w:tc>
          <w:tcPr>
            <w:tcW w:type="dxa" w:w="1421"/>
            <w:vAlign w:val="center"/>
            <w:shd w:val="clear" w:color="auto" w:fill="FFFFFF"/>
          </w:tcPr>
          <w:p>
            <w:pPr>
              <w:keepNext/>
              <w:spacing w:before="40" w:after="40" w:line="240" w:lineRule="auto"/>
              <w:jc w:val="right"/>
            </w:pPr>
            <w:r>
              <w:rPr>
                <w:rFonts w:ascii="Arial" w:hAnsi="Arial" w:eastAsia="Arial" w:cs="Arial"/>
                <w:sz w:val="21"/>
              </w:rPr>
              <w:t>1</w:t>
            </w:r>
          </w:p>
        </w:tc>
        <w:tc>
          <w:tcPr>
            <w:tcW w:type="dxa" w:w="1452"/>
            <w:vAlign w:val="center"/>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2225"/>
            <w:vAlign w:val="center"/>
            <w:shd w:val="clear" w:color="auto" w:fill="FFFFFF"/>
          </w:tcPr>
          <w:p>
            <w:pPr>
              <w:keepNext/>
              <w:spacing w:before="40" w:after="40" w:line="240" w:lineRule="auto"/>
              <w:jc w:val="left"/>
            </w:pPr>
            <w:r>
              <w:rPr>
                <w:rFonts w:ascii="Arial" w:hAnsi="Arial" w:eastAsia="Arial" w:cs="Arial"/>
                <w:sz w:val="21"/>
              </w:rPr>
              <w:t>City 2-bed apartments</w:t>
            </w:r>
          </w:p>
        </w:tc>
        <w:tc>
          <w:tcPr>
            <w:tcW w:type="dxa" w:w="1080"/>
            <w:vAlign w:val="center"/>
            <w:shd w:val="clear" w:color="auto" w:fill="FFFFFF"/>
          </w:tcPr>
          <w:p>
            <w:pPr>
              <w:keepNext/>
              <w:spacing w:before="40" w:after="40" w:line="240" w:lineRule="auto"/>
              <w:jc w:val="right"/>
            </w:pPr>
            <w:r>
              <w:rPr>
                <w:rFonts w:ascii="Arial" w:hAnsi="Arial" w:eastAsia="Arial" w:cs="Arial"/>
                <w:sz w:val="21"/>
              </w:rPr>
              <w:t>1,235</w:t>
            </w:r>
          </w:p>
        </w:tc>
        <w:tc>
          <w:tcPr>
            <w:tcW w:type="dxa" w:w="1080"/>
            <w:vAlign w:val="center"/>
            <w:shd w:val="clear" w:color="auto" w:fill="FFFFFF"/>
          </w:tcPr>
          <w:p>
            <w:pPr>
              <w:keepNext/>
              <w:spacing w:before="40" w:after="40" w:line="240" w:lineRule="auto"/>
              <w:jc w:val="right"/>
            </w:pPr>
            <w:r>
              <w:rPr>
                <w:rFonts w:ascii="Arial" w:hAnsi="Arial" w:eastAsia="Arial" w:cs="Arial"/>
                <w:sz w:val="21"/>
              </w:rPr>
              <w:t>32.8%</w:t>
            </w:r>
          </w:p>
        </w:tc>
        <w:tc>
          <w:tcPr>
            <w:tcW w:type="dxa" w:w="1204"/>
            <w:vAlign w:val="center"/>
            <w:shd w:val="clear" w:color="auto" w:fill="FFFFFF"/>
          </w:tcPr>
          <w:p>
            <w:pPr>
              <w:keepNext/>
              <w:spacing w:before="40" w:after="40" w:line="240" w:lineRule="auto"/>
              <w:jc w:val="right"/>
            </w:pPr>
            <w:r>
              <w:rPr>
                <w:rFonts w:ascii="Arial" w:hAnsi="Arial" w:eastAsia="Arial" w:cs="Arial"/>
                <w:sz w:val="21"/>
              </w:rPr>
              <w:t>108</w:t>
            </w:r>
          </w:p>
        </w:tc>
        <w:tc>
          <w:tcPr>
            <w:tcW w:type="dxa" w:w="1401"/>
            <w:vAlign w:val="center"/>
            <w:shd w:val="clear" w:color="auto" w:fill="FFFFFF"/>
          </w:tcPr>
          <w:p>
            <w:pPr>
              <w:keepNext/>
              <w:spacing w:before="40" w:after="40" w:line="240" w:lineRule="auto"/>
              <w:jc w:val="right"/>
            </w:pPr>
            <w:r>
              <w:rPr>
                <w:rFonts w:ascii="Arial" w:hAnsi="Arial" w:eastAsia="Arial" w:cs="Arial"/>
                <w:sz w:val="21"/>
              </w:rPr>
              <w:t>30,600</w:t>
            </w:r>
          </w:p>
        </w:tc>
        <w:tc>
          <w:tcPr>
            <w:tcW w:type="dxa" w:w="1421"/>
            <w:vAlign w:val="center"/>
            <w:shd w:val="clear" w:color="auto" w:fill="FFFFFF"/>
          </w:tcPr>
          <w:p>
            <w:pPr>
              <w:keepNext/>
              <w:spacing w:before="40" w:after="40" w:line="240" w:lineRule="auto"/>
              <w:jc w:val="right"/>
            </w:pPr>
            <w:r>
              <w:rPr>
                <w:rFonts w:ascii="Arial" w:hAnsi="Arial" w:eastAsia="Arial" w:cs="Arial"/>
                <w:sz w:val="21"/>
              </w:rPr>
              <w:t>5</w:t>
            </w:r>
          </w:p>
        </w:tc>
        <w:tc>
          <w:tcPr>
            <w:tcW w:type="dxa" w:w="1452"/>
            <w:vAlign w:val="center"/>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2225"/>
            <w:vAlign w:val="center"/>
            <w:shd w:val="clear" w:color="auto" w:fill="FFFFFF"/>
          </w:tcPr>
          <w:p>
            <w:pPr>
              <w:keepNext/>
              <w:spacing w:before="40" w:after="40" w:line="240" w:lineRule="auto"/>
              <w:jc w:val="left"/>
            </w:pPr>
            <w:r>
              <w:rPr>
                <w:rFonts w:ascii="Arial" w:hAnsi="Arial" w:eastAsia="Arial" w:cs="Arial"/>
                <w:sz w:val="21"/>
              </w:rPr>
              <w:t>Yarra Ranges 3-bed houses</w:t>
            </w:r>
          </w:p>
        </w:tc>
        <w:tc>
          <w:tcPr>
            <w:tcW w:type="dxa" w:w="1080"/>
            <w:vAlign w:val="center"/>
            <w:shd w:val="clear" w:color="auto" w:fill="FFFFFF"/>
          </w:tcPr>
          <w:p>
            <w:pPr>
              <w:keepNext/>
              <w:spacing w:before="40" w:after="40" w:line="240" w:lineRule="auto"/>
              <w:jc w:val="right"/>
            </w:pPr>
            <w:r>
              <w:rPr>
                <w:rFonts w:ascii="Arial" w:hAnsi="Arial" w:eastAsia="Arial" w:cs="Arial"/>
                <w:sz w:val="21"/>
              </w:rPr>
              <w:t>90</w:t>
            </w:r>
          </w:p>
        </w:tc>
        <w:tc>
          <w:tcPr>
            <w:tcW w:type="dxa" w:w="1080"/>
            <w:vAlign w:val="center"/>
            <w:shd w:val="clear" w:color="auto" w:fill="FFFFFF"/>
          </w:tcPr>
          <w:p>
            <w:pPr>
              <w:keepNext/>
              <w:spacing w:before="40" w:after="40" w:line="240" w:lineRule="auto"/>
              <w:jc w:val="right"/>
            </w:pPr>
            <w:r>
              <w:rPr>
                <w:rFonts w:ascii="Arial" w:hAnsi="Arial" w:eastAsia="Arial" w:cs="Arial"/>
                <w:sz w:val="21"/>
              </w:rPr>
              <w:t>30.0%</w:t>
            </w:r>
          </w:p>
        </w:tc>
        <w:tc>
          <w:tcPr>
            <w:tcW w:type="dxa" w:w="1204"/>
            <w:vAlign w:val="center"/>
            <w:shd w:val="clear" w:color="auto" w:fill="FFFFFF"/>
          </w:tcPr>
          <w:p>
            <w:pPr>
              <w:keepNext/>
              <w:spacing w:before="40" w:after="40" w:line="240" w:lineRule="auto"/>
              <w:jc w:val="right"/>
            </w:pPr>
            <w:r>
              <w:rPr>
                <w:rFonts w:ascii="Arial" w:hAnsi="Arial" w:eastAsia="Arial" w:cs="Arial"/>
                <w:sz w:val="21"/>
              </w:rPr>
              <w:t>120</w:t>
            </w:r>
          </w:p>
        </w:tc>
        <w:tc>
          <w:tcPr>
            <w:tcW w:type="dxa" w:w="1401"/>
            <w:vAlign w:val="center"/>
            <w:shd w:val="clear" w:color="auto" w:fill="FFFFFF"/>
          </w:tcPr>
          <w:p>
            <w:pPr>
              <w:keepNext/>
              <w:spacing w:before="40" w:after="40" w:line="240" w:lineRule="auto"/>
              <w:jc w:val="right"/>
            </w:pPr>
            <w:r>
              <w:rPr>
                <w:rFonts w:ascii="Arial" w:hAnsi="Arial" w:eastAsia="Arial" w:cs="Arial"/>
                <w:sz w:val="21"/>
              </w:rPr>
              <w:t>46,100</w:t>
            </w:r>
          </w:p>
        </w:tc>
        <w:tc>
          <w:tcPr>
            <w:tcW w:type="dxa" w:w="1421"/>
            <w:vAlign w:val="center"/>
            <w:shd w:val="clear" w:color="auto" w:fill="FFFFFF"/>
          </w:tcPr>
          <w:p>
            <w:pPr>
              <w:keepNext/>
              <w:spacing w:before="40" w:after="40" w:line="240" w:lineRule="auto"/>
              <w:jc w:val="right"/>
            </w:pPr>
            <w:r>
              <w:rPr>
                <w:rFonts w:ascii="Arial" w:hAnsi="Arial" w:eastAsia="Arial" w:cs="Arial"/>
                <w:sz w:val="21"/>
              </w:rPr>
              <w:t>2</w:t>
            </w:r>
          </w:p>
        </w:tc>
        <w:tc>
          <w:tcPr>
            <w:tcW w:type="dxa" w:w="1452"/>
            <w:vAlign w:val="center"/>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2225"/>
            <w:vAlign w:val="center"/>
            <w:shd w:val="clear" w:color="auto" w:fill="FFFFFF"/>
          </w:tcPr>
          <w:p>
            <w:pPr>
              <w:spacing w:before="40" w:after="40" w:line="240" w:lineRule="auto"/>
              <w:jc w:val="left"/>
            </w:pPr>
            <w:r>
              <w:rPr>
                <w:rFonts w:ascii="Arial" w:hAnsi="Arial" w:eastAsia="Arial" w:cs="Arial"/>
                <w:sz w:val="21"/>
              </w:rPr>
              <w:t>All 14 groups</w:t>
            </w:r>
          </w:p>
        </w:tc>
        <w:tc>
          <w:tcPr>
            <w:tcW w:type="dxa" w:w="1080"/>
            <w:vAlign w:val="center"/>
            <w:shd w:val="clear" w:color="auto" w:fill="FFFFFF"/>
          </w:tcPr>
          <w:p>
            <w:pPr>
              <w:spacing w:before="40" w:after="40" w:line="240" w:lineRule="auto"/>
              <w:jc w:val="right"/>
            </w:pPr>
            <w:r>
              <w:rPr>
                <w:rFonts w:ascii="Arial" w:hAnsi="Arial" w:eastAsia="Arial" w:cs="Arial"/>
                <w:sz w:val="21"/>
              </w:rPr>
              <w:t>3,873</w:t>
            </w:r>
          </w:p>
        </w:tc>
        <w:tc>
          <w:tcPr>
            <w:tcW w:type="dxa" w:w="1080"/>
            <w:vAlign w:val="center"/>
            <w:shd w:val="clear" w:color="auto" w:fill="FFFFFF"/>
          </w:tcPr>
          <w:p>
            <w:pPr>
              <w:spacing w:before="40" w:after="40" w:line="240" w:lineRule="auto"/>
              <w:jc w:val="right"/>
            </w:pPr>
            <w:r>
              <w:rPr>
                <w:rFonts w:ascii="Arial" w:hAnsi="Arial" w:eastAsia="Arial" w:cs="Arial"/>
                <w:sz w:val="21"/>
              </w:rPr>
              <w:t>25.3%</w:t>
            </w:r>
          </w:p>
        </w:tc>
        <w:tc>
          <w:tcPr>
            <w:tcW w:type="dxa" w:w="1204"/>
            <w:vAlign w:val="center"/>
            <w:shd w:val="clear" w:color="auto" w:fill="FFFFFF"/>
          </w:tcPr>
          <w:p>
            <w:pPr>
              <w:spacing w:before="40" w:after="40" w:line="240" w:lineRule="auto"/>
              <w:jc w:val="right"/>
            </w:pPr>
            <w:r>
              <w:rPr>
                <w:rFonts w:ascii="Arial" w:hAnsi="Arial" w:eastAsia="Arial" w:cs="Arial"/>
                <w:sz w:val="21"/>
              </w:rPr>
              <w:t>96</w:t>
            </w:r>
          </w:p>
        </w:tc>
        <w:tc>
          <w:tcPr>
            <w:tcW w:type="dxa" w:w="1401"/>
            <w:vAlign w:val="center"/>
            <w:shd w:val="clear" w:color="auto" w:fill="FFFFFF"/>
          </w:tcPr>
          <w:p>
            <w:pPr>
              <w:spacing w:before="40" w:after="40" w:line="240" w:lineRule="auto"/>
              <w:jc w:val="right"/>
            </w:pPr>
            <w:r>
              <w:rPr>
                <w:rFonts w:ascii="Arial" w:hAnsi="Arial" w:eastAsia="Arial" w:cs="Arial"/>
                <w:sz w:val="21"/>
              </w:rPr>
              <w:t>24,700</w:t>
            </w:r>
          </w:p>
        </w:tc>
        <w:tc>
          <w:tcPr>
            <w:tcW w:type="dxa" w:w="1421"/>
            <w:vAlign w:val="center"/>
            <w:shd w:val="clear" w:color="auto" w:fill="FFFFFF"/>
          </w:tcPr>
          <w:p>
            <w:pPr>
              <w:spacing w:before="40" w:after="40" w:line="240" w:lineRule="auto"/>
              <w:jc w:val="right"/>
            </w:pPr>
            <w:r>
              <w:rPr>
                <w:rFonts w:ascii="Arial" w:hAnsi="Arial" w:eastAsia="Arial" w:cs="Arial"/>
                <w:sz w:val="21"/>
              </w:rPr>
              <w:t>–</w:t>
            </w:r>
          </w:p>
        </w:tc>
        <w:tc>
          <w:tcPr>
            <w:tcW w:type="dxa" w:w="1452"/>
            <w:vAlign w:val="center"/>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rPr>
        <w:t>The same three groups lead when the price rule or the review-history rule is removed. The two City groups are the most reliable, staying in the top three in 94% and 90% of 1,000 host redraws; Yarra Ranges houses did so in only 64%, a less certain second option.</w:t>
      </w:r>
    </w:p>
    <w:p>
      <w:pPr>
        <w:widowControl/>
        <w:spacing w:after="120" w:line="259" w:lineRule="auto"/>
        <w:jc w:val="left"/>
      </w:pPr>
      <w:r>
        <w:rPr>
          <w:rFonts w:ascii="Arial" w:hAnsi="Arial" w:eastAsia="Arial" w:cs="Arial"/>
          <w:b/>
        </w:rPr>
        <w:t>When the two rankings differ.</w:t>
      </w:r>
      <w:r>
        <w:rPr>
          <w:rFonts w:ascii="Arial" w:hAnsi="Arial" w:eastAsia="Arial" w:cs="Arial"/>
        </w:rPr>
        <w:t xml:space="preserve"> On revenue, Yarra Ranges houses rank second and City two-bedroom apartments fifth, mainly because the houses charge more a night (AUD 426 against 285). Since revenue rewards price and rents are unknown, we use activity to choose where to search and revenue to test each lease (Recommendation 3). Between leases that pass, choose the larger margin in each home's cash-flow plan; if margins are similar, choose the group with the higher share of busy homes.</w:t>
      </w:r>
    </w:p>
    <w:p>
      <w:pPr>
        <w:pStyle w:val="Heading2"/>
        <w:keepNext/>
      </w:pPr>
      <w:r>
        <w:rPr>
          <w:rFonts w:ascii="Arial" w:hAnsi="Arial" w:eastAsia="Arial" w:cs="Arial"/>
        </w:rPr>
        <w:t>5.3 Predictive screening: the model improves selection within the priority groups</w:t>
      </w:r>
    </w:p>
    <w:p>
      <w:pPr>
        <w:widowControl/>
        <w:spacing w:after="120" w:line="259" w:lineRule="auto"/>
        <w:jc w:val="left"/>
      </w:pPr>
      <w:r>
        <w:rPr>
          <w:rFonts w:ascii="Arial" w:hAnsi="Arial" w:eastAsia="Arial" w:cs="Arial"/>
        </w:rPr>
        <w:t>Picking a quarter of each priority group, the full model found busy homes 49.6% of the time, against 38.6% for the reduced model and 32.4% for random picking (Figure 3). That is five busy homes in ten, not three.</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3" name="Picture 3"/>
            <wp:cNvGraphicFramePr>
              <a:graphicFrameLocks noChangeAspect="1"/>
            </wp:cNvGraphicFramePr>
            <a:graphic>
              <a:graphicData uri="http://schemas.openxmlformats.org/drawingml/2006/picture">
                <pic:pic>
                  <pic:nvPicPr>
                    <pic:cNvPr id="0" name="figure_3_screening.png"/>
                    <pic:cNvPicPr/>
                  </pic:nvPicPr>
                  <pic:blipFill>
                    <a:blip r:embed="rId22"/>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Share of picked homes that were busy, averaged over 50 tests.</w:t>
      </w:r>
    </w:p>
    <w:p>
      <w:pPr>
        <w:widowControl/>
        <w:spacing w:after="120" w:line="259" w:lineRule="auto"/>
        <w:jc w:val="left"/>
      </w:pPr>
      <w:r>
        <w:rPr>
          <w:rFonts w:ascii="Arial" w:hAnsi="Arial" w:eastAsia="Arial" w:cs="Arial"/>
        </w:rPr>
        <w:t>The full model beat random picking in 46 of the 50 tests; in nine tests out of ten its gain lay between −1 and +32 percentage points, depending on the homes available.</w:t>
      </w:r>
    </w:p>
    <w:p>
      <w:pPr>
        <w:widowControl/>
        <w:spacing w:after="120" w:line="259" w:lineRule="auto"/>
        <w:jc w:val="left"/>
      </w:pPr>
      <w:r>
        <w:rPr>
          <w:rFonts w:ascii="Arial" w:hAnsi="Arial" w:eastAsia="Arial" w:cs="Arial"/>
        </w:rPr>
        <w:t>The 49.6% result picks within three priority groups over 50 tests. Table 5 instead picks one combined list from all 3,873 homes, using five tests so each home's score comes from a model trained on other hosts. This broader test gives a 43.7% hit rate (precision), against 25.3% overall, and finds 43.1% of busy homes (recall). Accuracy is 71.5%; calling every home "below target" scores 74.7% but finds none.</w:t>
      </w:r>
    </w:p>
    <w:p>
      <w:pPr>
        <w:keepNext/>
        <w:widowControl/>
        <w:spacing w:after="80" w:before="80" w:line="259" w:lineRule="auto"/>
        <w:jc w:val="left"/>
      </w:pPr>
      <w:r>
        <w:rPr>
          <w:rFonts w:ascii="Arial" w:hAnsi="Arial" w:eastAsia="Arial" w:cs="Arial"/>
          <w:b/>
        </w:rPr>
        <w:t>Table 5. Hits and misses (confusion matrix): top quarter picked across all 3,873 homes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239"/>
        <w:gridCol w:w="1437"/>
        <w:gridCol w:w="2166"/>
        <w:gridCol w:w="2021"/>
      </w:tblGrid>
      <w:tr>
        <w:trPr>
          <w:cantSplit/>
          <w:tblHeader/>
        </w:trPr>
        <w:tc>
          <w:tcPr>
            <w:tcW w:type="dxa" w:w="4239"/>
            <w:vAlign w:val="center"/>
            <w:shd w:val="clear" w:color="auto" w:fill="E9EEF3"/>
          </w:tcPr>
          <w:p>
            <w:pPr>
              <w:keepNext/>
              <w:spacing w:before="40" w:after="40" w:line="240" w:lineRule="auto"/>
              <w:jc w:val="left"/>
            </w:pPr>
          </w:p>
        </w:tc>
        <w:tc>
          <w:tcPr>
            <w:tcW w:type="dxa" w:w="1437"/>
            <w:vAlign w:val="center"/>
            <w:shd w:val="clear" w:color="auto" w:fill="E9EEF3"/>
          </w:tcPr>
          <w:p>
            <w:pPr>
              <w:keepNext/>
              <w:spacing w:before="40" w:after="40" w:line="240" w:lineRule="auto"/>
              <w:jc w:val="left"/>
            </w:pPr>
            <w:r>
              <w:rPr>
                <w:rFonts w:ascii="Arial" w:hAnsi="Arial" w:eastAsia="Arial" w:cs="Arial"/>
                <w:b/>
                <w:sz w:val="21"/>
              </w:rPr>
              <w:t>Busy</w:t>
            </w:r>
          </w:p>
        </w:tc>
        <w:tc>
          <w:tcPr>
            <w:tcW w:type="dxa" w:w="2166"/>
            <w:vAlign w:val="center"/>
            <w:shd w:val="clear" w:color="auto" w:fill="E9EEF3"/>
          </w:tcPr>
          <w:p>
            <w:pPr>
              <w:keepNext/>
              <w:spacing w:before="40" w:after="40" w:line="240" w:lineRule="auto"/>
              <w:jc w:val="left"/>
            </w:pPr>
            <w:r>
              <w:rPr>
                <w:rFonts w:ascii="Arial" w:hAnsi="Arial" w:eastAsia="Arial" w:cs="Arial"/>
                <w:b/>
                <w:sz w:val="21"/>
              </w:rPr>
              <w:t>Below target</w:t>
            </w:r>
          </w:p>
        </w:tc>
        <w:tc>
          <w:tcPr>
            <w:tcW w:type="dxa" w:w="2021"/>
            <w:vAlign w:val="center"/>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239"/>
            <w:vAlign w:val="center"/>
            <w:shd w:val="clear" w:color="auto" w:fill="FFFFFF"/>
          </w:tcPr>
          <w:p>
            <w:pPr>
              <w:keepNext/>
              <w:spacing w:before="40" w:after="40" w:line="240" w:lineRule="auto"/>
              <w:jc w:val="left"/>
            </w:pPr>
            <w:r>
              <w:rPr>
                <w:rFonts w:ascii="Arial" w:hAnsi="Arial" w:eastAsia="Arial" w:cs="Arial"/>
                <w:sz w:val="21"/>
              </w:rPr>
              <w:t>Picked by model</w:t>
            </w:r>
          </w:p>
        </w:tc>
        <w:tc>
          <w:tcPr>
            <w:tcW w:type="dxa" w:w="1437"/>
            <w:vAlign w:val="center"/>
            <w:shd w:val="clear" w:color="auto" w:fill="FFFFFF"/>
          </w:tcPr>
          <w:p>
            <w:pPr>
              <w:keepNext/>
              <w:spacing w:before="40" w:after="40" w:line="240" w:lineRule="auto"/>
              <w:jc w:val="right"/>
            </w:pPr>
            <w:r>
              <w:rPr>
                <w:rFonts w:ascii="Arial" w:hAnsi="Arial" w:eastAsia="Arial" w:cs="Arial"/>
                <w:sz w:val="21"/>
              </w:rPr>
              <w:t>423</w:t>
            </w:r>
          </w:p>
        </w:tc>
        <w:tc>
          <w:tcPr>
            <w:tcW w:type="dxa" w:w="2166"/>
            <w:vAlign w:val="center"/>
            <w:shd w:val="clear" w:color="auto" w:fill="FFFFFF"/>
          </w:tcPr>
          <w:p>
            <w:pPr>
              <w:keepNext/>
              <w:spacing w:before="40" w:after="40" w:line="240" w:lineRule="auto"/>
              <w:jc w:val="right"/>
            </w:pPr>
            <w:r>
              <w:rPr>
                <w:rFonts w:ascii="Arial" w:hAnsi="Arial" w:eastAsia="Arial" w:cs="Arial"/>
                <w:sz w:val="21"/>
              </w:rPr>
              <w:t>546</w:t>
            </w:r>
          </w:p>
        </w:tc>
        <w:tc>
          <w:tcPr>
            <w:tcW w:type="dxa" w:w="2021"/>
            <w:vAlign w:val="center"/>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239"/>
            <w:vAlign w:val="center"/>
            <w:shd w:val="clear" w:color="auto" w:fill="FFFFFF"/>
          </w:tcPr>
          <w:p>
            <w:pPr>
              <w:spacing w:before="40" w:after="40" w:line="240" w:lineRule="auto"/>
              <w:jc w:val="left"/>
            </w:pPr>
            <w:r>
              <w:rPr>
                <w:rFonts w:ascii="Arial" w:hAnsi="Arial" w:eastAsia="Arial" w:cs="Arial"/>
                <w:sz w:val="21"/>
              </w:rPr>
              <w:t>Not picked</w:t>
            </w:r>
          </w:p>
        </w:tc>
        <w:tc>
          <w:tcPr>
            <w:tcW w:type="dxa" w:w="1437"/>
            <w:vAlign w:val="center"/>
            <w:shd w:val="clear" w:color="auto" w:fill="FFFFFF"/>
          </w:tcPr>
          <w:p>
            <w:pPr>
              <w:spacing w:before="40" w:after="40" w:line="240" w:lineRule="auto"/>
              <w:jc w:val="right"/>
            </w:pPr>
            <w:r>
              <w:rPr>
                <w:rFonts w:ascii="Arial" w:hAnsi="Arial" w:eastAsia="Arial" w:cs="Arial"/>
                <w:sz w:val="21"/>
              </w:rPr>
              <w:t>558</w:t>
            </w:r>
          </w:p>
        </w:tc>
        <w:tc>
          <w:tcPr>
            <w:tcW w:type="dxa" w:w="2166"/>
            <w:vAlign w:val="center"/>
            <w:shd w:val="clear" w:color="auto" w:fill="FFFFFF"/>
          </w:tcPr>
          <w:p>
            <w:pPr>
              <w:spacing w:before="40" w:after="40" w:line="240" w:lineRule="auto"/>
              <w:jc w:val="right"/>
            </w:pPr>
            <w:r>
              <w:rPr>
                <w:rFonts w:ascii="Arial" w:hAnsi="Arial" w:eastAsia="Arial" w:cs="Arial"/>
                <w:sz w:val="21"/>
              </w:rPr>
              <w:t>2,346</w:t>
            </w:r>
          </w:p>
        </w:tc>
        <w:tc>
          <w:tcPr>
            <w:tcW w:type="dxa" w:w="2021"/>
            <w:vAlign w:val="center"/>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The model fitted to all homes gives a typical City two-bedroom apartment a 42% chance of being busy with one-night stays and 18% without. Starting from 42%, ten more amenities gives 48%; a 20% price premium gives 36%, holding other inputs fixed (Appendix A). These historical associations do not establish that changing settings causes more bookings.</w:t>
      </w:r>
    </w:p>
    <w:p>
      <w:pPr>
        <w:widowControl/>
        <w:spacing w:after="120" w:line="259" w:lineRule="auto"/>
        <w:jc w:val="left"/>
      </w:pPr>
      <w:r>
        <w:rPr>
          <w:rFonts w:ascii="Arial" w:hAnsi="Arial" w:eastAsia="Arial" w:cs="Arial"/>
        </w:rPr>
        <w:t>Price and minimum stay carry most of this gain.</w:t>
      </w:r>
    </w:p>
    <w:p>
      <w:pPr>
        <w:pStyle w:val="Heading2"/>
        <w:keepNext/>
      </w:pPr>
      <w:r>
        <w:rPr>
          <w:rFonts w:ascii="Arial" w:hAnsi="Arial" w:eastAsia="Arial" w:cs="Arial"/>
        </w:rPr>
        <w:t>5.4 Prescriptive trade-off: inspection capacity sets list length</w:t>
      </w:r>
    </w:p>
    <w:p>
      <w:pPr>
        <w:widowControl/>
        <w:spacing w:after="120" w:line="259" w:lineRule="auto"/>
        <w:jc w:val="left"/>
      </w:pPr>
      <w:r>
        <w:rPr>
          <w:rFonts w:ascii="Arial" w:hAnsi="Arial" w:eastAsia="Arial" w:cs="Arial"/>
        </w:rPr>
        <w:t>Shorter lists have a higher hit rate; longer lists find more busy homes (Table 6).</w:t>
      </w:r>
    </w:p>
    <w:p>
      <w:pPr>
        <w:keepNext/>
        <w:widowControl/>
        <w:spacing w:after="80" w:before="80" w:line="259" w:lineRule="auto"/>
        <w:jc w:val="left"/>
      </w:pPr>
      <w:r>
        <w:rPr>
          <w:rFonts w:ascii="Arial" w:hAnsi="Arial" w:eastAsia="Arial" w:cs="Arial"/>
          <w:b/>
        </w:rPr>
        <w:t>Table 6. Inspection capacity within the priority groups (averages of 50 tests)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53"/>
        <w:gridCol w:w="2393"/>
        <w:gridCol w:w="2108"/>
        <w:gridCol w:w="3111"/>
      </w:tblGrid>
      <w:tr>
        <w:trPr>
          <w:cantSplit/>
          <w:tblHeader/>
        </w:trPr>
        <w:tc>
          <w:tcPr>
            <w:tcW w:type="dxa" w:w="2253"/>
            <w:vAlign w:val="center"/>
            <w:shd w:val="clear" w:color="auto" w:fill="E9EEF3"/>
          </w:tcPr>
          <w:p>
            <w:pPr>
              <w:keepNext/>
              <w:spacing w:before="40" w:after="40" w:line="240" w:lineRule="auto"/>
              <w:jc w:val="left"/>
            </w:pPr>
            <w:r>
              <w:rPr>
                <w:rFonts w:ascii="Arial" w:hAnsi="Arial" w:eastAsia="Arial" w:cs="Arial"/>
                <w:b/>
                <w:sz w:val="21"/>
              </w:rPr>
              <w:t>Homes inspected per group</w:t>
            </w:r>
          </w:p>
        </w:tc>
        <w:tc>
          <w:tcPr>
            <w:tcW w:type="dxa" w:w="2393"/>
            <w:vAlign w:val="center"/>
            <w:shd w:val="clear" w:color="auto" w:fill="E9EEF3"/>
          </w:tcPr>
          <w:p>
            <w:pPr>
              <w:keepNext/>
              <w:spacing w:before="40" w:after="40" w:line="240" w:lineRule="auto"/>
              <w:jc w:val="left"/>
            </w:pPr>
            <w:r>
              <w:rPr>
                <w:rFonts w:ascii="Arial" w:hAnsi="Arial" w:eastAsia="Arial" w:cs="Arial"/>
                <w:b/>
                <w:sz w:val="21"/>
              </w:rPr>
              <w:t>Hit rate (precision)</w:t>
            </w:r>
          </w:p>
        </w:tc>
        <w:tc>
          <w:tcPr>
            <w:tcW w:type="dxa" w:w="2108"/>
            <w:vAlign w:val="center"/>
            <w:shd w:val="clear" w:color="auto" w:fill="E9EEF3"/>
          </w:tcPr>
          <w:p>
            <w:pPr>
              <w:keepNext/>
              <w:spacing w:before="40" w:after="40" w:line="240" w:lineRule="auto"/>
              <w:jc w:val="left"/>
            </w:pPr>
            <w:r>
              <w:rPr>
                <w:rFonts w:ascii="Arial" w:hAnsi="Arial" w:eastAsia="Arial" w:cs="Arial"/>
                <w:b/>
                <w:sz w:val="21"/>
              </w:rPr>
              <w:t>Busy homes found (recall)</w:t>
            </w:r>
          </w:p>
        </w:tc>
        <w:tc>
          <w:tcPr>
            <w:tcW w:type="dxa" w:w="3111"/>
            <w:vAlign w:val="center"/>
            <w:shd w:val="clear" w:color="auto" w:fill="E9EEF3"/>
          </w:tcPr>
          <w:p>
            <w:pPr>
              <w:keepNext/>
              <w:spacing w:before="40" w:after="40" w:line="240" w:lineRule="auto"/>
              <w:jc w:val="left"/>
            </w:pPr>
            <w:r>
              <w:rPr>
                <w:rFonts w:ascii="Arial" w:hAnsi="Arial" w:eastAsia="Arial" w:cs="Arial"/>
                <w:b/>
                <w:sz w:val="21"/>
              </w:rPr>
              <w:t>Gain over random picking (percentage points)</w:t>
            </w:r>
          </w:p>
        </w:tc>
      </w:tr>
      <w:tr>
        <w:trPr>
          <w:cantSplit/>
        </w:trPr>
        <w:tc>
          <w:tcPr>
            <w:tcW w:type="dxa" w:w="2253"/>
            <w:vAlign w:val="center"/>
            <w:shd w:val="clear" w:color="auto" w:fill="FFFFFF"/>
          </w:tcPr>
          <w:p>
            <w:pPr>
              <w:keepNext/>
              <w:spacing w:before="40" w:after="40" w:line="240" w:lineRule="auto"/>
              <w:jc w:val="left"/>
            </w:pPr>
            <w:r>
              <w:rPr>
                <w:rFonts w:ascii="Arial" w:hAnsi="Arial" w:eastAsia="Arial" w:cs="Arial"/>
                <w:sz w:val="21"/>
              </w:rPr>
              <w:t>10%</w:t>
            </w:r>
          </w:p>
        </w:tc>
        <w:tc>
          <w:tcPr>
            <w:tcW w:type="dxa" w:w="2393"/>
            <w:vAlign w:val="center"/>
            <w:shd w:val="clear" w:color="auto" w:fill="FFFFFF"/>
          </w:tcPr>
          <w:p>
            <w:pPr>
              <w:keepNext/>
              <w:spacing w:before="40" w:after="40" w:line="240" w:lineRule="auto"/>
              <w:jc w:val="right"/>
            </w:pPr>
            <w:r>
              <w:rPr>
                <w:rFonts w:ascii="Arial" w:hAnsi="Arial" w:eastAsia="Arial" w:cs="Arial"/>
                <w:sz w:val="21"/>
              </w:rPr>
              <w:t>54.5%</w:t>
            </w:r>
          </w:p>
        </w:tc>
        <w:tc>
          <w:tcPr>
            <w:tcW w:type="dxa" w:w="2108"/>
            <w:vAlign w:val="center"/>
            <w:shd w:val="clear" w:color="auto" w:fill="FFFFFF"/>
          </w:tcPr>
          <w:p>
            <w:pPr>
              <w:keepNext/>
              <w:spacing w:before="40" w:after="40" w:line="240" w:lineRule="auto"/>
              <w:jc w:val="right"/>
            </w:pPr>
            <w:r>
              <w:rPr>
                <w:rFonts w:ascii="Arial" w:hAnsi="Arial" w:eastAsia="Arial" w:cs="Arial"/>
                <w:sz w:val="21"/>
              </w:rPr>
              <w:t>17.1%</w:t>
            </w:r>
          </w:p>
        </w:tc>
        <w:tc>
          <w:tcPr>
            <w:tcW w:type="dxa" w:w="3111"/>
            <w:vAlign w:val="center"/>
            <w:shd w:val="clear" w:color="auto" w:fill="FFFFFF"/>
          </w:tcPr>
          <w:p>
            <w:pPr>
              <w:keepNext/>
              <w:spacing w:before="40" w:after="40" w:line="240" w:lineRule="auto"/>
              <w:jc w:val="right"/>
            </w:pPr>
            <w:r>
              <w:rPr>
                <w:rFonts w:ascii="Arial" w:hAnsi="Arial" w:eastAsia="Arial" w:cs="Arial"/>
                <w:sz w:val="21"/>
              </w:rPr>
              <w:t>+22.0</w:t>
            </w:r>
          </w:p>
        </w:tc>
      </w:tr>
      <w:tr>
        <w:trPr>
          <w:cantSplit/>
        </w:trPr>
        <w:tc>
          <w:tcPr>
            <w:tcW w:type="dxa" w:w="2253"/>
            <w:vAlign w:val="center"/>
            <w:shd w:val="clear" w:color="auto" w:fill="FFFFFF"/>
          </w:tcPr>
          <w:p>
            <w:pPr>
              <w:keepNext/>
              <w:spacing w:before="40" w:after="40" w:line="240" w:lineRule="auto"/>
              <w:jc w:val="left"/>
            </w:pPr>
            <w:r>
              <w:rPr>
                <w:rFonts w:ascii="Arial" w:hAnsi="Arial" w:eastAsia="Arial" w:cs="Arial"/>
                <w:sz w:val="21"/>
              </w:rPr>
              <w:t>25%</w:t>
            </w:r>
          </w:p>
        </w:tc>
        <w:tc>
          <w:tcPr>
            <w:tcW w:type="dxa" w:w="2393"/>
            <w:vAlign w:val="center"/>
            <w:shd w:val="clear" w:color="auto" w:fill="FFFFFF"/>
          </w:tcPr>
          <w:p>
            <w:pPr>
              <w:keepNext/>
              <w:spacing w:before="40" w:after="40" w:line="240" w:lineRule="auto"/>
              <w:jc w:val="right"/>
            </w:pPr>
            <w:r>
              <w:rPr>
                <w:rFonts w:ascii="Arial" w:hAnsi="Arial" w:eastAsia="Arial" w:cs="Arial"/>
                <w:sz w:val="21"/>
              </w:rPr>
              <w:t>49.6%</w:t>
            </w:r>
          </w:p>
        </w:tc>
        <w:tc>
          <w:tcPr>
            <w:tcW w:type="dxa" w:w="2108"/>
            <w:vAlign w:val="center"/>
            <w:shd w:val="clear" w:color="auto" w:fill="FFFFFF"/>
          </w:tcPr>
          <w:p>
            <w:pPr>
              <w:keepNext/>
              <w:spacing w:before="40" w:after="40" w:line="240" w:lineRule="auto"/>
              <w:jc w:val="right"/>
            </w:pPr>
            <w:r>
              <w:rPr>
                <w:rFonts w:ascii="Arial" w:hAnsi="Arial" w:eastAsia="Arial" w:cs="Arial"/>
                <w:sz w:val="21"/>
              </w:rPr>
              <w:t>38.3%</w:t>
            </w:r>
          </w:p>
        </w:tc>
        <w:tc>
          <w:tcPr>
            <w:tcW w:type="dxa" w:w="3111"/>
            <w:vAlign w:val="center"/>
            <w:shd w:val="clear" w:color="auto" w:fill="FFFFFF"/>
          </w:tcPr>
          <w:p>
            <w:pPr>
              <w:keepNext/>
              <w:spacing w:before="40" w:after="40" w:line="240" w:lineRule="auto"/>
              <w:jc w:val="right"/>
            </w:pPr>
            <w:r>
              <w:rPr>
                <w:rFonts w:ascii="Arial" w:hAnsi="Arial" w:eastAsia="Arial" w:cs="Arial"/>
                <w:sz w:val="21"/>
              </w:rPr>
              <w:t>+17.2</w:t>
            </w:r>
          </w:p>
        </w:tc>
      </w:tr>
      <w:tr>
        <w:trPr>
          <w:cantSplit/>
        </w:trPr>
        <w:tc>
          <w:tcPr>
            <w:tcW w:type="dxa" w:w="2253"/>
            <w:vAlign w:val="center"/>
            <w:shd w:val="clear" w:color="auto" w:fill="FFFFFF"/>
          </w:tcPr>
          <w:p>
            <w:pPr>
              <w:spacing w:before="40" w:after="40" w:line="240" w:lineRule="auto"/>
              <w:jc w:val="left"/>
            </w:pPr>
            <w:r>
              <w:rPr>
                <w:rFonts w:ascii="Arial" w:hAnsi="Arial" w:eastAsia="Arial" w:cs="Arial"/>
                <w:sz w:val="21"/>
              </w:rPr>
              <w:t>50%</w:t>
            </w:r>
          </w:p>
        </w:tc>
        <w:tc>
          <w:tcPr>
            <w:tcW w:type="dxa" w:w="2393"/>
            <w:vAlign w:val="center"/>
            <w:shd w:val="clear" w:color="auto" w:fill="FFFFFF"/>
          </w:tcPr>
          <w:p>
            <w:pPr>
              <w:spacing w:before="40" w:after="40" w:line="240" w:lineRule="auto"/>
              <w:jc w:val="right"/>
            </w:pPr>
            <w:r>
              <w:rPr>
                <w:rFonts w:ascii="Arial" w:hAnsi="Arial" w:eastAsia="Arial" w:cs="Arial"/>
                <w:sz w:val="21"/>
              </w:rPr>
              <w:t>43.1%</w:t>
            </w:r>
          </w:p>
        </w:tc>
        <w:tc>
          <w:tcPr>
            <w:tcW w:type="dxa" w:w="2108"/>
            <w:vAlign w:val="center"/>
            <w:shd w:val="clear" w:color="auto" w:fill="FFFFFF"/>
          </w:tcPr>
          <w:p>
            <w:pPr>
              <w:spacing w:before="40" w:after="40" w:line="240" w:lineRule="auto"/>
              <w:jc w:val="right"/>
            </w:pPr>
            <w:r>
              <w:rPr>
                <w:rFonts w:ascii="Arial" w:hAnsi="Arial" w:eastAsia="Arial" w:cs="Arial"/>
                <w:sz w:val="21"/>
              </w:rPr>
              <w:t>66.7%</w:t>
            </w:r>
          </w:p>
        </w:tc>
        <w:tc>
          <w:tcPr>
            <w:tcW w:type="dxa" w:w="3111"/>
            <w:vAlign w:val="center"/>
            <w:shd w:val="clear" w:color="auto" w:fill="FFFFFF"/>
          </w:tcPr>
          <w:p>
            <w:pPr>
              <w:spacing w:before="40" w:after="40" w:line="240" w:lineRule="auto"/>
              <w:jc w:val="right"/>
            </w:pPr>
            <w:r>
              <w:rPr>
                <w:rFonts w:ascii="Arial" w:hAnsi="Arial" w:eastAsia="Arial" w:cs="Arial"/>
                <w:sz w:val="21"/>
              </w:rPr>
              <w:t>+10.7</w:t>
            </w:r>
          </w:p>
        </w:tc>
      </w:tr>
    </w:tbl>
    <w:p>
      <w:pPr>
        <w:widowControl/>
        <w:spacing w:after="80" w:line="240" w:lineRule="auto"/>
        <w:jc w:val="left"/>
      </w:pPr>
    </w:p>
    <w:p>
      <w:pPr>
        <w:widowControl/>
        <w:spacing w:after="120" w:line="259" w:lineRule="auto"/>
        <w:jc w:val="left"/>
      </w:pPr>
      <w:r>
        <w:rPr>
          <w:rFonts w:ascii="Arial" w:hAnsi="Arial" w:eastAsia="Arial" w:cs="Arial"/>
        </w:rPr>
        <w:t>Our plan (Table 7) starts from a pool of ten candidates, whose busy share can differ widely from 49.6%.</w:t>
      </w:r>
    </w:p>
    <w:p>
      <w:pPr>
        <w:pStyle w:val="Heading2"/>
        <w:keepNext/>
      </w:pPr>
      <w:r>
        <w:rPr>
          <w:rFonts w:ascii="Arial" w:hAnsi="Arial" w:eastAsia="Arial" w:cs="Arial"/>
        </w:rPr>
        <w:t>5.5 Over time: the leading groups stayed ahead</w:t>
      </w:r>
    </w:p>
    <w:p>
      <w:pPr>
        <w:widowControl/>
        <w:spacing w:after="120" w:line="259" w:lineRule="auto"/>
        <w:jc w:val="left"/>
      </w:pPr>
      <w:r>
        <w:rPr>
          <w:rFonts w:ascii="Arial" w:hAnsi="Arial" w:eastAsia="Arial" w:cs="Arial"/>
        </w:rPr>
        <w:t>The earlier year's top three groups had 33.6% of homes reaching 34 reviews, against 19.9% elsewhere; that gap reflects how we chose them. In the later year, they still led: 27.1% against 14.9%, about 12 percentage points (Figure 4). The advantage also holds when hosts receive equal weight (Appendix A).</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4" name="Picture 4"/>
            <wp:cNvGraphicFramePr>
              <a:graphicFrameLocks noChangeAspect="1"/>
            </wp:cNvGraphicFramePr>
            <a:graphic>
              <a:graphicData uri="http://schemas.openxmlformats.org/drawingml/2006/picture">
                <pic:pic>
                  <pic:nvPicPr>
                    <pic:cNvPr id="0" name="figure_4_two_years.png"/>
                    <pic:cNvPicPr/>
                  </pic:nvPicPr>
                  <pic:blipFill>
                    <a:blip r:embed="rId23"/>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The same 2,657 surviving homes in two consecutive years; target 34 reviews.</w:t>
      </w:r>
    </w:p>
    <w:p>
      <w:pPr>
        <w:pStyle w:val="Heading1"/>
        <w:keepNext/>
        <w:pageBreakBefore w:val="0"/>
      </w:pPr>
      <w:r>
        <w:rPr>
          <w:rFonts w:ascii="Arial" w:hAnsi="Arial" w:eastAsia="Arial" w:cs="Arial"/>
        </w:rPr>
        <w:t>6. Key Findings and Recommendations</w:t>
      </w:r>
    </w:p>
    <w:p>
      <w:pPr>
        <w:widowControl/>
        <w:spacing w:after="120" w:line="259" w:lineRule="auto"/>
        <w:jc w:val="left"/>
      </w:pPr>
      <w:r>
        <w:rPr>
          <w:rFonts w:ascii="Arial" w:hAnsi="Arial" w:eastAsia="Arial" w:cs="Arial"/>
          <w:b/>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highest shares of busy homes and above-median estimated revenue; Yarra Ranges three-bedroom houses follow but are less certain. All three stayed ahead a year later (Figures 2 and 4,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How homes are run:</w:t>
      </w:r>
      <w:r>
        <w:rPr>
          <w:rFonts w:ascii="Arial" w:hAnsi="Arial" w:eastAsia="Arial" w:cs="Arial"/>
        </w:rPr>
        <w:t xml:space="preserve"> busy homes more often accept one-night stays and charge slightly less than similar homes (Table 3, Section 5.3).</w:t>
      </w:r>
    </w:p>
    <w:p>
      <w:pPr>
        <w:widowControl/>
        <w:spacing w:after="80" w:line="259" w:lineRule="auto"/>
        <w:ind w:left="432" w:hanging="432"/>
        <w:jc w:val="left"/>
      </w:pPr>
      <w:r>
        <w:rPr>
          <w:rFonts w:ascii="Arial" w:hAnsi="Arial" w:eastAsia="Arial" w:cs="Arial"/>
        </w:rPr>
        <w:t>3.</w:t>
        <w:tab/>
      </w:r>
      <w:r>
        <w:rPr>
          <w:rFonts w:ascii="Arial" w:hAnsi="Arial" w:eastAsia="Arial" w:cs="Arial"/>
          <w:b/>
        </w:rPr>
        <w:t>Which home first:</w:t>
      </w:r>
      <w:r>
        <w:rPr>
          <w:rFonts w:ascii="Arial" w:hAnsi="Arial" w:eastAsia="Arial" w:cs="Arial"/>
        </w:rPr>
        <w:t xml:space="preserve"> within the priority groups, the model raises the hit rate from one in three to one in two (Figure 3).</w:t>
      </w:r>
    </w:p>
    <w:p>
      <w:pPr>
        <w:widowControl/>
        <w:spacing w:after="120" w:line="259" w:lineRule="auto"/>
        <w:jc w:val="left"/>
      </w:pPr>
      <w:r>
        <w:rPr>
          <w:rFonts w:ascii="Arial" w:hAnsi="Arial" w:eastAsia="Arial" w:cs="Arial"/>
          <w:b/>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w:t>
      </w:r>
      <w:r>
        <w:rPr>
          <w:rFonts w:ascii="Arial" w:hAnsi="Arial" w:eastAsia="Arial" w:cs="Arial"/>
        </w:rPr>
        <w:t>, then Yarra Ranges three-bedroom houses; between leases that pass, choose as in Section 5.2.</w:t>
      </w:r>
    </w:p>
    <w:p>
      <w:pPr>
        <w:widowControl/>
        <w:spacing w:after="80" w:line="259" w:lineRule="auto"/>
        <w:ind w:left="432" w:hanging="432"/>
        <w:jc w:val="left"/>
      </w:pPr>
      <w:r>
        <w:rPr>
          <w:rFonts w:ascii="Arial" w:hAnsi="Arial" w:eastAsia="Arial" w:cs="Arial"/>
        </w:rPr>
        <w:t>2.</w:t>
        <w:tab/>
      </w:r>
      <w:r>
        <w:rPr>
          <w:rFonts w:ascii="Arial" w:hAnsi="Arial" w:eastAsia="Arial" w:cs="Arial"/>
          <w:b/>
        </w:rPr>
        <w:t>Order candidates already on Airbnb with the model.</w:t>
      </w:r>
      <w:r>
        <w:rPr>
          <w:rFonts w:ascii="Arial" w:hAnsi="Arial" w:eastAsia="Arial" w:cs="Arial"/>
        </w:rPr>
        <w:t xml:space="preserve"> For an unlisted rental, price near similar listings and trial one-night stays where allowed.</w:t>
      </w:r>
    </w:p>
    <w:p>
      <w:pPr>
        <w:widowControl/>
        <w:spacing w:after="80" w:line="259" w:lineRule="auto"/>
        <w:ind w:left="432" w:hanging="432"/>
        <w:jc w:val="left"/>
      </w:pPr>
      <w:r>
        <w:rPr>
          <w:rFonts w:ascii="Arial" w:hAnsi="Arial" w:eastAsia="Arial" w:cs="Arial"/>
        </w:rPr>
        <w:t>3.</w:t>
        <w:tab/>
      </w:r>
      <w:r>
        <w:rPr>
          <w:rFonts w:ascii="Arial" w:hAnsi="Arial" w:eastAsia="Arial" w:cs="Arial"/>
          <w:b/>
        </w:rPr>
        <w:t>Compare weekly rent and running costs with group revenue.</w:t>
      </w:r>
      <w:r>
        <w:rPr>
          <w:rFonts w:ascii="Arial" w:hAnsi="Arial" w:eastAsia="Arial" w:cs="Arial"/>
        </w:rPr>
        <w:t xml:space="preserve"> Typical weekly estimates are AUD 590 for City two-bedroom apartments, 930 for City three-bedroom apartments and 890 for Yarra Ranges houses; below-target medians are 320, 620 and 600. Figure 5 shows how many historical homes covered a proposed cost. Drop candidates costing more than typical revenue; assess the rest through their own cash-flow plans. Budget for a year of the below-target shortfall. Obtain written landlord consent and check building rules (Consumer Affairs Victoria, n.d.). Airbnb collects Victoria's 7.5% short-stay levy on applicable bookings (State Revenue Office Victoria, n.d.).</w:t>
      </w:r>
    </w:p>
    <w:p>
      <w:pPr>
        <w:keepNext/>
        <w:widowControl/>
        <w:spacing w:after="80" w:before="80" w:line="259" w:lineRule="auto"/>
        <w:jc w:val="left"/>
      </w:pPr>
      <w:r>
        <w:rPr>
          <w:rFonts w:ascii="Arial" w:hAnsi="Arial" w:eastAsia="Arial" w:cs="Arial"/>
          <w:b/>
        </w:rPr>
        <w:t>Table 7.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110"/>
        <w:gridCol w:w="3681"/>
        <w:gridCol w:w="4074"/>
      </w:tblGrid>
      <w:tr>
        <w:trPr>
          <w:cantSplit/>
          <w:tblHeader/>
        </w:trPr>
        <w:tc>
          <w:tcPr>
            <w:tcW w:type="dxa" w:w="2110"/>
            <w:vAlign w:val="center"/>
            <w:shd w:val="clear" w:color="auto" w:fill="E9EEF3"/>
          </w:tcPr>
          <w:p>
            <w:pPr>
              <w:keepNext/>
              <w:spacing w:before="40" w:after="40" w:line="240" w:lineRule="auto"/>
              <w:jc w:val="left"/>
            </w:pPr>
            <w:r>
              <w:rPr>
                <w:rFonts w:ascii="Arial" w:hAnsi="Arial" w:eastAsia="Arial" w:cs="Arial"/>
                <w:b/>
                <w:sz w:val="21"/>
              </w:rPr>
              <w:t>Timing and owner</w:t>
            </w:r>
          </w:p>
        </w:tc>
        <w:tc>
          <w:tcPr>
            <w:tcW w:type="dxa" w:w="3681"/>
            <w:vAlign w:val="center"/>
            <w:shd w:val="clear" w:color="auto" w:fill="E9EEF3"/>
          </w:tcPr>
          <w:p>
            <w:pPr>
              <w:keepNext/>
              <w:spacing w:before="40" w:after="40" w:line="240" w:lineRule="auto"/>
              <w:jc w:val="left"/>
            </w:pPr>
            <w:r>
              <w:rPr>
                <w:rFonts w:ascii="Arial" w:hAnsi="Arial" w:eastAsia="Arial" w:cs="Arial"/>
                <w:b/>
                <w:sz w:val="21"/>
              </w:rPr>
              <w:t>Action</w:t>
            </w:r>
          </w:p>
        </w:tc>
        <w:tc>
          <w:tcPr>
            <w:tcW w:type="dxa" w:w="4074"/>
            <w:vAlign w:val="center"/>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2110"/>
            <w:vAlign w:val="center"/>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3681"/>
            <w:vAlign w:val="center"/>
            <w:shd w:val="clear" w:color="auto" w:fill="FFFFFF"/>
          </w:tcPr>
          <w:p>
            <w:pPr>
              <w:keepNext/>
              <w:spacing w:before="40" w:after="40" w:line="240" w:lineRule="auto"/>
              <w:jc w:val="left"/>
            </w:pPr>
            <w:r>
              <w:rPr>
                <w:rFonts w:ascii="Arial" w:hAnsi="Arial" w:eastAsia="Arial" w:cs="Arial"/>
                <w:sz w:val="21"/>
              </w:rPr>
              <w:t>Build a pool of ten candidates in the priority groups; rank listed homes within each group</w:t>
            </w:r>
          </w:p>
        </w:tc>
        <w:tc>
          <w:tcPr>
            <w:tcW w:type="dxa" w:w="4074"/>
            <w:vAlign w:val="center"/>
            <w:shd w:val="clear" w:color="auto" w:fill="FFFFFF"/>
          </w:tcPr>
          <w:p>
            <w:pPr>
              <w:keepNext/>
              <w:spacing w:before="40" w:after="40" w:line="240" w:lineRule="auto"/>
              <w:jc w:val="left"/>
            </w:pPr>
            <w:r>
              <w:rPr>
                <w:rFonts w:ascii="Arial" w:hAnsi="Arial" w:eastAsia="Arial" w:cs="Arial"/>
                <w:sz w:val="21"/>
              </w:rPr>
              <w:t>Inspect top-ranked homes first, as time and budget allow; unlisted rentals follow the group order</w:t>
            </w:r>
          </w:p>
        </w:tc>
      </w:tr>
      <w:tr>
        <w:trPr>
          <w:cantSplit/>
        </w:trPr>
        <w:tc>
          <w:tcPr>
            <w:tcW w:type="dxa" w:w="2110"/>
            <w:vAlign w:val="center"/>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3681"/>
            <w:vAlign w:val="center"/>
            <w:shd w:val="clear" w:color="auto" w:fill="FFFFFF"/>
          </w:tcPr>
          <w:p>
            <w:pPr>
              <w:keepNext/>
              <w:spacing w:before="40" w:after="40" w:line="240" w:lineRule="auto"/>
              <w:jc w:val="left"/>
            </w:pPr>
            <w:r>
              <w:rPr>
                <w:rFonts w:ascii="Arial" w:hAnsi="Arial" w:eastAsia="Arial" w:cs="Arial"/>
                <w:sz w:val="21"/>
              </w:rPr>
              <w:t>Confirm consent and building rules; negotiate rent; obtain cost quotes</w:t>
            </w:r>
          </w:p>
        </w:tc>
        <w:tc>
          <w:tcPr>
            <w:tcW w:type="dxa" w:w="4074"/>
            <w:vAlign w:val="center"/>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2110"/>
            <w:vAlign w:val="center"/>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3681"/>
            <w:vAlign w:val="center"/>
            <w:shd w:val="clear" w:color="auto" w:fill="FFFFFF"/>
          </w:tcPr>
          <w:p>
            <w:pPr>
              <w:keepNext/>
              <w:spacing w:before="40" w:after="40" w:line="240" w:lineRule="auto"/>
              <w:jc w:val="left"/>
            </w:pPr>
            <w:r>
              <w:rPr>
                <w:rFonts w:ascii="Arial" w:hAnsi="Arial" w:eastAsia="Arial" w:cs="Arial"/>
                <w:sz w:val="21"/>
              </w:rPr>
              <w:t>Cash-flow plan: quotes against typical and below-target revenue (Recommendation 3)</w:t>
            </w:r>
          </w:p>
        </w:tc>
        <w:tc>
          <w:tcPr>
            <w:tcW w:type="dxa" w:w="4074"/>
            <w:vAlign w:val="center"/>
            <w:shd w:val="clear" w:color="auto" w:fill="FFFFFF"/>
          </w:tcPr>
          <w:p>
            <w:pPr>
              <w:keepNext/>
              <w:spacing w:before="40" w:after="40" w:line="240" w:lineRule="auto"/>
              <w:jc w:val="left"/>
            </w:pPr>
            <w:r>
              <w:rPr>
                <w:rFonts w:ascii="Arial" w:hAnsi="Arial" w:eastAsia="Arial" w:cs="Arial"/>
                <w:sz w:val="21"/>
              </w:rPr>
              <w:t>Sign only if the plan covers setup costs and the client's required return, and the buffer covers an assumed year of below-target loss</w:t>
            </w:r>
          </w:p>
        </w:tc>
      </w:tr>
      <w:tr>
        <w:trPr>
          <w:cantSplit/>
        </w:trPr>
        <w:tc>
          <w:tcPr>
            <w:tcW w:type="dxa" w:w="2110"/>
            <w:vAlign w:val="center"/>
            <w:shd w:val="clear" w:color="auto" w:fill="FFFFFF"/>
          </w:tcPr>
          <w:p>
            <w:pPr>
              <w:spacing w:before="40" w:after="40" w:line="240" w:lineRule="auto"/>
              <w:jc w:val="left"/>
            </w:pPr>
            <w:r>
              <w:rPr>
                <w:rFonts w:ascii="Arial" w:hAnsi="Arial" w:eastAsia="Arial" w:cs="Arial"/>
                <w:b/>
                <w:sz w:val="21"/>
              </w:rPr>
              <w:t>First 30 days of operation</w:t>
            </w:r>
            <w:r>
              <w:rPr>
                <w:rFonts w:ascii="Arial" w:hAnsi="Arial" w:eastAsia="Arial" w:cs="Arial"/>
                <w:sz w:val="21"/>
              </w:rPr>
              <w:t xml:space="preserve"> (Operator)</w:t>
            </w:r>
          </w:p>
        </w:tc>
        <w:tc>
          <w:tcPr>
            <w:tcW w:type="dxa" w:w="3681"/>
            <w:vAlign w:val="center"/>
            <w:shd w:val="clear" w:color="auto" w:fill="FFFFFF"/>
          </w:tcPr>
          <w:p>
            <w:pPr>
              <w:spacing w:before="40" w:after="40" w:line="240" w:lineRule="auto"/>
              <w:jc w:val="left"/>
            </w:pPr>
            <w:r>
              <w:rPr>
                <w:rFonts w:ascii="Arial" w:hAnsi="Arial" w:eastAsia="Arial" w:cs="Arial"/>
                <w:sz w:val="21"/>
              </w:rPr>
              <w:t>Record paid nights, stay length, workload and net cash flow alongside reviews</w:t>
            </w:r>
          </w:p>
        </w:tc>
        <w:tc>
          <w:tcPr>
            <w:tcW w:type="dxa" w:w="4074"/>
            <w:vAlign w:val="center"/>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keepNext/>
        <w:widowControl/>
        <w:spacing w:after="40" w:before="80" w:line="240" w:lineRule="auto"/>
        <w:jc w:val="center"/>
      </w:pPr>
      <w:r>
        <w:drawing>
          <wp:inline xmlns:a="http://schemas.openxmlformats.org/drawingml/2006/main" xmlns:pic="http://schemas.openxmlformats.org/drawingml/2006/picture">
            <wp:extent cx="6035040" cy="2482294"/>
            <wp:docPr id="5" name="Picture 5"/>
            <wp:cNvGraphicFramePr>
              <a:graphicFrameLocks noChangeAspect="1"/>
            </wp:cNvGraphicFramePr>
            <a:graphic>
              <a:graphicData uri="http://schemas.openxmlformats.org/drawingml/2006/picture">
                <pic:pic>
                  <pic:nvPicPr>
                    <pic:cNvPr id="0" name="figure_5_weekly_reach.png"/>
                    <pic:cNvPicPr/>
                  </pic:nvPicPr>
                  <pic:blipFill>
                    <a:blip r:embed="rId24"/>
                    <a:stretch>
                      <a:fillRect/>
                    </a:stretch>
                  </pic:blipFill>
                  <pic:spPr>
                    <a:xfrm>
                      <a:off x="0" y="0"/>
                      <a:ext cx="6035040" cy="2482294"/>
                    </a:xfrm>
                    <a:prstGeom prst="rect"/>
                  </pic:spPr>
                </pic:pic>
              </a:graphicData>
            </a:graphic>
          </wp:inline>
        </w:drawing>
      </w:r>
    </w:p>
    <w:p>
      <w:pPr>
        <w:pStyle w:val="Caption"/>
      </w:pPr>
      <w:r>
        <w:rPr>
          <w:rFonts w:ascii="Arial" w:hAnsi="Arial" w:eastAsia="Arial" w:cs="Arial"/>
          <w:b/>
        </w:rPr>
        <w:t>Figure 5.</w:t>
      </w:r>
      <w:r>
        <w:rPr>
          <w:rFonts w:ascii="Arial" w:hAnsi="Arial" w:eastAsia="Arial" w:cs="Arial"/>
        </w:rPr>
        <w:t xml:space="preserve"> Share of each priority group's homes whose estimated weekly revenue reached a given weekly cost.</w:t>
      </w:r>
    </w:p>
    <w:p>
      <w:pPr>
        <w:widowControl/>
        <w:spacing w:after="120" w:line="259" w:lineRule="auto"/>
        <w:jc w:val="left"/>
      </w:pPr>
      <w:r>
        <w:rPr>
          <w:rFonts w:ascii="Arial" w:hAnsi="Arial" w:eastAsia="Arial" w:cs="Arial"/>
          <w:b/>
        </w:rPr>
        <w:t>Worked example (illustrative figures).</w:t>
      </w:r>
      <w:r>
        <w:rPr>
          <w:rFonts w:ascii="Arial" w:hAnsi="Arial" w:eastAsia="Arial" w:cs="Arial"/>
        </w:rPr>
        <w:t xml:space="preserve"> An agent offers two unlisted homes; weekly rent plus the client's quotes for cleaning, utilities, insurance and Airbnb fees total AUD 620 for a City two-bedroom apartment and AUD 700 for a Yarra Ranges three-bedroom house. The apartment's group comes first, but AUD 620 exceeds its typical AUD 590 a week, so it is dropped. The house clears its group's typical AUD 890, so it goes to rent negotiation and its own cash-flow plan, since a group median is not a forecast for one home. Earning like a below-target home (AUD 600), it would lose AUD 100 a week, about AUD 5,200 a year, which the buffer must cover. The client signs only if the plan also repays setup costs and meets its required return.</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are not bookings or profit.</w:t>
      </w:r>
      <w:r>
        <w:rPr>
          <w:rFonts w:ascii="Arial" w:hAnsi="Arial" w:eastAsia="Arial" w:cs="Arial"/>
        </w:rPr>
        <w:t xml:space="preserve"> Inside Airbnb's 50% review rate sits within published estimates of 30.5–72% (Inside Airbnb, n.d.), so the dollar figures are rough, and activity fell in the later year (Figure 4).</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Homes that left Airbnb are missing, and revenue uses June–July prices. New entrants, unpriced listings and outer areas are not covered.</w:t>
      </w:r>
    </w:p>
    <w:p>
      <w:pPr>
        <w:pStyle w:val="ListBullet"/>
        <w:widowControl/>
        <w:spacing w:after="80" w:line="259" w:lineRule="auto"/>
        <w:jc w:val="left"/>
      </w:pPr>
      <w:r>
        <w:rPr>
          <w:rFonts w:ascii="Arial" w:hAnsi="Arial" w:eastAsia="Arial" w:cs="Arial"/>
          <w:b/>
        </w:rPr>
        <w:t>Short stays inflate reviews and revenue.</w:t>
      </w:r>
      <w:r>
        <w:rPr>
          <w:rFonts w:ascii="Arial" w:hAnsi="Arial" w:eastAsia="Arial" w:cs="Arial"/>
        </w:rPr>
        <w:t xml:space="preserve"> A one-night minimum allows more stays for the same nights booked, so part of its effect is built into the measure; counting each stay as three nights may also overstate these homes' revenue.</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were recorded at collection and may respond to earlier performance. We chose the one-night input after seeing no seven-night home reach the target, and chose the priority groups from all homes, so the 50 tests may overstate the gain.</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Next, collect rent and cost quotes for the priority groups. Track the client's paid nights and net cash flow to check whether review activity identifies good businesses. Test the unchanged groups, model and selection rule on the next snapshot.</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5">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https://github.com/maksym-xu/CMCE30005-TheNextChapter/tree/final-report-marking-fixes-2026-10-16</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6">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7">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28">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Earlier team contributions are recorded in the repository guide.</w:t>
      </w:r>
    </w:p>
    <w:p>
      <w:pPr>
        <w:pStyle w:val="Heading1"/>
        <w:keepNext/>
        <w:pageBreakBefore/>
      </w:pPr>
      <w:r>
        <w:rPr>
          <w:rFonts w:ascii="Arial" w:hAnsi="Arial" w:eastAsia="Arial" w:cs="Arial"/>
        </w:rPr>
        <w:t>Appendix A. Model Details</w:t>
      </w:r>
    </w:p>
    <w:p>
      <w:pPr>
        <w:widowControl/>
        <w:spacing w:after="120" w:line="259" w:lineRule="auto"/>
        <w:jc w:val="left"/>
      </w:pPr>
      <w:r>
        <w:rPr>
          <w:rFonts w:ascii="Arial" w:hAnsi="Arial" w:eastAsia="Arial" w:cs="Arial"/>
        </w:rPr>
        <w:t>We fitted the model in R (R Core Team, 2026). Group median prices and fills for missing minimum stays use training homes only. The group rate is smoothed as (group successes + 10 × overall rate) / (group homes + 10). Odds are the chance of being busy divided by the chance of not being busy. Table A1 gives each input's odds ratio from its average coefficient over the 50 training fits, and the range across fits; above 1 means a higher chance of being busy, below 1 a lower one.</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vAlign w:val="center"/>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vAlign w:val="center"/>
            <w:shd w:val="clear" w:color="auto" w:fill="E9EEF3"/>
          </w:tcPr>
          <w:p>
            <w:pPr>
              <w:keepNext/>
              <w:spacing w:before="40" w:after="40" w:line="240" w:lineRule="auto"/>
              <w:jc w:val="left"/>
            </w:pPr>
            <w:r>
              <w:rPr>
                <w:rFonts w:ascii="Arial" w:hAnsi="Arial" w:eastAsia="Arial" w:cs="Arial"/>
                <w:b/>
                <w:sz w:val="21"/>
              </w:rPr>
              <w:t>Odds ratio</w:t>
            </w:r>
          </w:p>
        </w:tc>
        <w:tc>
          <w:tcPr>
            <w:tcW w:type="dxa" w:w="2533"/>
            <w:vAlign w:val="center"/>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vAlign w:val="center"/>
            <w:shd w:val="clear" w:color="auto" w:fill="FFFFFF"/>
          </w:tcPr>
          <w:p>
            <w:pPr>
              <w:keepNext/>
              <w:spacing w:before="40" w:after="40" w:line="240" w:lineRule="auto"/>
              <w:jc w:val="right"/>
            </w:pPr>
            <w:r>
              <w:rPr>
                <w:rFonts w:ascii="Arial" w:hAnsi="Arial" w:eastAsia="Arial" w:cs="Arial"/>
                <w:sz w:val="21"/>
              </w:rPr>
              <w:t>3.27</w:t>
            </w:r>
          </w:p>
        </w:tc>
        <w:tc>
          <w:tcPr>
            <w:tcW w:type="dxa" w:w="2533"/>
            <w:vAlign w:val="center"/>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Ten more amenities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1.27</w:t>
            </w:r>
          </w:p>
        </w:tc>
        <w:tc>
          <w:tcPr>
            <w:tcW w:type="dxa" w:w="2533"/>
            <w:vAlign w:val="center"/>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vAlign w:val="center"/>
            <w:shd w:val="clear" w:color="auto" w:fill="FFFFFF"/>
          </w:tcPr>
          <w:p>
            <w:pPr>
              <w:keepNext/>
              <w:spacing w:before="40" w:after="40" w:line="240" w:lineRule="auto"/>
              <w:jc w:val="right"/>
            </w:pPr>
            <w:r>
              <w:rPr>
                <w:rFonts w:ascii="Arial" w:hAnsi="Arial" w:eastAsia="Arial" w:cs="Arial"/>
                <w:sz w:val="21"/>
              </w:rPr>
              <w:t>0.88</w:t>
            </w:r>
          </w:p>
        </w:tc>
        <w:tc>
          <w:tcPr>
            <w:tcW w:type="dxa" w:w="2533"/>
            <w:vAlign w:val="center"/>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Council area (City of Melbourne)</w:t>
            </w:r>
          </w:p>
        </w:tc>
        <w:tc>
          <w:tcPr>
            <w:tcW w:type="dxa" w:w="1461"/>
            <w:vAlign w:val="center"/>
            <w:shd w:val="clear" w:color="auto" w:fill="FFFFFF"/>
          </w:tcPr>
          <w:p>
            <w:pPr>
              <w:keepNext/>
              <w:spacing w:before="40" w:after="40" w:line="240" w:lineRule="auto"/>
              <w:jc w:val="right"/>
            </w:pPr>
          </w:p>
        </w:tc>
        <w:tc>
          <w:tcPr>
            <w:tcW w:type="dxa" w:w="2533"/>
            <w:vAlign w:val="center"/>
            <w:shd w:val="clear" w:color="auto" w:fill="FFFFFF"/>
          </w:tcPr>
          <w:p>
            <w:pPr>
              <w:keepNext/>
              <w:spacing w:before="40" w:after="40" w:line="240" w:lineRule="auto"/>
              <w:jc w:val="right"/>
            </w:pP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Port Phillip</w:t>
            </w:r>
          </w:p>
        </w:tc>
        <w:tc>
          <w:tcPr>
            <w:tcW w:type="dxa" w:w="1461"/>
            <w:vAlign w:val="center"/>
            <w:shd w:val="clear" w:color="auto" w:fill="FFFFFF"/>
          </w:tcPr>
          <w:p>
            <w:pPr>
              <w:keepNext/>
              <w:spacing w:before="40" w:after="40" w:line="240" w:lineRule="auto"/>
              <w:jc w:val="right"/>
            </w:pPr>
            <w:r>
              <w:rPr>
                <w:rFonts w:ascii="Arial" w:hAnsi="Arial" w:eastAsia="Arial" w:cs="Arial"/>
                <w:sz w:val="21"/>
              </w:rPr>
              <w:t>0.50</w:t>
            </w:r>
          </w:p>
        </w:tc>
        <w:tc>
          <w:tcPr>
            <w:tcW w:type="dxa" w:w="2533"/>
            <w:vAlign w:val="center"/>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Stonnington</w:t>
            </w:r>
          </w:p>
        </w:tc>
        <w:tc>
          <w:tcPr>
            <w:tcW w:type="dxa" w:w="1461"/>
            <w:vAlign w:val="center"/>
            <w:shd w:val="clear" w:color="auto" w:fill="FFFFFF"/>
          </w:tcPr>
          <w:p>
            <w:pPr>
              <w:keepNext/>
              <w:spacing w:before="40" w:after="40" w:line="240" w:lineRule="auto"/>
              <w:jc w:val="right"/>
            </w:pPr>
            <w:r>
              <w:rPr>
                <w:rFonts w:ascii="Arial" w:hAnsi="Arial" w:eastAsia="Arial" w:cs="Arial"/>
                <w:sz w:val="21"/>
              </w:rPr>
              <w:t>0.48</w:t>
            </w:r>
          </w:p>
        </w:tc>
        <w:tc>
          <w:tcPr>
            <w:tcW w:type="dxa" w:w="2533"/>
            <w:vAlign w:val="center"/>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w:t>
            </w:r>
          </w:p>
        </w:tc>
        <w:tc>
          <w:tcPr>
            <w:tcW w:type="dxa" w:w="1461"/>
            <w:vAlign w:val="center"/>
            <w:shd w:val="clear" w:color="auto" w:fill="FFFFFF"/>
          </w:tcPr>
          <w:p>
            <w:pPr>
              <w:keepNext/>
              <w:spacing w:before="40" w:after="40" w:line="240" w:lineRule="auto"/>
              <w:jc w:val="right"/>
            </w:pPr>
            <w:r>
              <w:rPr>
                <w:rFonts w:ascii="Arial" w:hAnsi="Arial" w:eastAsia="Arial" w:cs="Arial"/>
                <w:sz w:val="21"/>
              </w:rPr>
              <w:t>0.83</w:t>
            </w:r>
          </w:p>
        </w:tc>
        <w:tc>
          <w:tcPr>
            <w:tcW w:type="dxa" w:w="2533"/>
            <w:vAlign w:val="center"/>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 Ranges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1.22</w:t>
            </w:r>
          </w:p>
        </w:tc>
        <w:tc>
          <w:tcPr>
            <w:tcW w:type="dxa" w:w="2533"/>
            <w:vAlign w:val="center"/>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Merri-bek</w:t>
            </w:r>
          </w:p>
        </w:tc>
        <w:tc>
          <w:tcPr>
            <w:tcW w:type="dxa" w:w="1461"/>
            <w:vAlign w:val="center"/>
            <w:shd w:val="clear" w:color="auto" w:fill="FFFFFF"/>
          </w:tcPr>
          <w:p>
            <w:pPr>
              <w:keepNext/>
              <w:spacing w:before="40" w:after="40" w:line="240" w:lineRule="auto"/>
              <w:jc w:val="right"/>
            </w:pPr>
            <w:r>
              <w:rPr>
                <w:rFonts w:ascii="Arial" w:hAnsi="Arial" w:eastAsia="Arial" w:cs="Arial"/>
                <w:sz w:val="21"/>
              </w:rPr>
              <w:t>0.75</w:t>
            </w:r>
          </w:p>
        </w:tc>
        <w:tc>
          <w:tcPr>
            <w:tcW w:type="dxa" w:w="2533"/>
            <w:vAlign w:val="center"/>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vAlign w:val="center"/>
            <w:shd w:val="clear" w:color="auto" w:fill="FFFFFF"/>
          </w:tcPr>
          <w:p>
            <w:pPr>
              <w:keepNext/>
              <w:spacing w:before="40" w:after="40" w:line="240" w:lineRule="auto"/>
              <w:jc w:val="right"/>
            </w:pPr>
            <w:r>
              <w:rPr>
                <w:rFonts w:ascii="Arial" w:hAnsi="Arial" w:eastAsia="Arial" w:cs="Arial"/>
                <w:sz w:val="21"/>
              </w:rPr>
              <w:t>0.78</w:t>
            </w:r>
          </w:p>
        </w:tc>
        <w:tc>
          <w:tcPr>
            <w:tcW w:type="dxa" w:w="2533"/>
            <w:vAlign w:val="center"/>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Two bedrooms (one)</w:t>
            </w:r>
          </w:p>
        </w:tc>
        <w:tc>
          <w:tcPr>
            <w:tcW w:type="dxa" w:w="1461"/>
            <w:vAlign w:val="center"/>
            <w:shd w:val="clear" w:color="auto" w:fill="FFFFFF"/>
          </w:tcPr>
          <w:p>
            <w:pPr>
              <w:keepNext/>
              <w:spacing w:before="40" w:after="40" w:line="240" w:lineRule="auto"/>
              <w:jc w:val="right"/>
            </w:pPr>
            <w:r>
              <w:rPr>
                <w:rFonts w:ascii="Arial" w:hAnsi="Arial" w:eastAsia="Arial" w:cs="Arial"/>
                <w:sz w:val="21"/>
              </w:rPr>
              <w:t>1.16</w:t>
            </w:r>
          </w:p>
        </w:tc>
        <w:tc>
          <w:tcPr>
            <w:tcW w:type="dxa" w:w="2533"/>
            <w:vAlign w:val="center"/>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vAlign w:val="center"/>
            <w:shd w:val="clear" w:color="auto" w:fill="FFFFFF"/>
          </w:tcPr>
          <w:p>
            <w:pPr>
              <w:spacing w:before="40" w:after="40" w:line="240" w:lineRule="auto"/>
              <w:jc w:val="left"/>
            </w:pPr>
            <w:r>
              <w:rPr>
                <w:rFonts w:ascii="Arial" w:hAnsi="Arial" w:eastAsia="Arial" w:cs="Arial"/>
                <w:sz w:val="21"/>
              </w:rPr>
              <w:t>Three bedrooms (one)</w:t>
            </w:r>
          </w:p>
        </w:tc>
        <w:tc>
          <w:tcPr>
            <w:tcW w:type="dxa" w:w="1461"/>
            <w:vAlign w:val="center"/>
            <w:shd w:val="clear" w:color="auto" w:fill="FFFFFF"/>
          </w:tcPr>
          <w:p>
            <w:pPr>
              <w:spacing w:before="40" w:after="40" w:line="240" w:lineRule="auto"/>
              <w:jc w:val="right"/>
            </w:pPr>
            <w:r>
              <w:rPr>
                <w:rFonts w:ascii="Arial" w:hAnsi="Arial" w:eastAsia="Arial" w:cs="Arial"/>
                <w:sz w:val="21"/>
              </w:rPr>
              <w:t>1.31</w:t>
            </w:r>
          </w:p>
        </w:tc>
        <w:tc>
          <w:tcPr>
            <w:tcW w:type="dxa" w:w="2533"/>
            <w:vAlign w:val="center"/>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 xml:space="preserve">Across the 50 tests on all 14 groups, the model ranked a random busy home above a random quiet one 71% of the time, against 60% for group rates (AUC 0.71 and 0.60). Other evaluation designs are in </w:t>
      </w:r>
      <w:r>
        <w:rPr>
          <w:rFonts w:ascii="Arial" w:hAnsi="Arial" w:eastAsia="Arial" w:cs="Arial"/>
          <w:b w:val="0"/>
        </w:rPr>
        <w:t>final-report/report-2026-10-04/README.md</w:t>
      </w:r>
      <w:r>
        <w:rPr>
          <w:rFonts w:ascii="Arial" w:hAnsi="Arial" w:eastAsia="Arial" w:cs="Arial"/>
        </w:rPr>
        <w:t xml:space="preserve"> (Huang &amp; Xu, 2026).</w:t>
      </w:r>
    </w:p>
    <w:p>
      <w:pPr>
        <w:widowControl/>
        <w:spacing w:after="120" w:line="259" w:lineRule="auto"/>
        <w:jc w:val="left"/>
      </w:pPr>
      <w:r>
        <w:rPr>
          <w:rFonts w:ascii="Arial" w:hAnsi="Arial" w:eastAsia="Arial" w:cs="Arial"/>
        </w:rPr>
        <w:t>Host-adjusted standard errors are 1.1–2.6 times ordinary estimates. Variance inflation factors are below 3; host-adjusted tests find no clear curvature. Equal host weights within each comparison pool give an 8.7-point later-year gap; 112 hosts appear in both pools. The reduced model's City three-bedroom hit rate was 33.9%, below random picking at 35.9%.</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final-report-marking-fixes-2026-10-16"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hyperlink" Target="https://www.consumer.vic.gov.au/housing/owners-corporations/rules/making-rules-to-ban-short-stay-accommodation" TargetMode="External"/><Relationship Id="rId26" Type="http://schemas.openxmlformats.org/officeDocument/2006/relationships/hyperlink" Target="https://insideairbnb.com/data-assumptions/" TargetMode="External"/><Relationship Id="rId27" Type="http://schemas.openxmlformats.org/officeDocument/2006/relationships/hyperlink" Target="https://www.R-project.org/" TargetMode="External"/><Relationship Id="rId28"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