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Additional screening evidence</w:t>
      </w:r>
    </w:p>
    <w:p>
      <w:pPr>
        <w:widowControl/>
      </w:pPr>
      <w:r>
        <w:rPr>
          <w:b/>
          <w:sz w:val="22"/>
        </w:rPr>
        <w:t>Melbourne short-stay project   3 October 2026</w:t>
      </w:r>
    </w:p>
    <w:p>
      <w:pPr>
        <w:widowControl/>
      </w:pPr>
      <w:r>
        <w:rPr>
          <w:b w:val="0"/>
          <w:sz w:val="22"/>
        </w:rPr>
        <w:t>The full model added historical screening value after the three priority property groups had been chosen. Its usefulness depended partly on recorded price and minimum-stay information. A smaller shortlist was more concentrated, but missed more homes that reached the review target.</w:t>
      </w:r>
    </w:p>
    <w:p>
      <w:pPr>
        <w:pStyle w:val="Heading1"/>
      </w:pPr>
      <w:r>
        <w:t>Value within the priority groups</w:t>
      </w:r>
    </w:p>
    <w:p>
      <w:pPr>
        <w:widowControl/>
      </w:pPr>
      <w:r>
        <w:rPr>
          <w:b w:val="0"/>
          <w:sz w:val="22"/>
        </w:rPr>
        <w:t>At a fixed 25% selection quota in each group, the full model achieved 49.6% target attainment against 32.4% for the baseline. The average gain was 17.2 percentage points, or about 17 additional target-reaching homes per 100 selected. It performed better in 46 of 50 host splits and worse in four. This gain cannot come from moving selection places between the groups.</w:t>
      </w:r>
    </w:p>
    <w:tbl>
      <w:tblPr>
        <w:tblW w:type="auto" w:w="0"/>
        <w:tblLayout w:type="fixed"/>
        <w:tblLook w:firstColumn="1" w:firstRow="1" w:lastColumn="0" w:lastRow="0" w:noHBand="0" w:noVBand="1" w:val="04A0"/>
      </w:tblPr>
      <w:tblGrid>
        <w:gridCol w:w="3528"/>
        <w:gridCol w:w="1512"/>
        <w:gridCol w:w="1613"/>
        <w:gridCol w:w="1512"/>
        <w:gridCol w:w="2059"/>
      </w:tblGrid>
      <w:tr>
        <w:trPr>
          <w:cantSplit/>
          <w:tblHeader/>
        </w:trPr>
        <w:tc>
          <w:tcPr>
            <w:tcW w:type="dxa" w:w="3528"/>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0"/>
              </w:rPr>
              <w:t>Evaluation scope</w:t>
            </w:r>
          </w:p>
        </w:tc>
        <w:tc>
          <w:tcPr>
            <w:tcW w:type="dxa" w:w="15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Group rate</w:t>
            </w:r>
          </w:p>
        </w:tc>
        <w:tc>
          <w:tcPr>
            <w:tcW w:type="dxa" w:w="1613"/>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Property only</w:t>
            </w:r>
          </w:p>
        </w:tc>
        <w:tc>
          <w:tcPr>
            <w:tcW w:type="dxa" w:w="15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Full model</w:t>
            </w:r>
          </w:p>
        </w:tc>
        <w:tc>
          <w:tcPr>
            <w:tcW w:type="dxa" w:w="2059"/>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Full gain</w:t>
              <w:br/>
              <w:t>(points)</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All eligible listings</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31.96%</w:t>
            </w:r>
          </w:p>
        </w:tc>
        <w:tc>
          <w:tcPr>
            <w:tcW w:type="dxa" w:w="16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34.26%</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43.42%</w:t>
            </w:r>
          </w:p>
        </w:tc>
        <w:tc>
          <w:tcPr>
            <w:tcW w:type="dxa" w:w="2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+11.46</w:t>
            </w:r>
          </w:p>
        </w:tc>
      </w:tr>
      <w:tr>
        <w:trPr>
          <w:cantSplit/>
        </w:trPr>
        <w:tc>
          <w:tcPr>
            <w:tcW w:type="dxa" w:w="3528"/>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Three groups combined</w:t>
            </w:r>
          </w:p>
        </w:tc>
        <w:tc>
          <w:tcPr>
            <w:tcW w:type="dxa" w:w="1512"/>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32.37%</w:t>
            </w:r>
          </w:p>
        </w:tc>
        <w:tc>
          <w:tcPr>
            <w:tcW w:type="dxa" w:w="1613"/>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36.52%</w:t>
            </w:r>
          </w:p>
        </w:tc>
        <w:tc>
          <w:tcPr>
            <w:tcW w:type="dxa" w:w="1512"/>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48.91%</w:t>
            </w:r>
          </w:p>
        </w:tc>
        <w:tc>
          <w:tcPr>
            <w:tcW w:type="dxa" w:w="2059"/>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+16.54</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Fixed quota in each group</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32.43%</w:t>
            </w:r>
          </w:p>
        </w:tc>
        <w:tc>
          <w:tcPr>
            <w:tcW w:type="dxa" w:w="161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38.61%</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49.62%</w:t>
            </w:r>
          </w:p>
        </w:tc>
        <w:tc>
          <w:tcPr>
            <w:tcW w:type="dxa" w:w="2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+17.19</w:t>
            </w:r>
          </w:p>
        </w:tc>
      </w:tr>
    </w:tbl>
    <w:p>
      <w:pPr>
        <w:spacing w:after="20"/>
      </w:pPr>
    </w:p>
    <w:p>
      <w:pPr>
        <w:widowControl/>
      </w:pPr>
      <w:r>
        <w:rPr>
          <w:b w:val="0"/>
          <w:sz w:val="19"/>
        </w:rPr>
        <w:t>All entries are equal-weight means across the same 50 overlapping host splits. The target is 30 or more reviews in the preceding 365 days. Quotas match between models within each row; fixed group quotas round up separately.</w:t>
      </w:r>
    </w:p>
    <w:p>
      <w:pPr>
        <w:widowControl/>
      </w:pPr>
      <w:r>
        <w:rPr>
          <w:b w:val="0"/>
          <w:sz w:val="21"/>
        </w:rPr>
        <w:t>The fifth-to-ninety-fifth percentile range for the fixed-group gain was -0.66 to 31.76 points. This describes variation across splits, not a confidence interval. The groups had already been selected during earlier exploration.</w:t>
      </w:r>
    </w:p>
    <w:p>
      <w:pPr>
        <w:pStyle w:val="Heading1"/>
      </w:pPr>
      <w:r>
        <w:t>What the model needs to be useful</w:t>
      </w:r>
    </w:p>
    <w:p>
      <w:pPr>
        <w:widowControl/>
      </w:pPr>
      <w:r>
        <w:rPr>
          <w:b w:val="0"/>
          <w:sz w:val="22"/>
        </w:rPr>
        <w:t>Removing price and minimum-stay settings reduced fixed-group attainment to 38.6%. The full model added 11.0 points relative to this reduced model, with improvement in 42 splits and deterioration in eight. This is the joint predictive contribution of the two inputs after refitting the remaining weights, not the effect of changing either operating policy.</w:t>
      </w:r>
    </w:p>
    <w:p>
      <w:pPr>
        <w:widowControl/>
      </w:pPr>
      <w:r>
        <w:rPr>
          <w:b w:val="0"/>
          <w:sz w:val="22"/>
        </w:rPr>
        <w:t>The reduced model kept area, dwelling type, bedrooms and amenity count. Within each fixed group, only amenity count can distinguish homes. Results varied: in City of Melbourne three-bedroom apartments, the reduced model averaged 2.05 points below the baseline and was worse in 32 of 50 splits.</w:t>
      </w:r>
    </w:p>
    <w:p>
      <w:pPr>
        <w:widowControl/>
      </w:pPr>
      <w:r>
        <w:rPr>
          <w:b w:val="0"/>
          <w:sz w:val="22"/>
        </w:rPr>
        <w:t>Use the market groups to guide initial investigation. Use the full score as supplementary evidence for comparable established listings when recorded price, stay rules and other inputs are available. A proposed future price or stay policy is not a validated operating scenario. Permissions and conservative cash flow still determine whether a lease is acceptable.</w:t>
      </w:r>
    </w:p>
    <w:p>
      <w:pPr>
        <w:pStyle w:val="Heading1"/>
        <w:pageBreakBefore/>
      </w:pPr>
      <w:r>
        <w:t>Shortlist size and coverage</w:t>
      </w:r>
    </w:p>
    <w:p>
      <w:pPr>
        <w:widowControl/>
      </w:pPr>
      <w:r>
        <w:rPr>
          <w:b w:val="0"/>
          <w:sz w:val="22"/>
        </w:rPr>
        <w:t>The average gain remained positive at each tested quota. Choosing fewer listings improved concentration, while choosing more captured a larger share of all target-reaching homes. These checks do not identify an optimal search budget.</w:t>
      </w:r>
    </w:p>
    <w:tbl>
      <w:tblPr>
        <w:tblW w:type="auto" w:w="0"/>
        <w:tblLayout w:type="fixed"/>
        <w:tblLook w:firstColumn="1" w:firstRow="1" w:lastColumn="0" w:lastRow="0" w:noHBand="0" w:noVBand="1" w:val="04A0"/>
      </w:tblPr>
      <w:tblGrid>
        <w:gridCol w:w="1800"/>
        <w:gridCol w:w="1944"/>
        <w:gridCol w:w="1800"/>
        <w:gridCol w:w="2088"/>
        <w:gridCol w:w="2592"/>
      </w:tblGrid>
      <w:tr>
        <w:trPr>
          <w:cantSplit/>
          <w:tblHeader/>
        </w:trPr>
        <w:tc>
          <w:tcPr>
            <w:tcW w:type="dxa" w:w="180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0"/>
              </w:rPr>
              <w:t>Selected</w:t>
              <w:br/>
              <w:t>from each group</w:t>
            </w:r>
          </w:p>
        </w:tc>
        <w:tc>
          <w:tcPr>
            <w:tcW w:type="dxa" w:w="1944"/>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Full target</w:t>
              <w:br/>
              <w:t>attainment</w:t>
            </w:r>
          </w:p>
        </w:tc>
        <w:tc>
          <w:tcPr>
            <w:tcW w:type="dxa" w:w="180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Targets</w:t>
              <w:br/>
              <w:t>captured</w:t>
            </w:r>
          </w:p>
        </w:tc>
        <w:tc>
          <w:tcPr>
            <w:tcW w:type="dxa" w:w="2088"/>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Gain over</w:t>
              <w:br/>
              <w:t>baseline</w:t>
            </w:r>
          </w:p>
        </w:tc>
        <w:tc>
          <w:tcPr>
            <w:tcW w:type="dxa" w:w="259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0"/>
              </w:rPr>
              <w:t>Better / tied /</w:t>
              <w:br/>
              <w:t>worse splits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10%</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54.47%</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17.15%</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+22.04 points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46 / 0 / 4</w:t>
            </w:r>
          </w:p>
        </w:tc>
      </w:tr>
      <w:tr>
        <w:trPr>
          <w:cantSplit/>
        </w:trPr>
        <w:tc>
          <w:tcPr>
            <w:tcW w:type="dxa" w:w="1800"/>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25%</w:t>
            </w:r>
          </w:p>
        </w:tc>
        <w:tc>
          <w:tcPr>
            <w:tcW w:type="dxa" w:w="1944"/>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49.62%</w:t>
            </w:r>
          </w:p>
        </w:tc>
        <w:tc>
          <w:tcPr>
            <w:tcW w:type="dxa" w:w="1800"/>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38.29%</w:t>
            </w:r>
          </w:p>
        </w:tc>
        <w:tc>
          <w:tcPr>
            <w:tcW w:type="dxa" w:w="2088"/>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+17.19 points</w:t>
            </w:r>
          </w:p>
        </w:tc>
        <w:tc>
          <w:tcPr>
            <w:tcW w:type="dxa" w:w="2592"/>
            <w:vAlign w:val="center"/>
            <w:shd w:fill="F1F4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46 / 0 / 4</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0"/>
              </w:rPr>
              <w:t>50%</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43.10%</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66.68%</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+10.67 points</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0"/>
              </w:rPr>
              <w:t>49 / 0 / 1</w:t>
            </w:r>
          </w:p>
        </w:tc>
      </w:tr>
    </w:tbl>
    <w:p>
      <w:pPr>
        <w:spacing w:after="20"/>
      </w:pPr>
    </w:p>
    <w:p>
      <w:pPr>
        <w:widowControl/>
      </w:pPr>
      <w:r>
        <w:rPr>
          <w:b w:val="0"/>
          <w:sz w:val="19"/>
        </w:rPr>
        <w:t>Targets captured means the share of all target-reaching test listings included in the shortlist. At 10%, Yarra Ranges contributed only two to four selected listings per split, so individual group rates can be volatile.</w:t>
      </w:r>
    </w:p>
    <w:p>
      <w:r>
        <w:drawing>
          <wp:inline xmlns:a="http://schemas.openxmlformats.org/drawingml/2006/main" xmlns:pic="http://schemas.openxmlformats.org/drawingml/2006/picture">
            <wp:extent cx="6400800" cy="3840480"/>
            <wp:docPr id="1" name="Picture 1" descr="Mean historical screening gain at 10, 25 and 50 percent quotas, with fifth-to-ninety-fifth percentiles across 50 overlapping host splits. Full-model mean gains are 22.04, 17.19 and 10.67 percentage points."/>
            <wp:cNvGraphicFramePr>
              <a:graphicFrameLocks noChangeAspect="1"/>
            </wp:cNvGraphicFramePr>
            <a:graphic>
              <a:graphicData uri="http://schemas.openxmlformats.org/drawingml/2006/picture">
                <pic:pic>
                  <pic:nvPicPr>
                    <pic:cNvPr id="0" name="quota_sensitivity.png"/>
                    <pic:cNvPicPr/>
                  </pic:nvPicPr>
                  <pic:blipFill>
                    <a:blip r:embed="rId10"/>
                    <a:stretch>
                      <a:fillRect/>
                    </a:stretch>
                  </pic:blipFill>
                  <pic:spPr>
                    <a:xfrm>
                      <a:off x="0" y="0"/>
                      <a:ext cx="6400800" cy="3840480"/>
                    </a:xfrm>
                    <a:prstGeom prst="rect"/>
                  </pic:spPr>
                </pic:pic>
              </a:graphicData>
            </a:graphic>
          </wp:inline>
        </w:drawing>
      </w:r>
    </w:p>
    <w:p>
      <w:pPr>
        <w:widowControl/>
      </w:pPr>
      <w:r>
        <w:rPr>
          <w:b w:val="0"/>
          <w:sz w:val="21"/>
        </w:rPr>
        <w:t>The evaluation retained the original 3,873 established listings with usable prices. Removing price as an input does not validate the reduced model for excluded unpriced homes or new rental candidates. Current settings may also differ from those used during the historical review period. These results do not establish future bookings, profit or causal effects.</w:t>
      </w:r>
    </w:p>
    <w:p>
      <w:pPr>
        <w:widowControl/>
      </w:pPr>
      <w:r>
        <w:rPr>
          <w:b w:val="0"/>
          <w:sz w:val="19"/>
        </w:rPr>
        <w:t>Sources: screening_summary.csv, paired_screening_summary.csv, paired_priority_group_summary.csv and priority_group_metrics.csv. Full definitions and reproducible code accompany this brief. The original five-fold presentation result remains separate.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TheNextChapter Group 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before="200"/>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맑은 고딕"/>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Screening Evidence</dc:title>
  <dc:subject>Final report evidence on candidate screening</dc:subject>
  <dc:creator>TheNextChapter Group 2</dc:creator>
  <cp:keywords/>
  <dc:description/>
  <cp:lastModifiedBy>TheNextChapter Group 2</cp:lastModifiedBy>
  <cp:revision>1</cp:revision>
  <dcterms:created xsi:type="dcterms:W3CDTF">2013-12-23T23:15:00Z</dcterms:created>
  <dcterms:modified xsi:type="dcterms:W3CDTF">2013-12-23T23:15:00Z</dcterms:modified>
  <cp:category/>
</cp:coreProperties>
</file>