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https://github.com/maksym-xu/CMCE30005-TheNextChapter/tree/main</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homes in Greater Melbourne for Airbnb short stays. Rent and setup costs come before guest income, so a poor lease ties up scarce startup funds.</w:t>
      </w:r>
    </w:p>
    <w:p>
      <w:pPr>
        <w:widowControl/>
        <w:spacing w:after="120" w:line="259" w:lineRule="auto"/>
        <w:jc w:val="left"/>
      </w:pPr>
      <w:r>
        <w:rPr>
          <w:rFonts w:ascii="Arial" w:hAnsi="Arial" w:eastAsia="Arial" w:cs="Arial"/>
        </w:rPr>
        <w:t>We recommend City of Melbourne two- and three-bedroom apartments first, then Yarra Ranges three-bedroom houses and townhouses. These groups had the highest shares of homes with strong guest activity, and their typical homes earned an estimated AUD 30,600–48,600 a year before costs, against AUD 24,700 across the study.</w:t>
      </w:r>
    </w:p>
    <w:p>
      <w:pPr>
        <w:widowControl/>
        <w:spacing w:after="120" w:line="259" w:lineRule="auto"/>
        <w:jc w:val="left"/>
      </w:pPr>
      <w:r>
        <w:rPr>
          <w:rFonts w:ascii="Arial" w:hAnsi="Arial" w:eastAsia="Arial" w:cs="Arial"/>
        </w:rPr>
        <w:t>Within these groups, homes that accepted one-night stays and were priced at or below similar homes were busy half the time (50.4%), against one in three at random (32.4%). Section 6 turns this into a search order, a checklist and a cost test.</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their share of homes with strong guest activity, and express this in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Identify which home settings go with strong activity, and test whether they pick better homes within the leading groups than random picking.</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and a four-week inspection plan.</w:t>
      </w:r>
    </w:p>
    <w:p>
      <w:pPr>
        <w:widowControl/>
        <w:spacing w:after="120" w:line="259" w:lineRule="auto"/>
        <w:jc w:val="left"/>
      </w:pPr>
      <w:r>
        <w:rPr>
          <w:rFonts w:ascii="Arial" w:hAnsi="Arial" w:eastAsia="Arial" w:cs="Arial"/>
        </w:rPr>
        <w:t>Objective 1 needs only a simple summary by group (Section 5.2). Objective 2 needs a model, because a group summary gives every home in a group the same rate.</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(reaches our target) when it receives at least 30 guest reviews in the year before data collection, a level reached by a quarter of separate reference homes (Section 3). Inside Airbnb (n.d.) assumes half of stays are reviewed and each lasts three nights (or the minimum stay if longer), capping estimated nights at 255 a year, so 30 reviews means about 180 booked nights.</w:t>
      </w:r>
    </w:p>
    <w:p>
      <w:pPr>
        <w:widowControl/>
        <w:spacing w:after="120" w:line="259" w:lineRule="auto"/>
        <w:jc w:val="left"/>
      </w:pPr>
      <w:r>
        <w:rPr>
          <w:rFonts w:ascii="Arial" w:hAnsi="Arial" w:eastAsia="Arial" w:cs="Arial"/>
          <w:b/>
        </w:rPr>
        <w:t>What review activity measures.</w:t>
      </w:r>
      <w:r>
        <w:rPr>
          <w:rFonts w:ascii="Arial" w:hAnsi="Arial" w:eastAsia="Arial" w:cs="Arial"/>
        </w:rPr>
        <w:t xml:space="preserve"> Guests review only after a stay, so reviews track completed bookings, a guide to demand and occupancy; this matters because empty nights are the operator's main risk. Reviews do not show profit (rents and costs are outside our data) or satisfaction (reviews can be negative), so we convert them into nights and revenue and check ratings (Section 5.1). We do not rank on revenue: Inside Airbnb estimates it from reviews and advertised prices, and without rents a higher price is not a better lease.</w:t>
      </w:r>
    </w:p>
    <w:p>
      <w:pPr>
        <w:widowControl/>
        <w:spacing w:after="120" w:line="259" w:lineRule="auto"/>
        <w:jc w:val="left"/>
      </w:pPr>
      <w:r>
        <w:rPr>
          <w:rFonts w:ascii="Arial" w:hAnsi="Arial" w:eastAsia="Arial" w:cs="Arial"/>
        </w:rPr>
        <w:t>Since the interim report, we replaced its random forest with an explainable logistic regression.</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and 1,026,690 dated reviews. We did not use the calendar, which cannot separate bookings from blocked nights.</w:t>
      </w:r>
    </w:p>
    <w:p>
      <w:pPr>
        <w:widowControl/>
        <w:spacing w:after="120" w:line="259" w:lineRule="auto"/>
        <w:jc w:val="left"/>
      </w:pPr>
      <w:r>
        <w:rPr>
          <w:rFonts w:ascii="Arial" w:hAnsi="Arial" w:eastAsia="Arial" w:cs="Arial"/>
        </w:rPr>
        <w:t>Cleaning converted prices to numbers, standardized missing entries, counted amenities and rebuilt annual review counts from review dates. Price is missing for 6,553 listings (25%) and bedrooms for 4,679 (18%); 4,477 listings (17%) have never been reviewed.</w:t>
      </w:r>
    </w:p>
    <w:p>
      <w:pPr>
        <w:widowControl/>
        <w:spacing w:after="120" w:line="259" w:lineRule="auto"/>
        <w:jc w:val="left"/>
      </w:pPr>
      <w:r>
        <w:rPr>
          <w:rFonts w:ascii="Arial" w:hAnsi="Arial" w:eastAsia="Arial" w:cs="Arial"/>
        </w:rPr>
        <w:t>We keep homes priced AUD 30–1,500 that are entire rental units or condos (</w:t>
      </w:r>
      <w:r>
        <w:rPr>
          <w:rFonts w:ascii="Arial" w:hAnsi="Arial" w:eastAsia="Arial" w:cs="Arial"/>
          <w:i/>
        </w:rPr>
        <w:t>apartments</w:t>
      </w:r>
      <w:r>
        <w:rPr>
          <w:rFonts w:ascii="Arial" w:hAnsi="Arial" w:eastAsia="Arial" w:cs="Arial"/>
        </w:rPr>
        <w:t>) or entire homes or townhouses (</w:t>
      </w:r>
      <w:r>
        <w:rPr>
          <w:rFonts w:ascii="Arial" w:hAnsi="Arial" w:eastAsia="Arial" w:cs="Arial"/>
          <w:i/>
        </w:rPr>
        <w:t>houses/townhouses</w:t>
      </w:r>
      <w:r>
        <w:rPr>
          <w:rFonts w:ascii="Arial" w:hAnsi="Arial" w:eastAsia="Arial" w:cs="Arial"/>
        </w:rPr>
        <w:t>), with one to three bedrooms and a first review at least a year before collection, so each has a full year of reviews.</w:t>
      </w:r>
    </w:p>
    <w:p>
      <w:pPr>
        <w:widowControl/>
        <w:spacing w:after="120" w:line="259" w:lineRule="auto"/>
        <w:jc w:val="left"/>
      </w:pPr>
      <w:r>
        <w:rPr>
          <w:rFonts w:ascii="Arial" w:hAnsi="Arial" w:eastAsia="Arial" w:cs="Arial"/>
        </w:rPr>
        <w:t>We set aside about one in five hosts (1,342 homes) to set an independent target: of their 906 homes in the final groups, a quarter received 30 or more reviews (Table 1).</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56"/>
        <w:gridCol w:w="1709"/>
      </w:tblGrid>
      <w:tr>
        <w:trPr>
          <w:cantSplit/>
          <w:tblHeader/>
        </w:trPr>
        <w:tc>
          <w:tcPr>
            <w:tcW w:type="dxa" w:w="8156"/>
            <w:vAlign w:val="center"/>
            <w:shd w:val="clear" w:color="auto" w:fill="E9EEF3"/>
          </w:tcPr>
          <w:p>
            <w:pPr>
              <w:keepNext/>
              <w:spacing w:before="40" w:after="40" w:line="240" w:lineRule="auto"/>
              <w:jc w:val="left"/>
            </w:pPr>
            <w:r>
              <w:rPr>
                <w:rFonts w:ascii="Arial" w:hAnsi="Arial" w:eastAsia="Arial" w:cs="Arial"/>
                <w:b/>
                <w:sz w:val="21"/>
              </w:rPr>
              <w:t>Step</w:t>
            </w:r>
          </w:p>
        </w:tc>
        <w:tc>
          <w:tcPr>
            <w:tcW w:type="dxa" w:w="1709"/>
            <w:vAlign w:val="center"/>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All listings</w:t>
            </w:r>
          </w:p>
        </w:tc>
        <w:tc>
          <w:tcPr>
            <w:tcW w:type="dxa" w:w="1709"/>
            <w:vAlign w:val="center"/>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09"/>
            <w:vAlign w:val="center"/>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09"/>
            <w:vAlign w:val="center"/>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Priced AUD 30–1,500</w:t>
            </w:r>
          </w:p>
        </w:tc>
        <w:tc>
          <w:tcPr>
            <w:tcW w:type="dxa" w:w="1709"/>
            <w:vAlign w:val="center"/>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09"/>
            <w:vAlign w:val="center"/>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After setting aside 1,342 reference-host homes</w:t>
            </w:r>
          </w:p>
        </w:tc>
        <w:tc>
          <w:tcPr>
            <w:tcW w:type="dxa" w:w="1709"/>
            <w:vAlign w:val="center"/>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56"/>
            <w:vAlign w:val="center"/>
            <w:shd w:val="clear" w:color="auto" w:fill="FFFFFF"/>
          </w:tcPr>
          <w:p>
            <w:pPr>
              <w:spacing w:before="40" w:after="40" w:line="240" w:lineRule="auto"/>
              <w:jc w:val="left"/>
            </w:pPr>
            <w:r>
              <w:rPr>
                <w:rFonts w:ascii="Arial" w:hAnsi="Arial" w:eastAsia="Arial" w:cs="Arial"/>
                <w:b/>
                <w:sz w:val="21"/>
              </w:rPr>
              <w:t>Analysis sample: 14 groups with at least 50 homes</w:t>
            </w:r>
          </w:p>
        </w:tc>
        <w:tc>
          <w:tcPr>
            <w:tcW w:type="dxa" w:w="1709"/>
            <w:vAlign w:val="center"/>
            <w:shd w:val="clear" w:color="auto" w:fill="FFFFFF"/>
          </w:tcPr>
          <w:p>
            <w:pPr>
              <w:spacing w:before="40" w:after="40" w:line="240" w:lineRule="auto"/>
              <w:jc w:val="right"/>
            </w:pPr>
            <w:r>
              <w:rPr>
                <w:rFonts w:ascii="Arial" w:hAnsi="Arial" w:eastAsia="Arial" w:cs="Arial"/>
                <w:b/>
                <w:sz w:val="21"/>
              </w:rPr>
              <w:t>3,873</w:t>
            </w:r>
          </w:p>
        </w:tc>
      </w:tr>
    </w:tbl>
    <w:p>
      <w:pPr>
        <w:widowControl/>
        <w:spacing w:after="80" w:line="240" w:lineRule="auto"/>
        <w:jc w:val="left"/>
      </w:pPr>
    </w:p>
    <w:p>
      <w:pPr>
        <w:widowControl/>
        <w:spacing w:after="120" w:line="259" w:lineRule="auto"/>
        <w:jc w:val="left"/>
      </w:pPr>
      <w:r>
        <w:rPr>
          <w:rFonts w:ascii="Arial" w:hAnsi="Arial" w:eastAsia="Arial" w:cs="Arial"/>
        </w:rPr>
        <w:t>The 3,873 analysis homes belong to 1,726 hosts in six council areas, the only areas with groups of at least 50 homes. The price rule drops 3,796 residential listings: 77.8% had no review in the past year, against 17.0% of those kept.</w:t>
      </w: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Group comparison.</w:t>
      </w:r>
      <w:r>
        <w:rPr>
          <w:rFonts w:ascii="Arial" w:hAnsi="Arial" w:eastAsia="Arial" w:cs="Arial"/>
        </w:rPr>
        <w:t xml:space="preserve"> We compare the share of busy homes in the 14 groups; redrawing hosts at random 1,000 times shows how much each share could move by chance (middle 90% of results).</w:t>
      </w:r>
    </w:p>
    <w:p>
      <w:pPr>
        <w:widowControl/>
        <w:spacing w:after="120" w:line="259" w:lineRule="auto"/>
        <w:jc w:val="left"/>
      </w:pPr>
      <w:r>
        <w:rPr>
          <w:rFonts w:ascii="Arial" w:hAnsi="Arial" w:eastAsia="Arial" w:cs="Arial"/>
          <w:b/>
        </w:rPr>
        <w:t>Two-setting rule.</w:t>
      </w:r>
      <w:r>
        <w:rPr>
          <w:rFonts w:ascii="Arial" w:hAnsi="Arial" w:eastAsia="Arial" w:cs="Arial"/>
        </w:rPr>
        <w:t xml:space="preserve"> To test whether a simple summary does as well as the model, we split priority-group homes by one-night stays and by price at or below the group median.</w:t>
      </w:r>
    </w:p>
    <w:p>
      <w:pPr>
        <w:widowControl/>
        <w:spacing w:after="120" w:line="259" w:lineRule="auto"/>
        <w:jc w:val="left"/>
      </w:pPr>
      <w:r>
        <w:rPr>
          <w:rFonts w:ascii="Arial" w:hAnsi="Arial" w:eastAsia="Arial" w:cs="Arial"/>
          <w:b/>
        </w:rPr>
        <w:t>Model.</w:t>
      </w:r>
      <w:r>
        <w:rPr>
          <w:rFonts w:ascii="Arial" w:hAnsi="Arial" w:eastAsia="Arial" w:cs="Arial"/>
        </w:rPr>
        <w:t xml:space="preserve"> Logistic regression turns six inputs into a chance of being busy (R Core Team, 2026); its weights show how each input moves that chance with the others held fixed. Table 2 lists the outcome and inputs.</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vAlign w:val="center"/>
            <w:shd w:val="clear" w:color="auto" w:fill="E9EEF3"/>
          </w:tcPr>
          <w:p>
            <w:pPr>
              <w:keepNext/>
              <w:spacing w:before="40" w:after="40" w:line="240" w:lineRule="auto"/>
              <w:jc w:val="left"/>
            </w:pPr>
            <w:r>
              <w:rPr>
                <w:rFonts w:ascii="Arial" w:hAnsi="Arial" w:eastAsia="Arial" w:cs="Arial"/>
                <w:b/>
                <w:sz w:val="21"/>
              </w:rPr>
              <w:t>Variable</w:t>
            </w:r>
          </w:p>
        </w:tc>
        <w:tc>
          <w:tcPr>
            <w:tcW w:type="dxa" w:w="6272"/>
            <w:vAlign w:val="center"/>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b/>
                <w:sz w:val="21"/>
              </w:rPr>
              <w:t>Outcome</w:t>
            </w:r>
          </w:p>
        </w:tc>
        <w:tc>
          <w:tcPr>
            <w:tcW w:type="dxa" w:w="6272"/>
            <w:vAlign w:val="center"/>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Council area</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Dwelling type</w:t>
            </w:r>
          </w:p>
        </w:tc>
        <w:tc>
          <w:tcPr>
            <w:tcW w:type="dxa" w:w="6272"/>
            <w:vAlign w:val="center"/>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Bedrooms</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vAlign w:val="center"/>
            <w:shd w:val="clear" w:color="auto" w:fill="FFFFFF"/>
          </w:tcPr>
          <w:p>
            <w:pPr>
              <w:keepNext/>
              <w:spacing w:before="40" w:after="40" w:line="240" w:lineRule="auto"/>
              <w:jc w:val="left"/>
            </w:pPr>
            <w:r>
              <w:rPr>
                <w:rFonts w:ascii="Arial" w:hAnsi="Arial" w:eastAsia="Arial" w:cs="Arial"/>
                <w:sz w:val="21"/>
              </w:rPr>
              <w:t>Price relative to the group median, per 10%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vAlign w:val="center"/>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vAlign w:val="center"/>
            <w:shd w:val="clear" w:color="auto" w:fill="FFFFFF"/>
          </w:tcPr>
          <w:p>
            <w:pPr>
              <w:spacing w:before="40" w:after="40" w:line="240" w:lineRule="auto"/>
              <w:jc w:val="left"/>
            </w:pPr>
            <w:r>
              <w:rPr>
                <w:rFonts w:ascii="Arial" w:hAnsi="Arial" w:eastAsia="Arial" w:cs="Arial"/>
                <w:sz w:val="21"/>
              </w:rPr>
              <w:t>Amenity count</w:t>
            </w:r>
          </w:p>
        </w:tc>
        <w:tc>
          <w:tcPr>
            <w:tcW w:type="dxa" w:w="6272"/>
            <w:vAlign w:val="center"/>
            <w:shd w:val="clear" w:color="auto" w:fill="FFFFFF"/>
          </w:tcPr>
          <w:p>
            <w:pPr>
              <w:spacing w:before="40" w:after="40" w:line="240" w:lineRule="auto"/>
              <w:jc w:val="left"/>
            </w:pPr>
            <w:r>
              <w:rPr>
                <w:rFonts w:ascii="Arial" w:hAnsi="Arial" w:eastAsia="Arial" w:cs="Arial"/>
                <w:sz w:val="21"/>
              </w:rPr>
              <w:t>Amenities listed, per ten</w:t>
            </w:r>
          </w:p>
        </w:tc>
      </w:tr>
    </w:tbl>
    <w:p>
      <w:pPr>
        <w:widowControl/>
        <w:spacing w:after="80" w:line="240" w:lineRule="auto"/>
        <w:jc w:val="left"/>
      </w:pPr>
    </w:p>
    <w:p>
      <w:pPr>
        <w:widowControl/>
        <w:spacing w:after="120" w:line="259" w:lineRule="auto"/>
        <w:jc w:val="left"/>
      </w:pPr>
      <w:r>
        <w:rPr>
          <w:rFonts w:ascii="Arial" w:hAnsi="Arial" w:eastAsia="Arial" w:cs="Arial"/>
        </w:rPr>
        <w:t xml:space="preserve">We compare this </w:t>
      </w:r>
      <w:r>
        <w:rPr>
          <w:rFonts w:ascii="Arial" w:hAnsi="Arial" w:eastAsia="Arial" w:cs="Arial"/>
          <w:b/>
        </w:rPr>
        <w:t>full model</w:t>
      </w:r>
      <w:r>
        <w:rPr>
          <w:rFonts w:ascii="Arial" w:hAnsi="Arial" w:eastAsia="Arial" w:cs="Arial"/>
        </w:rPr>
        <w:t xml:space="preserve"> with two simpler options. The </w:t>
      </w:r>
      <w:r>
        <w:rPr>
          <w:rFonts w:ascii="Arial" w:hAnsi="Arial" w:eastAsia="Arial" w:cs="Arial"/>
          <w:b/>
        </w:rPr>
        <w:t>group rate</w:t>
      </w:r>
      <w:r>
        <w:rPr>
          <w:rFonts w:ascii="Arial" w:hAnsi="Arial" w:eastAsia="Arial" w:cs="Arial"/>
        </w:rPr>
        <w:t xml:space="preserve"> (a group's share of busy homes) scores all its homes equally, which within a group is </w:t>
      </w:r>
      <w:r>
        <w:rPr>
          <w:rFonts w:ascii="Arial" w:hAnsi="Arial" w:eastAsia="Arial" w:cs="Arial"/>
          <w:b/>
        </w:rPr>
        <w:t>random picking</w:t>
      </w:r>
      <w:r>
        <w:rPr>
          <w:rFonts w:ascii="Arial" w:hAnsi="Arial" w:eastAsia="Arial" w:cs="Arial"/>
        </w:rPr>
        <w:t xml:space="preserve">. The </w:t>
      </w:r>
      <w:r>
        <w:rPr>
          <w:rFonts w:ascii="Arial" w:hAnsi="Arial" w:eastAsia="Arial" w:cs="Arial"/>
          <w:b/>
        </w:rPr>
        <w:t>reduced model</w:t>
      </w:r>
      <w:r>
        <w:rPr>
          <w:rFonts w:ascii="Arial" w:hAnsi="Arial" w:eastAsia="Arial" w:cs="Arial"/>
        </w:rPr>
        <w:t xml:space="preserve"> drops price and minimum stay to show what they add.</w:t>
      </w:r>
    </w:p>
    <w:p>
      <w:pPr>
        <w:widowControl/>
        <w:spacing w:after="120" w:line="259" w:lineRule="auto"/>
        <w:jc w:val="left"/>
      </w:pPr>
      <w:r>
        <w:rPr>
          <w:rFonts w:ascii="Arial" w:hAnsi="Arial" w:eastAsia="Arial" w:cs="Arial"/>
          <w:b/>
        </w:rPr>
        <w:t>Assumptions.</w:t>
      </w:r>
      <w:r>
        <w:rPr>
          <w:rFonts w:ascii="Arial" w:hAnsi="Arial" w:eastAsia="Arial" w:cs="Arial"/>
        </w:rPr>
        <w:t xml:space="preserve"> Homes of the same host can perform alike, so they stay together in every test. Each 10% price step and ten extra amenities have a fixed effect on the score; Appendix A checks overlap between inputs and curved relationships.</w:t>
      </w:r>
    </w:p>
    <w:p>
      <w:pPr>
        <w:widowControl/>
        <w:spacing w:after="120" w:line="259" w:lineRule="auto"/>
        <w:jc w:val="left"/>
      </w:pPr>
      <w:r>
        <w:rPr>
          <w:rFonts w:ascii="Arial" w:hAnsi="Arial" w:eastAsia="Arial" w:cs="Arial"/>
          <w:b/>
        </w:rPr>
        <w:t>Testing.</w:t>
      </w:r>
      <w:r>
        <w:rPr>
          <w:rFonts w:ascii="Arial" w:hAnsi="Arial" w:eastAsia="Arial" w:cs="Arial"/>
        </w:rPr>
        <w:t xml:space="preserve"> Each of 50 tests builds the model on 70% of hosts and scores the other 30%. In each priority group, each method picks a quarter of these homes, and we compare the share that were busy.</w:t>
      </w:r>
    </w:p>
    <w:p>
      <w:pPr>
        <w:widowControl/>
        <w:spacing w:after="120" w:line="259" w:lineRule="auto"/>
        <w:jc w:val="left"/>
      </w:pPr>
      <w:r>
        <w:rPr>
          <w:rFonts w:ascii="Arial" w:hAnsi="Arial" w:eastAsia="Arial" w:cs="Arial"/>
          <w:b/>
        </w:rPr>
        <w:t>Two-year check.</w:t>
      </w:r>
      <w:r>
        <w:rPr>
          <w:rFonts w:ascii="Arial" w:hAnsi="Arial" w:eastAsia="Arial" w:cs="Arial"/>
        </w:rPr>
        <w:t xml:space="preserve"> We rank groups on an earlier year and follow the top three into the next (Section 5.4).</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most homes are quiet; busy homes accept one-night stays and are well rated</w:t>
      </w:r>
    </w:p>
    <w:p>
      <w:pPr>
        <w:widowControl/>
        <w:spacing w:after="120" w:line="259" w:lineRule="auto"/>
        <w:jc w:val="left"/>
      </w:pPr>
      <w:r>
        <w:rPr>
          <w:rFonts w:ascii="Arial" w:hAnsi="Arial" w:eastAsia="Arial" w:cs="Arial"/>
        </w:rPr>
        <w:t>Guest activity is very uneven (Figure 1). The median home received 15 reviews, a quarter (981 homes, 25.3%) received 30 or more, and 334 homes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173"/>
        <w:gridCol w:w="1837"/>
        <w:gridCol w:w="1427"/>
        <w:gridCol w:w="1427"/>
      </w:tblGrid>
      <w:tr>
        <w:trPr>
          <w:cantSplit/>
          <w:tblHeader/>
        </w:trPr>
        <w:tc>
          <w:tcPr>
            <w:tcW w:type="dxa" w:w="5173"/>
            <w:vAlign w:val="center"/>
            <w:shd w:val="clear" w:color="auto" w:fill="E9EEF3"/>
          </w:tcPr>
          <w:p>
            <w:pPr>
              <w:keepNext/>
              <w:spacing w:before="40" w:after="40" w:line="240" w:lineRule="auto"/>
              <w:jc w:val="left"/>
            </w:pPr>
            <w:r>
              <w:rPr>
                <w:rFonts w:ascii="Arial" w:hAnsi="Arial" w:eastAsia="Arial" w:cs="Arial"/>
                <w:b/>
                <w:sz w:val="21"/>
              </w:rPr>
              <w:t>Characteristic</w:t>
            </w:r>
          </w:p>
        </w:tc>
        <w:tc>
          <w:tcPr>
            <w:tcW w:type="dxa" w:w="1837"/>
            <w:vAlign w:val="center"/>
            <w:shd w:val="clear" w:color="auto" w:fill="E9EEF3"/>
          </w:tcPr>
          <w:p>
            <w:pPr>
              <w:keepNext/>
              <w:spacing w:before="40" w:after="40" w:line="240" w:lineRule="auto"/>
              <w:jc w:val="left"/>
            </w:pPr>
            <w:r>
              <w:rPr>
                <w:rFonts w:ascii="Arial" w:hAnsi="Arial" w:eastAsia="Arial" w:cs="Arial"/>
                <w:b/>
                <w:sz w:val="21"/>
              </w:rPr>
              <w:t>Busy (30+ reviews)</w:t>
            </w:r>
          </w:p>
        </w:tc>
        <w:tc>
          <w:tcPr>
            <w:tcW w:type="dxa" w:w="1427"/>
            <w:vAlign w:val="center"/>
            <w:shd w:val="clear" w:color="auto" w:fill="E9EEF3"/>
          </w:tcPr>
          <w:p>
            <w:pPr>
              <w:keepNext/>
              <w:spacing w:before="40" w:after="40" w:line="240" w:lineRule="auto"/>
              <w:jc w:val="left"/>
            </w:pPr>
            <w:r>
              <w:rPr>
                <w:rFonts w:ascii="Arial" w:hAnsi="Arial" w:eastAsia="Arial" w:cs="Arial"/>
                <w:b/>
                <w:sz w:val="21"/>
              </w:rPr>
              <w:t>Below 30</w:t>
            </w:r>
          </w:p>
        </w:tc>
        <w:tc>
          <w:tcPr>
            <w:tcW w:type="dxa" w:w="1427"/>
            <w:vAlign w:val="center"/>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173"/>
            <w:vAlign w:val="center"/>
            <w:shd w:val="clear" w:color="auto" w:fill="FFFFFF"/>
          </w:tcPr>
          <w:p>
            <w:pPr>
              <w:keepNext/>
              <w:spacing w:before="40" w:after="40" w:line="240" w:lineRule="auto"/>
              <w:jc w:val="left"/>
            </w:pPr>
            <w:r>
              <w:rPr>
                <w:rFonts w:ascii="Arial" w:hAnsi="Arial" w:eastAsia="Arial" w:cs="Arial"/>
                <w:sz w:val="21"/>
              </w:rPr>
              <w:t>Homes</w:t>
            </w:r>
          </w:p>
        </w:tc>
        <w:tc>
          <w:tcPr>
            <w:tcW w:type="dxa" w:w="1837"/>
            <w:vAlign w:val="center"/>
            <w:shd w:val="clear" w:color="auto" w:fill="FFFFFF"/>
          </w:tcPr>
          <w:p>
            <w:pPr>
              <w:keepNext/>
              <w:spacing w:before="40" w:after="40" w:line="240" w:lineRule="auto"/>
              <w:jc w:val="right"/>
            </w:pPr>
            <w:r>
              <w:rPr>
                <w:rFonts w:ascii="Arial" w:hAnsi="Arial" w:eastAsia="Arial" w:cs="Arial"/>
                <w:sz w:val="21"/>
              </w:rPr>
              <w:t>981</w:t>
            </w:r>
          </w:p>
        </w:tc>
        <w:tc>
          <w:tcPr>
            <w:tcW w:type="dxa" w:w="1427"/>
            <w:vAlign w:val="center"/>
            <w:shd w:val="clear" w:color="auto" w:fill="FFFFFF"/>
          </w:tcPr>
          <w:p>
            <w:pPr>
              <w:keepNext/>
              <w:spacing w:before="40" w:after="40" w:line="240" w:lineRule="auto"/>
              <w:jc w:val="right"/>
            </w:pPr>
            <w:r>
              <w:rPr>
                <w:rFonts w:ascii="Arial" w:hAnsi="Arial" w:eastAsia="Arial" w:cs="Arial"/>
                <w:sz w:val="21"/>
              </w:rPr>
              <w:t>2,892</w:t>
            </w:r>
          </w:p>
        </w:tc>
        <w:tc>
          <w:tcPr>
            <w:tcW w:type="dxa" w:w="1427"/>
            <w:vAlign w:val="center"/>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173"/>
            <w:vAlign w:val="center"/>
            <w:shd w:val="clear" w:color="auto" w:fill="FFFFFF"/>
          </w:tcPr>
          <w:p>
            <w:pPr>
              <w:keepNext/>
              <w:spacing w:before="40" w:after="40" w:line="240" w:lineRule="auto"/>
              <w:jc w:val="left"/>
            </w:pPr>
            <w:r>
              <w:rPr>
                <w:rFonts w:ascii="Arial" w:hAnsi="Arial" w:eastAsia="Arial" w:cs="Arial"/>
                <w:sz w:val="21"/>
              </w:rPr>
              <w:t>Median nightly price (AUD)</w:t>
            </w:r>
          </w:p>
        </w:tc>
        <w:tc>
          <w:tcPr>
            <w:tcW w:type="dxa" w:w="1837"/>
            <w:vAlign w:val="center"/>
            <w:shd w:val="clear" w:color="auto" w:fill="FFFFFF"/>
          </w:tcPr>
          <w:p>
            <w:pPr>
              <w:keepNext/>
              <w:spacing w:before="40" w:after="40" w:line="240" w:lineRule="auto"/>
              <w:jc w:val="right"/>
            </w:pPr>
            <w:r>
              <w:rPr>
                <w:rFonts w:ascii="Arial" w:hAnsi="Arial" w:eastAsia="Arial" w:cs="Arial"/>
                <w:sz w:val="21"/>
              </w:rPr>
              <w:t>254</w:t>
            </w:r>
          </w:p>
        </w:tc>
        <w:tc>
          <w:tcPr>
            <w:tcW w:type="dxa" w:w="1427"/>
            <w:vAlign w:val="center"/>
            <w:shd w:val="clear" w:color="auto" w:fill="FFFFFF"/>
          </w:tcPr>
          <w:p>
            <w:pPr>
              <w:keepNext/>
              <w:spacing w:before="40" w:after="40" w:line="240" w:lineRule="auto"/>
              <w:jc w:val="right"/>
            </w:pPr>
            <w:r>
              <w:rPr>
                <w:rFonts w:ascii="Arial" w:hAnsi="Arial" w:eastAsia="Arial" w:cs="Arial"/>
                <w:sz w:val="21"/>
              </w:rPr>
              <w:t>266</w:t>
            </w:r>
          </w:p>
        </w:tc>
        <w:tc>
          <w:tcPr>
            <w:tcW w:type="dxa" w:w="1427"/>
            <w:vAlign w:val="center"/>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173"/>
            <w:vAlign w:val="center"/>
            <w:shd w:val="clear" w:color="auto" w:fill="FFFFFF"/>
          </w:tcPr>
          <w:p>
            <w:pPr>
              <w:keepNext/>
              <w:spacing w:before="40" w:after="40" w:line="240" w:lineRule="auto"/>
              <w:jc w:val="left"/>
            </w:pPr>
            <w:r>
              <w:rPr>
                <w:rFonts w:ascii="Arial" w:hAnsi="Arial" w:eastAsia="Arial" w:cs="Arial"/>
                <w:sz w:val="21"/>
              </w:rPr>
              <w:t>Accept one-night stays</w:t>
            </w:r>
          </w:p>
        </w:tc>
        <w:tc>
          <w:tcPr>
            <w:tcW w:type="dxa" w:w="1837"/>
            <w:vAlign w:val="center"/>
            <w:shd w:val="clear" w:color="auto" w:fill="FFFFFF"/>
          </w:tcPr>
          <w:p>
            <w:pPr>
              <w:keepNext/>
              <w:spacing w:before="40" w:after="40" w:line="240" w:lineRule="auto"/>
              <w:jc w:val="right"/>
            </w:pPr>
            <w:r>
              <w:rPr>
                <w:rFonts w:ascii="Arial" w:hAnsi="Arial" w:eastAsia="Arial" w:cs="Arial"/>
                <w:sz w:val="21"/>
              </w:rPr>
              <w:t>67.7%</w:t>
            </w:r>
          </w:p>
        </w:tc>
        <w:tc>
          <w:tcPr>
            <w:tcW w:type="dxa" w:w="1427"/>
            <w:vAlign w:val="center"/>
            <w:shd w:val="clear" w:color="auto" w:fill="FFFFFF"/>
          </w:tcPr>
          <w:p>
            <w:pPr>
              <w:keepNext/>
              <w:spacing w:before="40" w:after="40" w:line="240" w:lineRule="auto"/>
              <w:jc w:val="right"/>
            </w:pPr>
            <w:r>
              <w:rPr>
                <w:rFonts w:ascii="Arial" w:hAnsi="Arial" w:eastAsia="Arial" w:cs="Arial"/>
                <w:sz w:val="21"/>
              </w:rPr>
              <w:t>37.5%</w:t>
            </w:r>
          </w:p>
        </w:tc>
        <w:tc>
          <w:tcPr>
            <w:tcW w:type="dxa" w:w="1427"/>
            <w:vAlign w:val="center"/>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173"/>
            <w:vAlign w:val="center"/>
            <w:shd w:val="clear" w:color="auto" w:fill="FFFFFF"/>
          </w:tcPr>
          <w:p>
            <w:pPr>
              <w:keepNext/>
              <w:spacing w:before="40" w:after="40" w:line="240" w:lineRule="auto"/>
              <w:jc w:val="left"/>
            </w:pPr>
            <w:r>
              <w:rPr>
                <w:rFonts w:ascii="Arial" w:hAnsi="Arial" w:eastAsia="Arial" w:cs="Arial"/>
                <w:sz w:val="21"/>
              </w:rPr>
              <w:t>In the City of Melbourne</w:t>
            </w:r>
          </w:p>
        </w:tc>
        <w:tc>
          <w:tcPr>
            <w:tcW w:type="dxa" w:w="1837"/>
            <w:vAlign w:val="center"/>
            <w:shd w:val="clear" w:color="auto" w:fill="FFFFFF"/>
          </w:tcPr>
          <w:p>
            <w:pPr>
              <w:keepNext/>
              <w:spacing w:before="40" w:after="40" w:line="240" w:lineRule="auto"/>
              <w:jc w:val="right"/>
            </w:pPr>
            <w:r>
              <w:rPr>
                <w:rFonts w:ascii="Arial" w:hAnsi="Arial" w:eastAsia="Arial" w:cs="Arial"/>
                <w:sz w:val="21"/>
              </w:rPr>
              <w:t>76.9%</w:t>
            </w:r>
          </w:p>
        </w:tc>
        <w:tc>
          <w:tcPr>
            <w:tcW w:type="dxa" w:w="1427"/>
            <w:vAlign w:val="center"/>
            <w:shd w:val="clear" w:color="auto" w:fill="FFFFFF"/>
          </w:tcPr>
          <w:p>
            <w:pPr>
              <w:keepNext/>
              <w:spacing w:before="40" w:after="40" w:line="240" w:lineRule="auto"/>
              <w:jc w:val="right"/>
            </w:pPr>
            <w:r>
              <w:rPr>
                <w:rFonts w:ascii="Arial" w:hAnsi="Arial" w:eastAsia="Arial" w:cs="Arial"/>
                <w:sz w:val="21"/>
              </w:rPr>
              <w:t>59.6%</w:t>
            </w:r>
          </w:p>
        </w:tc>
        <w:tc>
          <w:tcPr>
            <w:tcW w:type="dxa" w:w="1427"/>
            <w:vAlign w:val="center"/>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173"/>
            <w:vAlign w:val="center"/>
            <w:shd w:val="clear" w:color="auto" w:fill="FFFFFF"/>
          </w:tcPr>
          <w:p>
            <w:pPr>
              <w:keepNext/>
              <w:spacing w:before="40" w:after="40" w:line="240" w:lineRule="auto"/>
              <w:jc w:val="left"/>
            </w:pPr>
            <w:r>
              <w:rPr>
                <w:rFonts w:ascii="Arial" w:hAnsi="Arial" w:eastAsia="Arial" w:cs="Arial"/>
                <w:sz w:val="21"/>
              </w:rPr>
              <w:t>Median estimated nights (cap 255)</w:t>
            </w:r>
          </w:p>
        </w:tc>
        <w:tc>
          <w:tcPr>
            <w:tcW w:type="dxa" w:w="1837"/>
            <w:vAlign w:val="center"/>
            <w:shd w:val="clear" w:color="auto" w:fill="FFFFFF"/>
          </w:tcPr>
          <w:p>
            <w:pPr>
              <w:keepNext/>
              <w:spacing w:before="40" w:after="40" w:line="240" w:lineRule="auto"/>
              <w:jc w:val="right"/>
            </w:pPr>
            <w:r>
              <w:rPr>
                <w:rFonts w:ascii="Arial" w:hAnsi="Arial" w:eastAsia="Arial" w:cs="Arial"/>
                <w:sz w:val="21"/>
              </w:rPr>
              <w:t>255</w:t>
            </w:r>
          </w:p>
        </w:tc>
        <w:tc>
          <w:tcPr>
            <w:tcW w:type="dxa" w:w="1427"/>
            <w:vAlign w:val="center"/>
            <w:shd w:val="clear" w:color="auto" w:fill="FFFFFF"/>
          </w:tcPr>
          <w:p>
            <w:pPr>
              <w:keepNext/>
              <w:spacing w:before="40" w:after="40" w:line="240" w:lineRule="auto"/>
              <w:jc w:val="right"/>
            </w:pPr>
            <w:r>
              <w:rPr>
                <w:rFonts w:ascii="Arial" w:hAnsi="Arial" w:eastAsia="Arial" w:cs="Arial"/>
                <w:sz w:val="21"/>
              </w:rPr>
              <w:t>60</w:t>
            </w:r>
          </w:p>
        </w:tc>
        <w:tc>
          <w:tcPr>
            <w:tcW w:type="dxa" w:w="1427"/>
            <w:vAlign w:val="center"/>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173"/>
            <w:vAlign w:val="center"/>
            <w:shd w:val="clear" w:color="auto" w:fill="FFFFFF"/>
          </w:tcPr>
          <w:p>
            <w:pPr>
              <w:keepNext/>
              <w:spacing w:before="40" w:after="40" w:line="240" w:lineRule="auto"/>
              <w:jc w:val="left"/>
            </w:pPr>
            <w:r>
              <w:rPr>
                <w:rFonts w:ascii="Arial" w:hAnsi="Arial" w:eastAsia="Arial" w:cs="Arial"/>
                <w:sz w:val="21"/>
              </w:rPr>
              <w:t>Median estimated revenue (AUD a year)</w:t>
            </w:r>
          </w:p>
        </w:tc>
        <w:tc>
          <w:tcPr>
            <w:tcW w:type="dxa" w:w="1837"/>
            <w:vAlign w:val="center"/>
            <w:shd w:val="clear" w:color="auto" w:fill="FFFFFF"/>
          </w:tcPr>
          <w:p>
            <w:pPr>
              <w:keepNext/>
              <w:spacing w:before="40" w:after="40" w:line="240" w:lineRule="auto"/>
              <w:jc w:val="right"/>
            </w:pPr>
            <w:r>
              <w:rPr>
                <w:rFonts w:ascii="Arial" w:hAnsi="Arial" w:eastAsia="Arial" w:cs="Arial"/>
                <w:sz w:val="21"/>
              </w:rPr>
              <w:t>58,400</w:t>
            </w:r>
          </w:p>
        </w:tc>
        <w:tc>
          <w:tcPr>
            <w:tcW w:type="dxa" w:w="1427"/>
            <w:vAlign w:val="center"/>
            <w:shd w:val="clear" w:color="auto" w:fill="FFFFFF"/>
          </w:tcPr>
          <w:p>
            <w:pPr>
              <w:keepNext/>
              <w:spacing w:before="40" w:after="40" w:line="240" w:lineRule="auto"/>
              <w:jc w:val="right"/>
            </w:pPr>
            <w:r>
              <w:rPr>
                <w:rFonts w:ascii="Arial" w:hAnsi="Arial" w:eastAsia="Arial" w:cs="Arial"/>
                <w:sz w:val="21"/>
              </w:rPr>
              <w:t>16,600</w:t>
            </w:r>
          </w:p>
        </w:tc>
        <w:tc>
          <w:tcPr>
            <w:tcW w:type="dxa" w:w="1427"/>
            <w:vAlign w:val="center"/>
            <w:shd w:val="clear" w:color="auto" w:fill="FFFFFF"/>
          </w:tcPr>
          <w:p>
            <w:pPr>
              <w:keepNext/>
              <w:spacing w:before="40" w:after="40" w:line="240" w:lineRule="auto"/>
              <w:jc w:val="right"/>
            </w:pPr>
            <w:r>
              <w:rPr>
                <w:rFonts w:ascii="Arial" w:hAnsi="Arial" w:eastAsia="Arial" w:cs="Arial"/>
                <w:sz w:val="21"/>
              </w:rPr>
              <w:t>24,700</w:t>
            </w:r>
          </w:p>
        </w:tc>
      </w:tr>
      <w:tr>
        <w:trPr>
          <w:cantSplit/>
        </w:trPr>
        <w:tc>
          <w:tcPr>
            <w:tcW w:type="dxa" w:w="5173"/>
            <w:vAlign w:val="center"/>
            <w:shd w:val="clear" w:color="auto" w:fill="FFFFFF"/>
          </w:tcPr>
          <w:p>
            <w:pPr>
              <w:keepNext/>
              <w:spacing w:before="40" w:after="40" w:line="240" w:lineRule="auto"/>
              <w:jc w:val="left"/>
            </w:pPr>
            <w:r>
              <w:rPr>
                <w:rFonts w:ascii="Arial" w:hAnsi="Arial" w:eastAsia="Arial" w:cs="Arial"/>
                <w:sz w:val="21"/>
              </w:rPr>
              <w:t>Mean guest rating (out of 5 stars)</w:t>
            </w:r>
          </w:p>
        </w:tc>
        <w:tc>
          <w:tcPr>
            <w:tcW w:type="dxa" w:w="1837"/>
            <w:vAlign w:val="center"/>
            <w:shd w:val="clear" w:color="auto" w:fill="FFFFFF"/>
          </w:tcPr>
          <w:p>
            <w:pPr>
              <w:keepNext/>
              <w:spacing w:before="40" w:after="40" w:line="240" w:lineRule="auto"/>
              <w:jc w:val="right"/>
            </w:pPr>
            <w:r>
              <w:rPr>
                <w:rFonts w:ascii="Arial" w:hAnsi="Arial" w:eastAsia="Arial" w:cs="Arial"/>
                <w:sz w:val="21"/>
              </w:rPr>
              <w:t>4.84</w:t>
            </w:r>
          </w:p>
        </w:tc>
        <w:tc>
          <w:tcPr>
            <w:tcW w:type="dxa" w:w="1427"/>
            <w:vAlign w:val="center"/>
            <w:shd w:val="clear" w:color="auto" w:fill="FFFFFF"/>
          </w:tcPr>
          <w:p>
            <w:pPr>
              <w:keepNext/>
              <w:spacing w:before="40" w:after="40" w:line="240" w:lineRule="auto"/>
              <w:jc w:val="right"/>
            </w:pPr>
            <w:r>
              <w:rPr>
                <w:rFonts w:ascii="Arial" w:hAnsi="Arial" w:eastAsia="Arial" w:cs="Arial"/>
                <w:sz w:val="21"/>
              </w:rPr>
              <w:t>4.69</w:t>
            </w:r>
          </w:p>
        </w:tc>
        <w:tc>
          <w:tcPr>
            <w:tcW w:type="dxa" w:w="1427"/>
            <w:vAlign w:val="center"/>
            <w:shd w:val="clear" w:color="auto" w:fill="FFFFFF"/>
          </w:tcPr>
          <w:p>
            <w:pPr>
              <w:keepNext/>
              <w:spacing w:before="40" w:after="40" w:line="240" w:lineRule="auto"/>
              <w:jc w:val="right"/>
            </w:pPr>
            <w:r>
              <w:rPr>
                <w:rFonts w:ascii="Arial" w:hAnsi="Arial" w:eastAsia="Arial" w:cs="Arial"/>
                <w:sz w:val="21"/>
              </w:rPr>
              <w:t>4.73</w:t>
            </w:r>
          </w:p>
        </w:tc>
      </w:tr>
      <w:tr>
        <w:trPr>
          <w:cantSplit/>
        </w:trPr>
        <w:tc>
          <w:tcPr>
            <w:tcW w:type="dxa" w:w="5173"/>
            <w:vAlign w:val="center"/>
            <w:shd w:val="clear" w:color="auto" w:fill="FFFFFF"/>
          </w:tcPr>
          <w:p>
            <w:pPr>
              <w:spacing w:before="40" w:after="40" w:line="240" w:lineRule="auto"/>
              <w:jc w:val="left"/>
            </w:pPr>
            <w:r>
              <w:rPr>
                <w:rFonts w:ascii="Arial" w:hAnsi="Arial" w:eastAsia="Arial" w:cs="Arial"/>
                <w:sz w:val="21"/>
              </w:rPr>
              <w:t>Rated below 4.5 stars</w:t>
            </w:r>
          </w:p>
        </w:tc>
        <w:tc>
          <w:tcPr>
            <w:tcW w:type="dxa" w:w="1837"/>
            <w:vAlign w:val="center"/>
            <w:shd w:val="clear" w:color="auto" w:fill="FFFFFF"/>
          </w:tcPr>
          <w:p>
            <w:pPr>
              <w:spacing w:before="40" w:after="40" w:line="240" w:lineRule="auto"/>
              <w:jc w:val="right"/>
            </w:pPr>
            <w:r>
              <w:rPr>
                <w:rFonts w:ascii="Arial" w:hAnsi="Arial" w:eastAsia="Arial" w:cs="Arial"/>
                <w:sz w:val="21"/>
              </w:rPr>
              <w:t>1.1%</w:t>
            </w:r>
          </w:p>
        </w:tc>
        <w:tc>
          <w:tcPr>
            <w:tcW w:type="dxa" w:w="1427"/>
            <w:vAlign w:val="center"/>
            <w:shd w:val="clear" w:color="auto" w:fill="FFFFFF"/>
          </w:tcPr>
          <w:p>
            <w:pPr>
              <w:spacing w:before="40" w:after="40" w:line="240" w:lineRule="auto"/>
              <w:jc w:val="right"/>
            </w:pPr>
            <w:r>
              <w:rPr>
                <w:rFonts w:ascii="Arial" w:hAnsi="Arial" w:eastAsia="Arial" w:cs="Arial"/>
                <w:sz w:val="21"/>
              </w:rPr>
              <w:t>15.2%</w:t>
            </w:r>
          </w:p>
        </w:tc>
        <w:tc>
          <w:tcPr>
            <w:tcW w:type="dxa" w:w="1427"/>
            <w:vAlign w:val="center"/>
            <w:shd w:val="clear" w:color="auto" w:fill="FFFFFF"/>
          </w:tcPr>
          <w:p>
            <w:pPr>
              <w:spacing w:before="40" w:after="40" w:line="240" w:lineRule="auto"/>
              <w:jc w:val="right"/>
            </w:pPr>
            <w:r>
              <w:rPr>
                <w:rFonts w:ascii="Arial" w:hAnsi="Arial" w:eastAsia="Arial" w:cs="Arial"/>
                <w:sz w:val="21"/>
              </w:rPr>
              <w:t>11.6%</w:t>
            </w:r>
          </w:p>
        </w:tc>
      </w:tr>
    </w:tbl>
    <w:p>
      <w:pPr>
        <w:widowControl/>
        <w:spacing w:after="80" w:line="240" w:lineRule="auto"/>
        <w:jc w:val="left"/>
      </w:pPr>
    </w:p>
    <w:p>
      <w:pPr>
        <w:widowControl/>
        <w:spacing w:after="120" w:line="259" w:lineRule="auto"/>
        <w:jc w:val="left"/>
      </w:pPr>
      <w:r>
        <w:rPr>
          <w:rFonts w:ascii="Arial" w:hAnsi="Arial" w:eastAsia="Arial" w:cs="Arial"/>
        </w:rPr>
        <w:t>Busy homes were slightly cheaper but far more often accepted one-night stays and sat in the City of Melbourne (Table 3); their revenue estimate is higher partly because it is calculated from reviews. They were also better rated: only 1.1% averaged below 4.5 stars, against 15.2% of the rest, a gap that holds in each priority group (Huang &amp; Xu, 2026). High activity comes with satisfied guests, not complaints.</w:t>
      </w:r>
    </w:p>
    <w:p>
      <w:pPr>
        <w:pStyle w:val="Heading2"/>
        <w:keepNext/>
      </w:pPr>
      <w:r>
        <w:rPr>
          <w:rFonts w:ascii="Arial" w:hAnsi="Arial" w:eastAsia="Arial" w:cs="Arial"/>
        </w:rPr>
        <w:t>5.2 Descriptive comparison: a simple summary puts City apartments first</w:t>
      </w:r>
    </w:p>
    <w:p>
      <w:pPr>
        <w:widowControl/>
        <w:spacing w:after="120" w:line="259" w:lineRule="auto"/>
        <w:jc w:val="left"/>
      </w:pPr>
      <w:r>
        <w:rPr>
          <w:rFonts w:ascii="Arial" w:hAnsi="Arial" w:eastAsia="Arial" w:cs="Arial"/>
        </w:rPr>
        <w:t>Group rates range from 8.2% to 36.6% against 25.3% overall, and the three priority groups lead (Figure 2, Table 4).</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median estimated nights and annual revenue (AUD)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074"/>
        <w:gridCol w:w="1049"/>
        <w:gridCol w:w="1049"/>
        <w:gridCol w:w="1356"/>
        <w:gridCol w:w="1509"/>
        <w:gridCol w:w="1314"/>
        <w:gridCol w:w="1509"/>
      </w:tblGrid>
      <w:tr>
        <w:trPr>
          <w:cantSplit/>
          <w:tblHeader/>
        </w:trPr>
        <w:tc>
          <w:tcPr>
            <w:tcW w:type="dxa" w:w="2074"/>
            <w:vAlign w:val="center"/>
            <w:shd w:val="clear" w:color="auto" w:fill="E9EEF3"/>
          </w:tcPr>
          <w:p>
            <w:pPr>
              <w:keepNext/>
              <w:spacing w:before="40" w:after="40" w:line="240" w:lineRule="auto"/>
              <w:jc w:val="left"/>
            </w:pPr>
            <w:r>
              <w:rPr>
                <w:rFonts w:ascii="Arial" w:hAnsi="Arial" w:eastAsia="Arial" w:cs="Arial"/>
                <w:b/>
                <w:sz w:val="21"/>
              </w:rPr>
              <w:t>Group</w:t>
            </w:r>
          </w:p>
        </w:tc>
        <w:tc>
          <w:tcPr>
            <w:tcW w:type="dxa" w:w="1049"/>
            <w:vAlign w:val="center"/>
            <w:shd w:val="clear" w:color="auto" w:fill="E9EEF3"/>
          </w:tcPr>
          <w:p>
            <w:pPr>
              <w:keepNext/>
              <w:spacing w:before="40" w:after="40" w:line="240" w:lineRule="auto"/>
              <w:jc w:val="left"/>
            </w:pPr>
            <w:r>
              <w:rPr>
                <w:rFonts w:ascii="Arial" w:hAnsi="Arial" w:eastAsia="Arial" w:cs="Arial"/>
                <w:b/>
                <w:sz w:val="21"/>
              </w:rPr>
              <w:t>Homes</w:t>
            </w:r>
          </w:p>
        </w:tc>
        <w:tc>
          <w:tcPr>
            <w:tcW w:type="dxa" w:w="1049"/>
            <w:vAlign w:val="center"/>
            <w:shd w:val="clear" w:color="auto" w:fill="E9EEF3"/>
          </w:tcPr>
          <w:p>
            <w:pPr>
              <w:keepNext/>
              <w:spacing w:before="40" w:after="40" w:line="240" w:lineRule="auto"/>
              <w:jc w:val="left"/>
            </w:pPr>
            <w:r>
              <w:rPr>
                <w:rFonts w:ascii="Arial" w:hAnsi="Arial" w:eastAsia="Arial" w:cs="Arial"/>
                <w:b/>
                <w:sz w:val="21"/>
              </w:rPr>
              <w:t>Share busy</w:t>
            </w:r>
          </w:p>
        </w:tc>
        <w:tc>
          <w:tcPr>
            <w:tcW w:type="dxa" w:w="1356"/>
            <w:vAlign w:val="center"/>
            <w:shd w:val="clear" w:color="auto" w:fill="E9EEF3"/>
          </w:tcPr>
          <w:p>
            <w:pPr>
              <w:keepNext/>
              <w:spacing w:before="40" w:after="40" w:line="240" w:lineRule="auto"/>
              <w:jc w:val="left"/>
            </w:pPr>
            <w:r>
              <w:rPr>
                <w:rFonts w:ascii="Arial" w:hAnsi="Arial" w:eastAsia="Arial" w:cs="Arial"/>
                <w:b/>
                <w:sz w:val="21"/>
              </w:rPr>
              <w:t>Nights, all homes</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all homes</w:t>
            </w:r>
          </w:p>
        </w:tc>
        <w:tc>
          <w:tcPr>
            <w:tcW w:type="dxa" w:w="1314"/>
            <w:vAlign w:val="center"/>
            <w:shd w:val="clear" w:color="auto" w:fill="E9EEF3"/>
          </w:tcPr>
          <w:p>
            <w:pPr>
              <w:keepNext/>
              <w:spacing w:before="40" w:after="40" w:line="240" w:lineRule="auto"/>
              <w:jc w:val="left"/>
            </w:pPr>
            <w:r>
              <w:rPr>
                <w:rFonts w:ascii="Arial" w:hAnsi="Arial" w:eastAsia="Arial" w:cs="Arial"/>
                <w:b/>
                <w:sz w:val="21"/>
              </w:rPr>
              <w:t>Revenue rank</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below 30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3-bed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306</w:t>
            </w:r>
          </w:p>
        </w:tc>
        <w:tc>
          <w:tcPr>
            <w:tcW w:type="dxa" w:w="1049"/>
            <w:vAlign w:val="center"/>
            <w:shd w:val="clear" w:color="auto" w:fill="FFFFFF"/>
          </w:tcPr>
          <w:p>
            <w:pPr>
              <w:keepNext/>
              <w:spacing w:before="40" w:after="40" w:line="240" w:lineRule="auto"/>
              <w:jc w:val="right"/>
            </w:pPr>
            <w:r>
              <w:rPr>
                <w:rFonts w:ascii="Arial" w:hAnsi="Arial" w:eastAsia="Arial" w:cs="Arial"/>
                <w:sz w:val="21"/>
              </w:rPr>
              <w:t>36.6%</w:t>
            </w:r>
          </w:p>
        </w:tc>
        <w:tc>
          <w:tcPr>
            <w:tcW w:type="dxa" w:w="1356"/>
            <w:vAlign w:val="center"/>
            <w:shd w:val="clear" w:color="auto" w:fill="FFFFFF"/>
          </w:tcPr>
          <w:p>
            <w:pPr>
              <w:keepNext/>
              <w:spacing w:before="40" w:after="40" w:line="240" w:lineRule="auto"/>
              <w:jc w:val="right"/>
            </w:pPr>
            <w:r>
              <w:rPr>
                <w:rFonts w:ascii="Arial" w:hAnsi="Arial" w:eastAsia="Arial" w:cs="Arial"/>
                <w:sz w:val="21"/>
              </w:rPr>
              <w:t>126</w:t>
            </w:r>
          </w:p>
        </w:tc>
        <w:tc>
          <w:tcPr>
            <w:tcW w:type="dxa" w:w="1509"/>
            <w:vAlign w:val="center"/>
            <w:shd w:val="clear" w:color="auto" w:fill="FFFFFF"/>
          </w:tcPr>
          <w:p>
            <w:pPr>
              <w:keepNext/>
              <w:spacing w:before="40" w:after="40" w:line="240" w:lineRule="auto"/>
              <w:jc w:val="right"/>
            </w:pPr>
            <w:r>
              <w:rPr>
                <w:rFonts w:ascii="Arial" w:hAnsi="Arial" w:eastAsia="Arial" w:cs="Arial"/>
                <w:sz w:val="21"/>
              </w:rPr>
              <w:t>48,600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1</w:t>
            </w:r>
          </w:p>
        </w:tc>
        <w:tc>
          <w:tcPr>
            <w:tcW w:type="dxa" w:w="1509"/>
            <w:vAlign w:val="center"/>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2-bed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1,235</w:t>
            </w:r>
          </w:p>
        </w:tc>
        <w:tc>
          <w:tcPr>
            <w:tcW w:type="dxa" w:w="1049"/>
            <w:vAlign w:val="center"/>
            <w:shd w:val="clear" w:color="auto" w:fill="FFFFFF"/>
          </w:tcPr>
          <w:p>
            <w:pPr>
              <w:keepNext/>
              <w:spacing w:before="40" w:after="40" w:line="240" w:lineRule="auto"/>
              <w:jc w:val="right"/>
            </w:pPr>
            <w:r>
              <w:rPr>
                <w:rFonts w:ascii="Arial" w:hAnsi="Arial" w:eastAsia="Arial" w:cs="Arial"/>
                <w:sz w:val="21"/>
              </w:rPr>
              <w:t>32.8%</w:t>
            </w:r>
          </w:p>
        </w:tc>
        <w:tc>
          <w:tcPr>
            <w:tcW w:type="dxa" w:w="1356"/>
            <w:vAlign w:val="center"/>
            <w:shd w:val="clear" w:color="auto" w:fill="FFFFFF"/>
          </w:tcPr>
          <w:p>
            <w:pPr>
              <w:keepNext/>
              <w:spacing w:before="40" w:after="40" w:line="240" w:lineRule="auto"/>
              <w:jc w:val="right"/>
            </w:pPr>
            <w:r>
              <w:rPr>
                <w:rFonts w:ascii="Arial" w:hAnsi="Arial" w:eastAsia="Arial" w:cs="Arial"/>
                <w:sz w:val="21"/>
              </w:rPr>
              <w:t>108</w:t>
            </w:r>
          </w:p>
        </w:tc>
        <w:tc>
          <w:tcPr>
            <w:tcW w:type="dxa" w:w="1509"/>
            <w:vAlign w:val="center"/>
            <w:shd w:val="clear" w:color="auto" w:fill="FFFFFF"/>
          </w:tcPr>
          <w:p>
            <w:pPr>
              <w:keepNext/>
              <w:spacing w:before="40" w:after="40" w:line="240" w:lineRule="auto"/>
              <w:jc w:val="right"/>
            </w:pPr>
            <w:r>
              <w:rPr>
                <w:rFonts w:ascii="Arial" w:hAnsi="Arial" w:eastAsia="Arial" w:cs="Arial"/>
                <w:sz w:val="21"/>
              </w:rPr>
              <w:t>30,600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5</w:t>
            </w:r>
          </w:p>
        </w:tc>
        <w:tc>
          <w:tcPr>
            <w:tcW w:type="dxa" w:w="1509"/>
            <w:vAlign w:val="center"/>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Yarra Ranges 3-bed houses</w:t>
            </w:r>
          </w:p>
        </w:tc>
        <w:tc>
          <w:tcPr>
            <w:tcW w:type="dxa" w:w="1049"/>
            <w:vAlign w:val="center"/>
            <w:shd w:val="clear" w:color="auto" w:fill="FFFFFF"/>
          </w:tcPr>
          <w:p>
            <w:pPr>
              <w:keepNext/>
              <w:spacing w:before="40" w:after="40" w:line="240" w:lineRule="auto"/>
              <w:jc w:val="right"/>
            </w:pPr>
            <w:r>
              <w:rPr>
                <w:rFonts w:ascii="Arial" w:hAnsi="Arial" w:eastAsia="Arial" w:cs="Arial"/>
                <w:sz w:val="21"/>
              </w:rPr>
              <w:t>90</w:t>
            </w:r>
          </w:p>
        </w:tc>
        <w:tc>
          <w:tcPr>
            <w:tcW w:type="dxa" w:w="1049"/>
            <w:vAlign w:val="center"/>
            <w:shd w:val="clear" w:color="auto" w:fill="FFFFFF"/>
          </w:tcPr>
          <w:p>
            <w:pPr>
              <w:keepNext/>
              <w:spacing w:before="40" w:after="40" w:line="240" w:lineRule="auto"/>
              <w:jc w:val="right"/>
            </w:pPr>
            <w:r>
              <w:rPr>
                <w:rFonts w:ascii="Arial" w:hAnsi="Arial" w:eastAsia="Arial" w:cs="Arial"/>
                <w:sz w:val="21"/>
              </w:rPr>
              <w:t>30.0%</w:t>
            </w:r>
          </w:p>
        </w:tc>
        <w:tc>
          <w:tcPr>
            <w:tcW w:type="dxa" w:w="1356"/>
            <w:vAlign w:val="center"/>
            <w:shd w:val="clear" w:color="auto" w:fill="FFFFFF"/>
          </w:tcPr>
          <w:p>
            <w:pPr>
              <w:keepNext/>
              <w:spacing w:before="40" w:after="40" w:line="240" w:lineRule="auto"/>
              <w:jc w:val="right"/>
            </w:pPr>
            <w:r>
              <w:rPr>
                <w:rFonts w:ascii="Arial" w:hAnsi="Arial" w:eastAsia="Arial" w:cs="Arial"/>
                <w:sz w:val="21"/>
              </w:rPr>
              <w:t>120</w:t>
            </w:r>
          </w:p>
        </w:tc>
        <w:tc>
          <w:tcPr>
            <w:tcW w:type="dxa" w:w="1509"/>
            <w:vAlign w:val="center"/>
            <w:shd w:val="clear" w:color="auto" w:fill="FFFFFF"/>
          </w:tcPr>
          <w:p>
            <w:pPr>
              <w:keepNext/>
              <w:spacing w:before="40" w:after="40" w:line="240" w:lineRule="auto"/>
              <w:jc w:val="right"/>
            </w:pPr>
            <w:r>
              <w:rPr>
                <w:rFonts w:ascii="Arial" w:hAnsi="Arial" w:eastAsia="Arial" w:cs="Arial"/>
                <w:sz w:val="21"/>
              </w:rPr>
              <w:t>46,100</w:t>
            </w:r>
          </w:p>
        </w:tc>
        <w:tc>
          <w:tcPr>
            <w:tcW w:type="dxa" w:w="1314"/>
            <w:vAlign w:val="center"/>
            <w:shd w:val="clear" w:color="auto" w:fill="FFFFFF"/>
          </w:tcPr>
          <w:p>
            <w:pPr>
              <w:keepNext/>
              <w:spacing w:before="40" w:after="40" w:line="240" w:lineRule="auto"/>
              <w:jc w:val="right"/>
            </w:pPr>
            <w:r>
              <w:rPr>
                <w:rFonts w:ascii="Arial" w:hAnsi="Arial" w:eastAsia="Arial" w:cs="Arial"/>
                <w:sz w:val="21"/>
              </w:rPr>
              <w:t>2</w:t>
            </w:r>
          </w:p>
        </w:tc>
        <w:tc>
          <w:tcPr>
            <w:tcW w:type="dxa" w:w="1509"/>
            <w:vAlign w:val="center"/>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074"/>
            <w:vAlign w:val="center"/>
            <w:shd w:val="clear" w:color="auto" w:fill="FFFFFF"/>
          </w:tcPr>
          <w:p>
            <w:pPr>
              <w:spacing w:before="40" w:after="40" w:line="240" w:lineRule="auto"/>
              <w:jc w:val="left"/>
            </w:pPr>
            <w:r>
              <w:rPr>
                <w:rFonts w:ascii="Arial" w:hAnsi="Arial" w:eastAsia="Arial" w:cs="Arial"/>
                <w:sz w:val="21"/>
              </w:rPr>
              <w:t>All 14 groups</w:t>
            </w:r>
          </w:p>
        </w:tc>
        <w:tc>
          <w:tcPr>
            <w:tcW w:type="dxa" w:w="1049"/>
            <w:vAlign w:val="center"/>
            <w:shd w:val="clear" w:color="auto" w:fill="FFFFFF"/>
          </w:tcPr>
          <w:p>
            <w:pPr>
              <w:spacing w:before="40" w:after="40" w:line="240" w:lineRule="auto"/>
              <w:jc w:val="right"/>
            </w:pPr>
            <w:r>
              <w:rPr>
                <w:rFonts w:ascii="Arial" w:hAnsi="Arial" w:eastAsia="Arial" w:cs="Arial"/>
                <w:sz w:val="21"/>
              </w:rPr>
              <w:t>3,873</w:t>
            </w:r>
          </w:p>
        </w:tc>
        <w:tc>
          <w:tcPr>
            <w:tcW w:type="dxa" w:w="1049"/>
            <w:vAlign w:val="center"/>
            <w:shd w:val="clear" w:color="auto" w:fill="FFFFFF"/>
          </w:tcPr>
          <w:p>
            <w:pPr>
              <w:spacing w:before="40" w:after="40" w:line="240" w:lineRule="auto"/>
              <w:jc w:val="right"/>
            </w:pPr>
            <w:r>
              <w:rPr>
                <w:rFonts w:ascii="Arial" w:hAnsi="Arial" w:eastAsia="Arial" w:cs="Arial"/>
                <w:sz w:val="21"/>
              </w:rPr>
              <w:t>25.3%</w:t>
            </w:r>
          </w:p>
        </w:tc>
        <w:tc>
          <w:tcPr>
            <w:tcW w:type="dxa" w:w="1356"/>
            <w:vAlign w:val="center"/>
            <w:shd w:val="clear" w:color="auto" w:fill="FFFFFF"/>
          </w:tcPr>
          <w:p>
            <w:pPr>
              <w:spacing w:before="40" w:after="40" w:line="240" w:lineRule="auto"/>
              <w:jc w:val="right"/>
            </w:pPr>
            <w:r>
              <w:rPr>
                <w:rFonts w:ascii="Arial" w:hAnsi="Arial" w:eastAsia="Arial" w:cs="Arial"/>
                <w:sz w:val="21"/>
              </w:rPr>
              <w:t>96</w:t>
            </w:r>
          </w:p>
        </w:tc>
        <w:tc>
          <w:tcPr>
            <w:tcW w:type="dxa" w:w="1509"/>
            <w:vAlign w:val="center"/>
            <w:shd w:val="clear" w:color="auto" w:fill="FFFFFF"/>
          </w:tcPr>
          <w:p>
            <w:pPr>
              <w:spacing w:before="40" w:after="40" w:line="240" w:lineRule="auto"/>
              <w:jc w:val="right"/>
            </w:pPr>
            <w:r>
              <w:rPr>
                <w:rFonts w:ascii="Arial" w:hAnsi="Arial" w:eastAsia="Arial" w:cs="Arial"/>
                <w:sz w:val="21"/>
              </w:rPr>
              <w:t>24,700</w:t>
            </w:r>
          </w:p>
        </w:tc>
        <w:tc>
          <w:tcPr>
            <w:tcW w:type="dxa" w:w="1314"/>
            <w:vAlign w:val="center"/>
            <w:shd w:val="clear" w:color="auto" w:fill="FFFFFF"/>
          </w:tcPr>
          <w:p>
            <w:pPr>
              <w:spacing w:before="40" w:after="40" w:line="240" w:lineRule="auto"/>
              <w:jc w:val="right"/>
            </w:pPr>
            <w:r>
              <w:rPr>
                <w:rFonts w:ascii="Arial" w:hAnsi="Arial" w:eastAsia="Arial" w:cs="Arial"/>
                <w:sz w:val="21"/>
              </w:rPr>
              <w:t>–</w:t>
            </w:r>
          </w:p>
        </w:tc>
        <w:tc>
          <w:tcPr>
            <w:tcW w:type="dxa" w:w="1509"/>
            <w:vAlign w:val="center"/>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rPr>
        <w:t>The same three groups lead without the price or review-history rule (Huang &amp; Xu, 2026). The City groups stayed in the top three in 94% and 90% of 1,000 host redraws and Yarra Ranges houses in 64%, a less certain second option.</w:t>
      </w:r>
    </w:p>
    <w:p>
      <w:pPr>
        <w:widowControl/>
        <w:spacing w:after="120" w:line="259" w:lineRule="auto"/>
        <w:jc w:val="left"/>
      </w:pPr>
      <w:r>
        <w:rPr>
          <w:rFonts w:ascii="Arial" w:hAnsi="Arial" w:eastAsia="Arial" w:cs="Arial"/>
          <w:b/>
        </w:rPr>
        <w:t>When the rankings differ.</w:t>
      </w:r>
      <w:r>
        <w:rPr>
          <w:rFonts w:ascii="Arial" w:hAnsi="Arial" w:eastAsia="Arial" w:cs="Arial"/>
        </w:rPr>
        <w:t xml:space="preserve"> On median revenue (Table 4), Yarra Ranges houses rank second and City two-bedroom apartments fifth, mainly because the houses charge more a night (AUD 426 against 285). With rents unknown, activity guides the search; revenue tests each lease.</w:t>
      </w:r>
    </w:p>
    <w:p>
      <w:pPr>
        <w:pStyle w:val="Heading2"/>
        <w:keepNext/>
      </w:pPr>
      <w:r>
        <w:rPr>
          <w:rFonts w:ascii="Arial" w:hAnsi="Arial" w:eastAsia="Arial" w:cs="Arial"/>
        </w:rPr>
        <w:t>5.3 Predictive analysis: what goes with being busy, and does it help pick homes?</w:t>
      </w:r>
    </w:p>
    <w:p>
      <w:pPr>
        <w:widowControl/>
        <w:spacing w:after="120" w:line="259" w:lineRule="auto"/>
        <w:jc w:val="left"/>
      </w:pPr>
      <w:r>
        <w:rPr>
          <w:rFonts w:ascii="Arial" w:hAnsi="Arial" w:eastAsia="Arial" w:cs="Arial"/>
        </w:rPr>
        <w:t xml:space="preserve">Holding other inputs fixed, three settings an operator controls go with busy homes (Figure 3; Table A1). A typical City two-bedroom apartment has a </w:t>
      </w:r>
      <w:r>
        <w:rPr>
          <w:rFonts w:ascii="Arial" w:hAnsi="Arial" w:eastAsia="Arial" w:cs="Arial"/>
          <w:b/>
        </w:rPr>
        <w:t>42%</w:t>
      </w:r>
      <w:r>
        <w:rPr>
          <w:rFonts w:ascii="Arial" w:hAnsi="Arial" w:eastAsia="Arial" w:cs="Arial"/>
        </w:rPr>
        <w:t xml:space="preserve"> chance of being busy with one-night stays but </w:t>
      </w:r>
      <w:r>
        <w:rPr>
          <w:rFonts w:ascii="Arial" w:hAnsi="Arial" w:eastAsia="Arial" w:cs="Arial"/>
          <w:b/>
        </w:rPr>
        <w:t>18%</w:t>
      </w:r>
      <w:r>
        <w:rPr>
          <w:rFonts w:ascii="Arial" w:hAnsi="Arial" w:eastAsia="Arial" w:cs="Arial"/>
        </w:rPr>
        <w:t xml:space="preserve"> with a two-night minimum or longer. Pricing 20% above similar homes lowers it to </w:t>
      </w:r>
      <w:r>
        <w:rPr>
          <w:rFonts w:ascii="Arial" w:hAnsi="Arial" w:eastAsia="Arial" w:cs="Arial"/>
          <w:b/>
        </w:rPr>
        <w:t>36%</w:t>
      </w:r>
      <w:r>
        <w:rPr>
          <w:rFonts w:ascii="Arial" w:hAnsi="Arial" w:eastAsia="Arial" w:cs="Arial"/>
        </w:rPr>
        <w:t xml:space="preserve">; ten more amenities raise it to </w:t>
      </w:r>
      <w:r>
        <w:rPr>
          <w:rFonts w:ascii="Arial" w:hAnsi="Arial" w:eastAsia="Arial" w:cs="Arial"/>
          <w:b/>
        </w:rPr>
        <w:t>48%</w:t>
      </w:r>
      <w:r>
        <w:rPr>
          <w:rFonts w:ascii="Arial" w:hAnsi="Arial" w:eastAsia="Arial" w:cs="Arial"/>
        </w:rPr>
        <w:t>. These are associations: changing a setting alone does not guarantee more bookings.</w:t>
      </w:r>
    </w:p>
    <w:p>
      <w:pPr>
        <w:keepNext/>
        <w:widowControl/>
        <w:spacing w:after="40" w:before="80" w:line="240" w:lineRule="auto"/>
        <w:jc w:val="center"/>
      </w:pPr>
      <w:r>
        <w:drawing>
          <wp:inline xmlns:a="http://schemas.openxmlformats.org/drawingml/2006/main" xmlns:pic="http://schemas.openxmlformats.org/drawingml/2006/picture">
            <wp:extent cx="6035040" cy="2738634"/>
            <wp:docPr id="3" name="Picture 3"/>
            <wp:cNvGraphicFramePr>
              <a:graphicFrameLocks noChangeAspect="1"/>
            </wp:cNvGraphicFramePr>
            <a:graphic>
              <a:graphicData uri="http://schemas.openxmlformats.org/drawingml/2006/picture">
                <pic:pic>
                  <pic:nvPicPr>
                    <pic:cNvPr id="0" name="figure_3_factors.png"/>
                    <pic:cNvPicPr/>
                  </pic:nvPicPr>
                  <pic:blipFill>
                    <a:blip r:embed="rId22"/>
                    <a:stretch>
                      <a:fillRect/>
                    </a:stretch>
                  </pic:blipFill>
                  <pic:spPr>
                    <a:xfrm>
                      <a:off x="0" y="0"/>
                      <a:ext cx="6035040" cy="273863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Model-estimated chance that a typical City two-bedroom apartment is busy when one input changes, with 95% ranges.</w:t>
      </w:r>
    </w:p>
    <w:p>
      <w:pPr>
        <w:widowControl/>
        <w:spacing w:after="120" w:line="259" w:lineRule="auto"/>
        <w:jc w:val="left"/>
      </w:pPr>
      <w:r>
        <w:rPr>
          <w:rFonts w:ascii="Arial" w:hAnsi="Arial" w:eastAsia="Arial" w:cs="Arial"/>
        </w:rPr>
        <w:t xml:space="preserve">A simple two-setting rule captures most of this (Table 5): in the priority groups, homes that accepted one-night stays and were priced at or below their group median were busy </w:t>
      </w:r>
      <w:r>
        <w:rPr>
          <w:rFonts w:ascii="Arial" w:hAnsi="Arial" w:eastAsia="Arial" w:cs="Arial"/>
          <w:b/>
        </w:rPr>
        <w:t>50.4%</w:t>
      </w:r>
      <w:r>
        <w:rPr>
          <w:rFonts w:ascii="Arial" w:hAnsi="Arial" w:eastAsia="Arial" w:cs="Arial"/>
        </w:rPr>
        <w:t xml:space="preserve"> of the time, and homes with neither </w:t>
      </w:r>
      <w:r>
        <w:rPr>
          <w:rFonts w:ascii="Arial" w:hAnsi="Arial" w:eastAsia="Arial" w:cs="Arial"/>
          <w:b/>
        </w:rPr>
        <w:t>9.3%</w:t>
      </w:r>
      <w:r>
        <w:rPr>
          <w:rFonts w:ascii="Arial" w:hAnsi="Arial" w:eastAsia="Arial" w:cs="Arial"/>
        </w:rPr>
        <w:t>.</w:t>
      </w:r>
    </w:p>
    <w:p>
      <w:pPr>
        <w:keepNext/>
        <w:widowControl/>
        <w:spacing w:after="80" w:before="80" w:line="259" w:lineRule="auto"/>
        <w:jc w:val="left"/>
      </w:pPr>
      <w:r>
        <w:rPr>
          <w:rFonts w:ascii="Arial" w:hAnsi="Arial" w:eastAsia="Arial" w:cs="Arial"/>
          <w:b/>
        </w:rPr>
        <w:t>Table 5. Share of busy homes in the three priority groups, by two settings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468"/>
        <w:gridCol w:w="3198"/>
        <w:gridCol w:w="3198"/>
      </w:tblGrid>
      <w:tr>
        <w:trPr>
          <w:cantSplit/>
          <w:tblHeader/>
        </w:trPr>
        <w:tc>
          <w:tcPr>
            <w:tcW w:type="dxa" w:w="3468"/>
            <w:vAlign w:val="center"/>
            <w:shd w:val="clear" w:color="auto" w:fill="E9EEF3"/>
          </w:tcPr>
          <w:p>
            <w:pPr>
              <w:keepNext/>
              <w:spacing w:before="40" w:after="40" w:line="240" w:lineRule="auto"/>
              <w:jc w:val="left"/>
            </w:pPr>
            <w:r>
              <w:rPr>
                <w:rFonts w:ascii="Arial" w:hAnsi="Arial" w:eastAsia="Arial" w:cs="Arial"/>
                <w:b/>
                <w:sz w:val="21"/>
              </w:rPr>
              <w:t>Minimum stay</w:t>
            </w:r>
          </w:p>
        </w:tc>
        <w:tc>
          <w:tcPr>
            <w:tcW w:type="dxa" w:w="3198"/>
            <w:vAlign w:val="center"/>
            <w:shd w:val="clear" w:color="auto" w:fill="E9EEF3"/>
          </w:tcPr>
          <w:p>
            <w:pPr>
              <w:keepNext/>
              <w:spacing w:before="40" w:after="40" w:line="240" w:lineRule="auto"/>
              <w:jc w:val="left"/>
            </w:pPr>
            <w:r>
              <w:rPr>
                <w:rFonts w:ascii="Arial" w:hAnsi="Arial" w:eastAsia="Arial" w:cs="Arial"/>
                <w:b/>
                <w:sz w:val="21"/>
              </w:rPr>
              <w:t>Price at or below group median</w:t>
            </w:r>
          </w:p>
        </w:tc>
        <w:tc>
          <w:tcPr>
            <w:tcW w:type="dxa" w:w="3198"/>
            <w:vAlign w:val="center"/>
            <w:shd w:val="clear" w:color="auto" w:fill="E9EEF3"/>
          </w:tcPr>
          <w:p>
            <w:pPr>
              <w:keepNext/>
              <w:spacing w:before="40" w:after="40" w:line="240" w:lineRule="auto"/>
              <w:jc w:val="left"/>
            </w:pPr>
            <w:r>
              <w:rPr>
                <w:rFonts w:ascii="Arial" w:hAnsi="Arial" w:eastAsia="Arial" w:cs="Arial"/>
                <w:b/>
                <w:sz w:val="21"/>
              </w:rPr>
              <w:t>Price above group median</w:t>
            </w:r>
          </w:p>
        </w:tc>
      </w:tr>
      <w:tr>
        <w:trPr>
          <w:cantSplit/>
        </w:trPr>
        <w:tc>
          <w:tcPr>
            <w:tcW w:type="dxa" w:w="3468"/>
            <w:vAlign w:val="center"/>
            <w:shd w:val="clear" w:color="auto" w:fill="FFFFFF"/>
          </w:tcPr>
          <w:p>
            <w:pPr>
              <w:keepNext/>
              <w:spacing w:before="40" w:after="40" w:line="240" w:lineRule="auto"/>
              <w:jc w:val="left"/>
            </w:pPr>
            <w:r>
              <w:rPr>
                <w:rFonts w:ascii="Arial" w:hAnsi="Arial" w:eastAsia="Arial" w:cs="Arial"/>
                <w:sz w:val="21"/>
              </w:rPr>
              <w:t>One night accepted</w:t>
            </w:r>
          </w:p>
        </w:tc>
        <w:tc>
          <w:tcPr>
            <w:tcW w:type="dxa" w:w="3198"/>
            <w:vAlign w:val="center"/>
            <w:shd w:val="clear" w:color="auto" w:fill="FFFFFF"/>
          </w:tcPr>
          <w:p>
            <w:pPr>
              <w:keepNext/>
              <w:spacing w:before="40" w:after="40" w:line="240" w:lineRule="auto"/>
              <w:jc w:val="right"/>
            </w:pPr>
            <w:r>
              <w:rPr>
                <w:rFonts w:ascii="Arial" w:hAnsi="Arial" w:eastAsia="Arial" w:cs="Arial"/>
                <w:sz w:val="21"/>
              </w:rPr>
              <w:t>50.4% (462 homes)</w:t>
            </w:r>
          </w:p>
        </w:tc>
        <w:tc>
          <w:tcPr>
            <w:tcW w:type="dxa" w:w="3198"/>
            <w:vAlign w:val="center"/>
            <w:shd w:val="clear" w:color="auto" w:fill="FFFFFF"/>
          </w:tcPr>
          <w:p>
            <w:pPr>
              <w:keepNext/>
              <w:spacing w:before="40" w:after="40" w:line="240" w:lineRule="auto"/>
              <w:jc w:val="right"/>
            </w:pPr>
            <w:r>
              <w:rPr>
                <w:rFonts w:ascii="Arial" w:hAnsi="Arial" w:eastAsia="Arial" w:cs="Arial"/>
                <w:sz w:val="21"/>
              </w:rPr>
              <w:t>36.1% (477 homes)</w:t>
            </w:r>
          </w:p>
        </w:tc>
      </w:tr>
      <w:tr>
        <w:trPr>
          <w:cantSplit/>
        </w:trPr>
        <w:tc>
          <w:tcPr>
            <w:tcW w:type="dxa" w:w="3468"/>
            <w:vAlign w:val="center"/>
            <w:shd w:val="clear" w:color="auto" w:fill="FFFFFF"/>
          </w:tcPr>
          <w:p>
            <w:pPr>
              <w:spacing w:before="40" w:after="40" w:line="240" w:lineRule="auto"/>
              <w:jc w:val="left"/>
            </w:pPr>
            <w:r>
              <w:rPr>
                <w:rFonts w:ascii="Arial" w:hAnsi="Arial" w:eastAsia="Arial" w:cs="Arial"/>
                <w:sz w:val="21"/>
              </w:rPr>
              <w:t>Two nights or more</w:t>
            </w:r>
          </w:p>
        </w:tc>
        <w:tc>
          <w:tcPr>
            <w:tcW w:type="dxa" w:w="3198"/>
            <w:vAlign w:val="center"/>
            <w:shd w:val="clear" w:color="auto" w:fill="FFFFFF"/>
          </w:tcPr>
          <w:p>
            <w:pPr>
              <w:spacing w:before="40" w:after="40" w:line="240" w:lineRule="auto"/>
              <w:jc w:val="right"/>
            </w:pPr>
            <w:r>
              <w:rPr>
                <w:rFonts w:ascii="Arial" w:hAnsi="Arial" w:eastAsia="Arial" w:cs="Arial"/>
                <w:sz w:val="21"/>
              </w:rPr>
              <w:t>30.2% (358 homes)</w:t>
            </w:r>
          </w:p>
        </w:tc>
        <w:tc>
          <w:tcPr>
            <w:tcW w:type="dxa" w:w="3198"/>
            <w:vAlign w:val="center"/>
            <w:shd w:val="clear" w:color="auto" w:fill="FFFFFF"/>
          </w:tcPr>
          <w:p>
            <w:pPr>
              <w:spacing w:before="40" w:after="40" w:line="240" w:lineRule="auto"/>
              <w:jc w:val="right"/>
            </w:pPr>
            <w:r>
              <w:rPr>
                <w:rFonts w:ascii="Arial" w:hAnsi="Arial" w:eastAsia="Arial" w:cs="Arial"/>
                <w:sz w:val="21"/>
              </w:rPr>
              <w:t>9.3% (334 homes)</w:t>
            </w:r>
          </w:p>
        </w:tc>
      </w:tr>
    </w:tbl>
    <w:p>
      <w:pPr>
        <w:widowControl/>
        <w:spacing w:after="80" w:line="240" w:lineRule="auto"/>
        <w:jc w:val="left"/>
      </w:pPr>
    </w:p>
    <w:p>
      <w:pPr>
        <w:widowControl/>
        <w:spacing w:after="120" w:line="259" w:lineRule="auto"/>
        <w:jc w:val="left"/>
      </w:pPr>
      <w:r>
        <w:rPr>
          <w:rFonts w:ascii="Arial" w:hAnsi="Arial" w:eastAsia="Arial" w:cs="Arial"/>
        </w:rPr>
        <w:t xml:space="preserve">Tested on unseen hosts, the model's top quarter of each priority group was busy </w:t>
      </w:r>
      <w:r>
        <w:rPr>
          <w:rFonts w:ascii="Arial" w:hAnsi="Arial" w:eastAsia="Arial" w:cs="Arial"/>
          <w:b/>
        </w:rPr>
        <w:t>49.6%</w:t>
      </w:r>
      <w:r>
        <w:rPr>
          <w:rFonts w:ascii="Arial" w:hAnsi="Arial" w:eastAsia="Arial" w:cs="Arial"/>
        </w:rPr>
        <w:t xml:space="preserve"> of the time, against </w:t>
      </w:r>
      <w:r>
        <w:rPr>
          <w:rFonts w:ascii="Arial" w:hAnsi="Arial" w:eastAsia="Arial" w:cs="Arial"/>
          <w:b/>
        </w:rPr>
        <w:t>38.6%</w:t>
      </w:r>
      <w:r>
        <w:rPr>
          <w:rFonts w:ascii="Arial" w:hAnsi="Arial" w:eastAsia="Arial" w:cs="Arial"/>
        </w:rPr>
        <w:t xml:space="preserve"> for the reduced model and </w:t>
      </w:r>
      <w:r>
        <w:rPr>
          <w:rFonts w:ascii="Arial" w:hAnsi="Arial" w:eastAsia="Arial" w:cs="Arial"/>
          <w:b/>
        </w:rPr>
        <w:t>32.4%</w:t>
      </w:r>
      <w:r>
        <w:rPr>
          <w:rFonts w:ascii="Arial" w:hAnsi="Arial" w:eastAsia="Arial" w:cs="Arial"/>
        </w:rPr>
        <w:t xml:space="preserve"> at random (Figure 4), winning 46 of 50 tests. The two-setting rule does about as well: it picks 28% of homes, and 50.4% of them were busy, though it was checked on the homes that suggested it. The model's value is in showing which settings matter; Table A2 gives its hits and misses.</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4" name="Picture 4"/>
            <wp:cNvGraphicFramePr>
              <a:graphicFrameLocks noChangeAspect="1"/>
            </wp:cNvGraphicFramePr>
            <a:graphic>
              <a:graphicData uri="http://schemas.openxmlformats.org/drawingml/2006/picture">
                <pic:pic>
                  <pic:nvPicPr>
                    <pic:cNvPr id="0" name="figure_4_screening.png"/>
                    <pic:cNvPicPr/>
                  </pic:nvPicPr>
                  <pic:blipFill>
                    <a:blip r:embed="rId23"/>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Busy share of picked homes (a quarter of each priority group), averaged over 50 tests.</w:t>
      </w:r>
    </w:p>
    <w:p>
      <w:pPr>
        <w:pStyle w:val="Heading2"/>
        <w:keepNext/>
      </w:pPr>
      <w:r>
        <w:rPr>
          <w:rFonts w:ascii="Arial" w:hAnsi="Arial" w:eastAsia="Arial" w:cs="Arial"/>
        </w:rPr>
        <w:t>5.4 Over time: the leading groups stayed ahead</w:t>
      </w:r>
    </w:p>
    <w:p>
      <w:pPr>
        <w:widowControl/>
        <w:spacing w:after="120" w:line="259" w:lineRule="auto"/>
        <w:jc w:val="left"/>
      </w:pPr>
      <w:r>
        <w:rPr>
          <w:rFonts w:ascii="Arial" w:hAnsi="Arial" w:eastAsia="Arial" w:cs="Arial"/>
        </w:rPr>
        <w:t>For 2,657 homes with two years of reviews in ten groups, the earlier year's top three were the same priority groups: 33.6% of their homes reached that year's reference level of 34 reviews, against 19.9% elsewhere (Figure 5). A year later they still led (</w:t>
      </w:r>
      <w:r>
        <w:rPr>
          <w:rFonts w:ascii="Arial" w:hAnsi="Arial" w:eastAsia="Arial" w:cs="Arial"/>
          <w:b/>
        </w:rPr>
        <w:t>27.1% against 14.9%</w:t>
      </w:r>
      <w:r>
        <w:rPr>
          <w:rFonts w:ascii="Arial" w:hAnsi="Arial" w:eastAsia="Arial" w:cs="Arial"/>
        </w:rPr>
        <w:t>) and remained the top three, although Yarra Ranges houses fell to 21.4%. With hosts weighted equally, the later-year lead is 8.7 points.</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5" name="Picture 5"/>
            <wp:cNvGraphicFramePr>
              <a:graphicFrameLocks noChangeAspect="1"/>
            </wp:cNvGraphicFramePr>
            <a:graphic>
              <a:graphicData uri="http://schemas.openxmlformats.org/drawingml/2006/picture">
                <pic:pic>
                  <pic:nvPicPr>
                    <pic:cNvPr id="0" name="figure_5_two_years.png"/>
                    <pic:cNvPicPr/>
                  </pic:nvPicPr>
                  <pic:blipFill>
                    <a:blip r:embed="rId24"/>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5.</w:t>
      </w:r>
      <w:r>
        <w:rPr>
          <w:rFonts w:ascii="Arial" w:hAnsi="Arial" w:eastAsia="Arial" w:cs="Arial"/>
        </w:rPr>
        <w:t xml:space="preserve"> The same 2,657 homes in two consecutive years; target 34 reviews.</w:t>
      </w:r>
    </w:p>
    <w:p>
      <w:pPr>
        <w:pStyle w:val="Heading1"/>
        <w:keepNext/>
        <w:pageBreakBefore w:val="0"/>
      </w:pPr>
      <w:r>
        <w:rPr>
          <w:rFonts w:ascii="Arial" w:hAnsi="Arial" w:eastAsia="Arial" w:cs="Arial"/>
        </w:rPr>
        <w:t>6. Key Findings and Recommendations</w:t>
      </w:r>
    </w:p>
    <w:p>
      <w:pPr>
        <w:pStyle w:val="Heading2"/>
        <w:keepNext/>
      </w:pPr>
      <w:r>
        <w:rPr>
          <w:rFonts w:ascii="Arial" w:hAnsi="Arial" w:eastAsia="Arial" w:cs="Arial"/>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led on busy homes and above-median revenue, followed less certainly by Yarra Ranges three-bedroom houses; all three stayed ahead a year later (Figures 2 and 5,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What goes with high activity:</w:t>
      </w:r>
      <w:r>
        <w:rPr>
          <w:rFonts w:ascii="Arial" w:hAnsi="Arial" w:eastAsia="Arial" w:cs="Arial"/>
        </w:rPr>
        <w:t xml:space="preserve"> One-night stays and a price at or below similar homes. In the priority groups, 50.4% of homes with both were busy, against 9.3% with neither (Table 5, Figure 3), though part of the one-night effect is built into the review count. Busy homes were also better rated (Table 3).</w:t>
      </w:r>
    </w:p>
    <w:p>
      <w:pPr>
        <w:widowControl/>
        <w:spacing w:after="80" w:line="259" w:lineRule="auto"/>
        <w:ind w:left="432" w:hanging="432"/>
        <w:jc w:val="left"/>
      </w:pPr>
      <w:r>
        <w:rPr>
          <w:rFonts w:ascii="Arial" w:hAnsi="Arial" w:eastAsia="Arial" w:cs="Arial"/>
        </w:rPr>
        <w:t>3.</w:t>
        <w:tab/>
      </w:r>
      <w:r>
        <w:rPr>
          <w:rFonts w:ascii="Arial" w:hAnsi="Arial" w:eastAsia="Arial" w:cs="Arial"/>
          <w:b/>
        </w:rPr>
        <w:t>Which home first:</w:t>
      </w:r>
      <w:r>
        <w:rPr>
          <w:rFonts w:ascii="Arial" w:hAnsi="Arial" w:eastAsia="Arial" w:cs="Arial"/>
        </w:rPr>
        <w:t xml:space="preserve"> These two settings pick busy homes about as well as the model: one in two, against one in three at random (Figure 4).</w:t>
      </w:r>
    </w:p>
    <w:p>
      <w:pPr>
        <w:pStyle w:val="Heading2"/>
        <w:keepNext/>
      </w:pPr>
      <w:r>
        <w:rPr>
          <w:rFonts w:ascii="Arial" w:hAnsi="Arial" w:eastAsia="Arial" w:cs="Arial"/>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 then Yarra Ranges three-bedroom houses</w:t>
      </w:r>
      <w:r>
        <w:rPr>
          <w:rFonts w:ascii="Arial" w:hAnsi="Arial" w:eastAsia="Arial" w:cs="Arial"/>
        </w:rPr>
        <w:t xml:space="preserve"> (Figure 2, Table 4). Between leases that pass, choose the larger cash-flow margin; if margins are similar, choose the group with the higher share of busy homes.</w:t>
      </w:r>
    </w:p>
    <w:p>
      <w:pPr>
        <w:widowControl/>
        <w:spacing w:after="80" w:line="259" w:lineRule="auto"/>
        <w:ind w:left="432" w:hanging="432"/>
        <w:jc w:val="left"/>
      </w:pPr>
      <w:r>
        <w:rPr>
          <w:rFonts w:ascii="Arial" w:hAnsi="Arial" w:eastAsia="Arial" w:cs="Arial"/>
        </w:rPr>
        <w:t>2.</w:t>
        <w:tab/>
      </w:r>
      <w:r>
        <w:rPr>
          <w:rFonts w:ascii="Arial" w:hAnsi="Arial" w:eastAsia="Arial" w:cs="Arial"/>
          <w:b/>
        </w:rPr>
        <w:t>Prefer homes that can take one-night stays at a price at or below similar listings</w:t>
      </w:r>
      <w:r>
        <w:rPr>
          <w:rFonts w:ascii="Arial" w:hAnsi="Arial" w:eastAsia="Arial" w:cs="Arial"/>
        </w:rPr>
        <w:t xml:space="preserve"> (Table 5, Figure 3). At inspection, check that building rules allow one-night stays and that this price covers costs (Recommendation 3); then run the home this way (Table 6).</w:t>
      </w:r>
    </w:p>
    <w:p>
      <w:pPr>
        <w:widowControl/>
        <w:spacing w:after="80" w:line="259" w:lineRule="auto"/>
        <w:ind w:left="432" w:hanging="432"/>
        <w:jc w:val="left"/>
      </w:pPr>
      <w:r>
        <w:rPr>
          <w:rFonts w:ascii="Arial" w:hAnsi="Arial" w:eastAsia="Arial" w:cs="Arial"/>
        </w:rPr>
        <w:t>3.</w:t>
        <w:tab/>
      </w:r>
      <w:r>
        <w:rPr>
          <w:rFonts w:ascii="Arial" w:hAnsi="Arial" w:eastAsia="Arial" w:cs="Arial"/>
          <w:b/>
        </w:rPr>
        <w:t>Compare weekly rent and running costs with group revenue</w:t>
      </w:r>
      <w:r>
        <w:rPr>
          <w:rFonts w:ascii="Arial" w:hAnsi="Arial" w:eastAsia="Arial" w:cs="Arial"/>
        </w:rPr>
        <w:t xml:space="preserve"> (Figure 6). Typical weekly revenue (all-home medians) is </w:t>
      </w:r>
      <w:r>
        <w:rPr>
          <w:rFonts w:ascii="Arial" w:hAnsi="Arial" w:eastAsia="Arial" w:cs="Arial"/>
          <w:b/>
        </w:rPr>
        <w:t>AUD 590</w:t>
      </w:r>
      <w:r>
        <w:rPr>
          <w:rFonts w:ascii="Arial" w:hAnsi="Arial" w:eastAsia="Arial" w:cs="Arial"/>
        </w:rPr>
        <w:t xml:space="preserve"> for City two-bedroom apartments, </w:t>
      </w:r>
      <w:r>
        <w:rPr>
          <w:rFonts w:ascii="Arial" w:hAnsi="Arial" w:eastAsia="Arial" w:cs="Arial"/>
          <w:b/>
        </w:rPr>
        <w:t>930</w:t>
      </w:r>
      <w:r>
        <w:rPr>
          <w:rFonts w:ascii="Arial" w:hAnsi="Arial" w:eastAsia="Arial" w:cs="Arial"/>
        </w:rPr>
        <w:t xml:space="preserve"> for City three-bedroom apartments and </w:t>
      </w:r>
      <w:r>
        <w:rPr>
          <w:rFonts w:ascii="Arial" w:hAnsi="Arial" w:eastAsia="Arial" w:cs="Arial"/>
          <w:b/>
        </w:rPr>
        <w:t>890</w:t>
      </w:r>
      <w:r>
        <w:rPr>
          <w:rFonts w:ascii="Arial" w:hAnsi="Arial" w:eastAsia="Arial" w:cs="Arial"/>
        </w:rPr>
        <w:t xml:space="preserve"> for Yarra Ranges houses; below-target medians are </w:t>
      </w:r>
      <w:r>
        <w:rPr>
          <w:rFonts w:ascii="Arial" w:hAnsi="Arial" w:eastAsia="Arial" w:cs="Arial"/>
          <w:b/>
        </w:rPr>
        <w:t>320, 620 and 600</w:t>
      </w:r>
      <w:r>
        <w:rPr>
          <w:rFonts w:ascii="Arial" w:hAnsi="Arial" w:eastAsia="Arial" w:cs="Arial"/>
        </w:rPr>
        <w:t>. Only about half of a group's homes covered a cost equal to its typical figure. Drop candidates costing more than typical revenue, assess the rest through their own cash-flow plans, and budget for a year of the below-target shortfall.</w:t>
      </w:r>
    </w:p>
    <w:p>
      <w:pPr>
        <w:keepNext/>
        <w:widowControl/>
        <w:spacing w:after="80" w:before="80" w:line="259" w:lineRule="auto"/>
        <w:jc w:val="left"/>
      </w:pPr>
      <w:r>
        <w:rPr>
          <w:rFonts w:ascii="Arial" w:hAnsi="Arial" w:eastAsia="Arial" w:cs="Arial"/>
          <w:b/>
        </w:rPr>
        <w:t>Table 6.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1949"/>
        <w:gridCol w:w="4366"/>
        <w:gridCol w:w="3549"/>
      </w:tblGrid>
      <w:tr>
        <w:trPr>
          <w:cantSplit/>
          <w:tblHeader/>
        </w:trPr>
        <w:tc>
          <w:tcPr>
            <w:tcW w:type="dxa" w:w="1949"/>
            <w:vAlign w:val="center"/>
            <w:shd w:val="clear" w:color="auto" w:fill="E9EEF3"/>
          </w:tcPr>
          <w:p>
            <w:pPr>
              <w:keepNext/>
              <w:spacing w:before="40" w:after="40" w:line="240" w:lineRule="auto"/>
              <w:jc w:val="left"/>
            </w:pPr>
            <w:r>
              <w:rPr>
                <w:rFonts w:ascii="Arial" w:hAnsi="Arial" w:eastAsia="Arial" w:cs="Arial"/>
                <w:b/>
                <w:sz w:val="21"/>
              </w:rPr>
              <w:t>Timing and owner</w:t>
            </w:r>
          </w:p>
        </w:tc>
        <w:tc>
          <w:tcPr>
            <w:tcW w:type="dxa" w:w="4366"/>
            <w:vAlign w:val="center"/>
            <w:shd w:val="clear" w:color="auto" w:fill="E9EEF3"/>
          </w:tcPr>
          <w:p>
            <w:pPr>
              <w:keepNext/>
              <w:spacing w:before="40" w:after="40" w:line="240" w:lineRule="auto"/>
              <w:jc w:val="left"/>
            </w:pPr>
            <w:r>
              <w:rPr>
                <w:rFonts w:ascii="Arial" w:hAnsi="Arial" w:eastAsia="Arial" w:cs="Arial"/>
                <w:b/>
                <w:sz w:val="21"/>
              </w:rPr>
              <w:t>Action</w:t>
            </w:r>
          </w:p>
        </w:tc>
        <w:tc>
          <w:tcPr>
            <w:tcW w:type="dxa" w:w="3549"/>
            <w:vAlign w:val="center"/>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1949"/>
            <w:vAlign w:val="center"/>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4366"/>
            <w:vAlign w:val="center"/>
            <w:shd w:val="clear" w:color="auto" w:fill="FFFFFF"/>
          </w:tcPr>
          <w:p>
            <w:pPr>
              <w:keepNext/>
              <w:spacing w:before="40" w:after="40" w:line="240" w:lineRule="auto"/>
              <w:jc w:val="left"/>
            </w:pPr>
            <w:r>
              <w:rPr>
                <w:rFonts w:ascii="Arial" w:hAnsi="Arial" w:eastAsia="Arial" w:cs="Arial"/>
                <w:sz w:val="21"/>
              </w:rPr>
              <w:t>Pool ten candidate homes in the priority groups; check one-night stays and price</w:t>
            </w:r>
          </w:p>
        </w:tc>
        <w:tc>
          <w:tcPr>
            <w:tcW w:type="dxa" w:w="3549"/>
            <w:vAlign w:val="center"/>
            <w:shd w:val="clear" w:color="auto" w:fill="FFFFFF"/>
          </w:tcPr>
          <w:p>
            <w:pPr>
              <w:keepNext/>
              <w:spacing w:before="40" w:after="40" w:line="240" w:lineRule="auto"/>
              <w:jc w:val="left"/>
            </w:pPr>
            <w:r>
              <w:rPr>
                <w:rFonts w:ascii="Arial" w:hAnsi="Arial" w:eastAsia="Arial" w:cs="Arial"/>
                <w:sz w:val="21"/>
              </w:rPr>
              <w:t>Inspect homes meeting both first, in group order</w:t>
            </w:r>
          </w:p>
        </w:tc>
      </w:tr>
      <w:tr>
        <w:trPr>
          <w:cantSplit/>
        </w:trPr>
        <w:tc>
          <w:tcPr>
            <w:tcW w:type="dxa" w:w="1949"/>
            <w:vAlign w:val="center"/>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4366"/>
            <w:vAlign w:val="center"/>
            <w:shd w:val="clear" w:color="auto" w:fill="FFFFFF"/>
          </w:tcPr>
          <w:p>
            <w:pPr>
              <w:keepNext/>
              <w:spacing w:before="40" w:after="40" w:line="240" w:lineRule="auto"/>
              <w:jc w:val="left"/>
            </w:pPr>
            <w:r>
              <w:rPr>
                <w:rFonts w:ascii="Arial" w:hAnsi="Arial" w:eastAsia="Arial" w:cs="Arial"/>
                <w:sz w:val="21"/>
              </w:rPr>
              <w:t>Get written landlord consent; check that no owners' corporation rule bans stays under 28 days (Consumer Affairs Victoria, n.d.); negotiate rent; get cost quotes</w:t>
            </w:r>
          </w:p>
        </w:tc>
        <w:tc>
          <w:tcPr>
            <w:tcW w:type="dxa" w:w="3549"/>
            <w:vAlign w:val="center"/>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1949"/>
            <w:vAlign w:val="center"/>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4366"/>
            <w:vAlign w:val="center"/>
            <w:shd w:val="clear" w:color="auto" w:fill="FFFFFF"/>
          </w:tcPr>
          <w:p>
            <w:pPr>
              <w:keepNext/>
              <w:spacing w:before="40" w:after="40" w:line="240" w:lineRule="auto"/>
              <w:jc w:val="left"/>
            </w:pPr>
            <w:r>
              <w:rPr>
                <w:rFonts w:ascii="Arial" w:hAnsi="Arial" w:eastAsia="Arial" w:cs="Arial"/>
                <w:sz w:val="21"/>
              </w:rPr>
              <w:t>Cash-flow plan: quotes and Victoria's 7.5% short-stay levy (State Revenue Office Victoria, n.d.) against typical and below-target revenue (Figure 6)</w:t>
            </w:r>
          </w:p>
        </w:tc>
        <w:tc>
          <w:tcPr>
            <w:tcW w:type="dxa" w:w="3549"/>
            <w:vAlign w:val="center"/>
            <w:shd w:val="clear" w:color="auto" w:fill="FFFFFF"/>
          </w:tcPr>
          <w:p>
            <w:pPr>
              <w:keepNext/>
              <w:spacing w:before="40" w:after="40" w:line="240" w:lineRule="auto"/>
              <w:jc w:val="left"/>
            </w:pPr>
            <w:r>
              <w:rPr>
                <w:rFonts w:ascii="Arial" w:hAnsi="Arial" w:eastAsia="Arial" w:cs="Arial"/>
                <w:sz w:val="21"/>
              </w:rPr>
              <w:t>Sign only if the plan covers setup costs and required return, and the buffer covers a year of below-target loss</w:t>
            </w:r>
          </w:p>
        </w:tc>
      </w:tr>
      <w:tr>
        <w:trPr>
          <w:cantSplit/>
        </w:trPr>
        <w:tc>
          <w:tcPr>
            <w:tcW w:type="dxa" w:w="1949"/>
            <w:vAlign w:val="center"/>
            <w:shd w:val="clear" w:color="auto" w:fill="FFFFFF"/>
          </w:tcPr>
          <w:p>
            <w:pPr>
              <w:spacing w:before="40" w:after="40" w:line="240" w:lineRule="auto"/>
              <w:jc w:val="left"/>
            </w:pPr>
            <w:r>
              <w:rPr>
                <w:rFonts w:ascii="Arial" w:hAnsi="Arial" w:eastAsia="Arial" w:cs="Arial"/>
                <w:b/>
                <w:sz w:val="21"/>
              </w:rPr>
              <w:t>First 30 days</w:t>
            </w:r>
            <w:r>
              <w:rPr>
                <w:rFonts w:ascii="Arial" w:hAnsi="Arial" w:eastAsia="Arial" w:cs="Arial"/>
                <w:sz w:val="21"/>
              </w:rPr>
              <w:t xml:space="preserve"> (Operator)</w:t>
            </w:r>
          </w:p>
        </w:tc>
        <w:tc>
          <w:tcPr>
            <w:tcW w:type="dxa" w:w="4366"/>
            <w:vAlign w:val="center"/>
            <w:shd w:val="clear" w:color="auto" w:fill="FFFFFF"/>
          </w:tcPr>
          <w:p>
            <w:pPr>
              <w:spacing w:before="40" w:after="40" w:line="240" w:lineRule="auto"/>
              <w:jc w:val="left"/>
            </w:pPr>
            <w:r>
              <w:rPr>
                <w:rFonts w:ascii="Arial" w:hAnsi="Arial" w:eastAsia="Arial" w:cs="Arial"/>
                <w:sz w:val="21"/>
              </w:rPr>
              <w:t>Record paid nights, stay length, workload, net cash flow and reviews</w:t>
            </w:r>
          </w:p>
        </w:tc>
        <w:tc>
          <w:tcPr>
            <w:tcW w:type="dxa" w:w="3549"/>
            <w:vAlign w:val="center"/>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keepNext/>
        <w:widowControl/>
        <w:spacing w:after="40" w:before="80" w:line="240" w:lineRule="auto"/>
        <w:jc w:val="center"/>
      </w:pPr>
      <w:r>
        <w:drawing>
          <wp:inline xmlns:a="http://schemas.openxmlformats.org/drawingml/2006/main" xmlns:pic="http://schemas.openxmlformats.org/drawingml/2006/picture">
            <wp:extent cx="6035040" cy="2482294"/>
            <wp:docPr id="6" name="Picture 6"/>
            <wp:cNvGraphicFramePr>
              <a:graphicFrameLocks noChangeAspect="1"/>
            </wp:cNvGraphicFramePr>
            <a:graphic>
              <a:graphicData uri="http://schemas.openxmlformats.org/drawingml/2006/picture">
                <pic:pic>
                  <pic:nvPicPr>
                    <pic:cNvPr id="0" name="figure_6_weekly_reach.png"/>
                    <pic:cNvPicPr/>
                  </pic:nvPicPr>
                  <pic:blipFill>
                    <a:blip r:embed="rId25"/>
                    <a:stretch>
                      <a:fillRect/>
                    </a:stretch>
                  </pic:blipFill>
                  <pic:spPr>
                    <a:xfrm>
                      <a:off x="0" y="0"/>
                      <a:ext cx="6035040" cy="2482294"/>
                    </a:xfrm>
                    <a:prstGeom prst="rect"/>
                  </pic:spPr>
                </pic:pic>
              </a:graphicData>
            </a:graphic>
          </wp:inline>
        </w:drawing>
      </w:r>
    </w:p>
    <w:p>
      <w:pPr>
        <w:pStyle w:val="Caption"/>
      </w:pPr>
      <w:r>
        <w:rPr>
          <w:rFonts w:ascii="Arial" w:hAnsi="Arial" w:eastAsia="Arial" w:cs="Arial"/>
          <w:b/>
        </w:rPr>
        <w:t>Figure 6.</w:t>
      </w:r>
      <w:r>
        <w:rPr>
          <w:rFonts w:ascii="Arial" w:hAnsi="Arial" w:eastAsia="Arial" w:cs="Arial"/>
        </w:rPr>
        <w:t xml:space="preserve"> Share of each priority group's homes whose estimated weekly revenue reached a given weekly cost.</w:t>
      </w:r>
    </w:p>
    <w:p>
      <w:pPr>
        <w:widowControl/>
        <w:spacing w:after="120" w:line="259" w:lineRule="auto"/>
        <w:jc w:val="left"/>
      </w:pPr>
      <w:r>
        <w:rPr>
          <w:rFonts w:ascii="Arial" w:hAnsi="Arial" w:eastAsia="Arial" w:cs="Arial"/>
          <w:b/>
        </w:rPr>
        <w:t>Worked example (illustrative costs).</w:t>
      </w:r>
      <w:r>
        <w:rPr>
          <w:rFonts w:ascii="Arial" w:hAnsi="Arial" w:eastAsia="Arial" w:cs="Arial"/>
        </w:rPr>
        <w:t xml:space="preserve"> A City two-bedroom apartment costing </w:t>
      </w:r>
      <w:r>
        <w:rPr>
          <w:rFonts w:ascii="Arial" w:hAnsi="Arial" w:eastAsia="Arial" w:cs="Arial"/>
          <w:b/>
        </w:rPr>
        <w:t>AUD 620</w:t>
      </w:r>
      <w:r>
        <w:rPr>
          <w:rFonts w:ascii="Arial" w:hAnsi="Arial" w:eastAsia="Arial" w:cs="Arial"/>
        </w:rPr>
        <w:t xml:space="preserve"> a week in rent and running costs exceeds its group's typical AUD 590 and is dropped. A Yarra Ranges house costing </w:t>
      </w:r>
      <w:r>
        <w:rPr>
          <w:rFonts w:ascii="Arial" w:hAnsi="Arial" w:eastAsia="Arial" w:cs="Arial"/>
          <w:b/>
        </w:rPr>
        <w:t>AUD 700</w:t>
      </w:r>
      <w:r>
        <w:rPr>
          <w:rFonts w:ascii="Arial" w:hAnsi="Arial" w:eastAsia="Arial" w:cs="Arial"/>
        </w:rPr>
        <w:t xml:space="preserve"> clears its typical AUD 890; earning like a below-target home (AUD 600), it would lose AUD 100 a week, so the buffer needs AUD 5,200 a year, plus setup costs and the required return.</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are not bookings, profit or satisfaction.</w:t>
      </w:r>
      <w:r>
        <w:rPr>
          <w:rFonts w:ascii="Arial" w:hAnsi="Arial" w:eastAsia="Arial" w:cs="Arial"/>
        </w:rPr>
        <w:t xml:space="preserve"> Inside Airbnb's 50% review rate sits within published estimates of 30.5%–72% (Inside Airbnb, n.d.), so dollar figures are rough; activity also fell in the later year (Figure 5). Ratings are lifetime averages near five stars, and we did not analyse review text.</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Homes that left Airbnb are missing, revenue uses June–July prices, and new entrants, unpriced listings and outer areas are not covered.</w:t>
      </w:r>
    </w:p>
    <w:p>
      <w:pPr>
        <w:pStyle w:val="ListBullet"/>
        <w:widowControl/>
        <w:spacing w:after="80" w:line="259" w:lineRule="auto"/>
        <w:jc w:val="left"/>
      </w:pPr>
      <w:r>
        <w:rPr>
          <w:rFonts w:ascii="Arial" w:hAnsi="Arial" w:eastAsia="Arial" w:cs="Arial"/>
          <w:b/>
        </w:rPr>
        <w:t>Short stays inflate reviews and revenue.</w:t>
      </w:r>
      <w:r>
        <w:rPr>
          <w:rFonts w:ascii="Arial" w:hAnsi="Arial" w:eastAsia="Arial" w:cs="Arial"/>
        </w:rPr>
        <w:t xml:space="preserve"> A one-night minimum allows more stays for the same nights, so part of its effect is built into the target, and counting each stay as three nights may overstate revenue.</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may respond to earlier performance, and we chose the inputs, rule and priority groups after seeing all homes, so the tests may overstate the gain.</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Next, collect rent and cost quotes, track paid nights and net cash flow to test whether review activity identifies good businesses, and recheck the groups, model and two-setting rule on the next snapshot.</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6">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https://github.com/maksym-xu/CMCE30005-TheNextChapter/tree/main</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7">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8">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29">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Earlier team contributions are recorded in the repository guide.</w:t>
      </w:r>
    </w:p>
    <w:p>
      <w:pPr>
        <w:pStyle w:val="Heading1"/>
        <w:keepNext/>
        <w:pageBreakBefore/>
      </w:pPr>
      <w:r>
        <w:rPr>
          <w:rFonts w:ascii="Arial" w:hAnsi="Arial" w:eastAsia="Arial" w:cs="Arial"/>
        </w:rPr>
        <w:t>Appendix A. Model Details</w:t>
      </w:r>
    </w:p>
    <w:p>
      <w:pPr>
        <w:widowControl/>
        <w:spacing w:after="120" w:line="259" w:lineRule="auto"/>
        <w:jc w:val="left"/>
      </w:pPr>
      <w:r>
        <w:rPr>
          <w:rFonts w:ascii="Arial" w:hAnsi="Arial" w:eastAsia="Arial" w:cs="Arial"/>
        </w:rPr>
        <w:t>We fitted the model in R (R Core Team, 2026), with group median prices and fills for missing minimum stays taken from training homes only. Table A1 gives each input's odds ratio (the change in the odds of being busy, from its average weight over the 50 fits) and its range across fits; above 1 means a higher chance, below 1 a lower one.</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vAlign w:val="center"/>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vAlign w:val="center"/>
            <w:shd w:val="clear" w:color="auto" w:fill="E9EEF3"/>
          </w:tcPr>
          <w:p>
            <w:pPr>
              <w:keepNext/>
              <w:spacing w:before="40" w:after="40" w:line="240" w:lineRule="auto"/>
              <w:jc w:val="left"/>
            </w:pPr>
            <w:r>
              <w:rPr>
                <w:rFonts w:ascii="Arial" w:hAnsi="Arial" w:eastAsia="Arial" w:cs="Arial"/>
                <w:b/>
                <w:sz w:val="21"/>
              </w:rPr>
              <w:t>Odds ratio</w:t>
            </w:r>
          </w:p>
        </w:tc>
        <w:tc>
          <w:tcPr>
            <w:tcW w:type="dxa" w:w="2533"/>
            <w:vAlign w:val="center"/>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vAlign w:val="center"/>
            <w:shd w:val="clear" w:color="auto" w:fill="FFFFFF"/>
          </w:tcPr>
          <w:p>
            <w:pPr>
              <w:keepNext/>
              <w:spacing w:before="40" w:after="40" w:line="240" w:lineRule="auto"/>
              <w:jc w:val="right"/>
            </w:pPr>
            <w:r>
              <w:rPr>
                <w:rFonts w:ascii="Arial" w:hAnsi="Arial" w:eastAsia="Arial" w:cs="Arial"/>
                <w:sz w:val="21"/>
              </w:rPr>
              <w:t>3.27</w:t>
            </w:r>
          </w:p>
        </w:tc>
        <w:tc>
          <w:tcPr>
            <w:tcW w:type="dxa" w:w="2533"/>
            <w:vAlign w:val="center"/>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Ten more amenities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1.27</w:t>
            </w:r>
          </w:p>
        </w:tc>
        <w:tc>
          <w:tcPr>
            <w:tcW w:type="dxa" w:w="2533"/>
            <w:vAlign w:val="center"/>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vAlign w:val="center"/>
            <w:shd w:val="clear" w:color="auto" w:fill="FFFFFF"/>
          </w:tcPr>
          <w:p>
            <w:pPr>
              <w:keepNext/>
              <w:spacing w:before="40" w:after="40" w:line="240" w:lineRule="auto"/>
              <w:jc w:val="right"/>
            </w:pPr>
            <w:r>
              <w:rPr>
                <w:rFonts w:ascii="Arial" w:hAnsi="Arial" w:eastAsia="Arial" w:cs="Arial"/>
                <w:sz w:val="21"/>
              </w:rPr>
              <w:t>0.88</w:t>
            </w:r>
          </w:p>
        </w:tc>
        <w:tc>
          <w:tcPr>
            <w:tcW w:type="dxa" w:w="2533"/>
            <w:vAlign w:val="center"/>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b/>
                <w:sz w:val="21"/>
              </w:rPr>
              <w:t>Council area (City of Melbourne)</w:t>
            </w:r>
          </w:p>
        </w:tc>
        <w:tc>
          <w:tcPr>
            <w:tcW w:type="dxa" w:w="1461"/>
            <w:vAlign w:val="center"/>
            <w:shd w:val="clear" w:color="auto" w:fill="FFFFFF"/>
          </w:tcPr>
          <w:p>
            <w:pPr>
              <w:keepNext/>
              <w:spacing w:before="40" w:after="40" w:line="240" w:lineRule="auto"/>
              <w:jc w:val="right"/>
            </w:pPr>
          </w:p>
        </w:tc>
        <w:tc>
          <w:tcPr>
            <w:tcW w:type="dxa" w:w="2533"/>
            <w:vAlign w:val="center"/>
            <w:shd w:val="clear" w:color="auto" w:fill="FFFFFF"/>
          </w:tcPr>
          <w:p>
            <w:pPr>
              <w:keepNext/>
              <w:spacing w:before="40" w:after="40" w:line="240" w:lineRule="auto"/>
              <w:jc w:val="right"/>
            </w:pP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Port Phillip</w:t>
            </w:r>
          </w:p>
        </w:tc>
        <w:tc>
          <w:tcPr>
            <w:tcW w:type="dxa" w:w="1461"/>
            <w:vAlign w:val="center"/>
            <w:shd w:val="clear" w:color="auto" w:fill="FFFFFF"/>
          </w:tcPr>
          <w:p>
            <w:pPr>
              <w:keepNext/>
              <w:spacing w:before="40" w:after="40" w:line="240" w:lineRule="auto"/>
              <w:jc w:val="right"/>
            </w:pPr>
            <w:r>
              <w:rPr>
                <w:rFonts w:ascii="Arial" w:hAnsi="Arial" w:eastAsia="Arial" w:cs="Arial"/>
                <w:sz w:val="21"/>
              </w:rPr>
              <w:t>0.50</w:t>
            </w:r>
          </w:p>
        </w:tc>
        <w:tc>
          <w:tcPr>
            <w:tcW w:type="dxa" w:w="2533"/>
            <w:vAlign w:val="center"/>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Stonnington</w:t>
            </w:r>
          </w:p>
        </w:tc>
        <w:tc>
          <w:tcPr>
            <w:tcW w:type="dxa" w:w="1461"/>
            <w:vAlign w:val="center"/>
            <w:shd w:val="clear" w:color="auto" w:fill="FFFFFF"/>
          </w:tcPr>
          <w:p>
            <w:pPr>
              <w:keepNext/>
              <w:spacing w:before="40" w:after="40" w:line="240" w:lineRule="auto"/>
              <w:jc w:val="right"/>
            </w:pPr>
            <w:r>
              <w:rPr>
                <w:rFonts w:ascii="Arial" w:hAnsi="Arial" w:eastAsia="Arial" w:cs="Arial"/>
                <w:sz w:val="21"/>
              </w:rPr>
              <w:t>0.48</w:t>
            </w:r>
          </w:p>
        </w:tc>
        <w:tc>
          <w:tcPr>
            <w:tcW w:type="dxa" w:w="2533"/>
            <w:vAlign w:val="center"/>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w:t>
            </w:r>
          </w:p>
        </w:tc>
        <w:tc>
          <w:tcPr>
            <w:tcW w:type="dxa" w:w="1461"/>
            <w:vAlign w:val="center"/>
            <w:shd w:val="clear" w:color="auto" w:fill="FFFFFF"/>
          </w:tcPr>
          <w:p>
            <w:pPr>
              <w:keepNext/>
              <w:spacing w:before="40" w:after="40" w:line="240" w:lineRule="auto"/>
              <w:jc w:val="right"/>
            </w:pPr>
            <w:r>
              <w:rPr>
                <w:rFonts w:ascii="Arial" w:hAnsi="Arial" w:eastAsia="Arial" w:cs="Arial"/>
                <w:sz w:val="21"/>
              </w:rPr>
              <w:t>0.83</w:t>
            </w:r>
          </w:p>
        </w:tc>
        <w:tc>
          <w:tcPr>
            <w:tcW w:type="dxa" w:w="2533"/>
            <w:vAlign w:val="center"/>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 Ranges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1.22</w:t>
            </w:r>
          </w:p>
        </w:tc>
        <w:tc>
          <w:tcPr>
            <w:tcW w:type="dxa" w:w="2533"/>
            <w:vAlign w:val="center"/>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Merri-bek</w:t>
            </w:r>
          </w:p>
        </w:tc>
        <w:tc>
          <w:tcPr>
            <w:tcW w:type="dxa" w:w="1461"/>
            <w:vAlign w:val="center"/>
            <w:shd w:val="clear" w:color="auto" w:fill="FFFFFF"/>
          </w:tcPr>
          <w:p>
            <w:pPr>
              <w:keepNext/>
              <w:spacing w:before="40" w:after="40" w:line="240" w:lineRule="auto"/>
              <w:jc w:val="right"/>
            </w:pPr>
            <w:r>
              <w:rPr>
                <w:rFonts w:ascii="Arial" w:hAnsi="Arial" w:eastAsia="Arial" w:cs="Arial"/>
                <w:sz w:val="21"/>
              </w:rPr>
              <w:t>0.75</w:t>
            </w:r>
          </w:p>
        </w:tc>
        <w:tc>
          <w:tcPr>
            <w:tcW w:type="dxa" w:w="2533"/>
            <w:vAlign w:val="center"/>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vAlign w:val="center"/>
            <w:shd w:val="clear" w:color="auto" w:fill="FFFFFF"/>
          </w:tcPr>
          <w:p>
            <w:pPr>
              <w:keepNext/>
              <w:spacing w:before="40" w:after="40" w:line="240" w:lineRule="auto"/>
              <w:jc w:val="right"/>
            </w:pPr>
            <w:r>
              <w:rPr>
                <w:rFonts w:ascii="Arial" w:hAnsi="Arial" w:eastAsia="Arial" w:cs="Arial"/>
                <w:sz w:val="21"/>
              </w:rPr>
              <w:t>0.78</w:t>
            </w:r>
          </w:p>
        </w:tc>
        <w:tc>
          <w:tcPr>
            <w:tcW w:type="dxa" w:w="2533"/>
            <w:vAlign w:val="center"/>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Two bedrooms (one)</w:t>
            </w:r>
          </w:p>
        </w:tc>
        <w:tc>
          <w:tcPr>
            <w:tcW w:type="dxa" w:w="1461"/>
            <w:vAlign w:val="center"/>
            <w:shd w:val="clear" w:color="auto" w:fill="FFFFFF"/>
          </w:tcPr>
          <w:p>
            <w:pPr>
              <w:keepNext/>
              <w:spacing w:before="40" w:after="40" w:line="240" w:lineRule="auto"/>
              <w:jc w:val="right"/>
            </w:pPr>
            <w:r>
              <w:rPr>
                <w:rFonts w:ascii="Arial" w:hAnsi="Arial" w:eastAsia="Arial" w:cs="Arial"/>
                <w:sz w:val="21"/>
              </w:rPr>
              <w:t>1.16</w:t>
            </w:r>
          </w:p>
        </w:tc>
        <w:tc>
          <w:tcPr>
            <w:tcW w:type="dxa" w:w="2533"/>
            <w:vAlign w:val="center"/>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vAlign w:val="center"/>
            <w:shd w:val="clear" w:color="auto" w:fill="FFFFFF"/>
          </w:tcPr>
          <w:p>
            <w:pPr>
              <w:spacing w:before="40" w:after="40" w:line="240" w:lineRule="auto"/>
              <w:jc w:val="left"/>
            </w:pPr>
            <w:r>
              <w:rPr>
                <w:rFonts w:ascii="Arial" w:hAnsi="Arial" w:eastAsia="Arial" w:cs="Arial"/>
                <w:sz w:val="21"/>
              </w:rPr>
              <w:t>Three bedrooms (one)</w:t>
            </w:r>
          </w:p>
        </w:tc>
        <w:tc>
          <w:tcPr>
            <w:tcW w:type="dxa" w:w="1461"/>
            <w:vAlign w:val="center"/>
            <w:shd w:val="clear" w:color="auto" w:fill="FFFFFF"/>
          </w:tcPr>
          <w:p>
            <w:pPr>
              <w:spacing w:before="40" w:after="40" w:line="240" w:lineRule="auto"/>
              <w:jc w:val="right"/>
            </w:pPr>
            <w:r>
              <w:rPr>
                <w:rFonts w:ascii="Arial" w:hAnsi="Arial" w:eastAsia="Arial" w:cs="Arial"/>
                <w:sz w:val="21"/>
              </w:rPr>
              <w:t>1.31</w:t>
            </w:r>
          </w:p>
        </w:tc>
        <w:tc>
          <w:tcPr>
            <w:tcW w:type="dxa" w:w="2533"/>
            <w:vAlign w:val="center"/>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The ranges show stability across fits, not confidence intervals; those including 1 (for example, Yarra Ranges) leave the direction uncertain. Across all 14 groups, the model ranked a random busy home above a random quiet one 71% of the time, against 60% for group rates (AUC 0.71 and 0.60). Host-clustered standard errors are 1.1–2.6 times ordinary ones, and variance inflation factors sit below 3 (little overlap between inputs). An ordinary test suggests slight curvature in amenities (p = 0.03), which is unclear once homes of the same host are treated as related (p = 0.17). Full evaluation tables are in the repository (Huang &amp; Xu, 2026).</w:t>
      </w:r>
    </w:p>
    <w:p>
      <w:pPr>
        <w:keepNext/>
        <w:widowControl/>
        <w:spacing w:after="80" w:before="80" w:line="259" w:lineRule="auto"/>
        <w:jc w:val="left"/>
      </w:pPr>
      <w:r>
        <w:rPr>
          <w:rFonts w:ascii="Arial" w:hAnsi="Arial" w:eastAsia="Arial" w:cs="Arial"/>
          <w:b/>
        </w:rPr>
        <w:t>Table A2. Hits and misses: top quarter picked across all 14 groups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497"/>
        <w:gridCol w:w="1378"/>
        <w:gridCol w:w="2067"/>
        <w:gridCol w:w="1922"/>
      </w:tblGrid>
      <w:tr>
        <w:trPr>
          <w:cantSplit/>
          <w:tblHeader/>
        </w:trPr>
        <w:tc>
          <w:tcPr>
            <w:tcW w:type="dxa" w:w="4497"/>
            <w:vAlign w:val="center"/>
            <w:shd w:val="clear" w:color="auto" w:fill="E9EEF3"/>
          </w:tcPr>
          <w:p>
            <w:pPr>
              <w:keepNext/>
              <w:spacing w:before="40" w:after="40" w:line="240" w:lineRule="auto"/>
              <w:jc w:val="left"/>
            </w:pPr>
            <w:r>
              <w:rPr>
                <w:rFonts w:ascii="Arial" w:hAnsi="Arial" w:eastAsia="Arial" w:cs="Arial"/>
                <w:b/>
                <w:sz w:val="21"/>
              </w:rPr>
              <w:t>Selection</w:t>
            </w:r>
          </w:p>
        </w:tc>
        <w:tc>
          <w:tcPr>
            <w:tcW w:type="dxa" w:w="1378"/>
            <w:vAlign w:val="center"/>
            <w:shd w:val="clear" w:color="auto" w:fill="E9EEF3"/>
          </w:tcPr>
          <w:p>
            <w:pPr>
              <w:keepNext/>
              <w:spacing w:before="40" w:after="40" w:line="240" w:lineRule="auto"/>
              <w:jc w:val="left"/>
            </w:pPr>
            <w:r>
              <w:rPr>
                <w:rFonts w:ascii="Arial" w:hAnsi="Arial" w:eastAsia="Arial" w:cs="Arial"/>
                <w:b/>
                <w:sz w:val="21"/>
              </w:rPr>
              <w:t>Busy</w:t>
            </w:r>
          </w:p>
        </w:tc>
        <w:tc>
          <w:tcPr>
            <w:tcW w:type="dxa" w:w="2067"/>
            <w:vAlign w:val="center"/>
            <w:shd w:val="clear" w:color="auto" w:fill="E9EEF3"/>
          </w:tcPr>
          <w:p>
            <w:pPr>
              <w:keepNext/>
              <w:spacing w:before="40" w:after="40" w:line="240" w:lineRule="auto"/>
              <w:jc w:val="left"/>
            </w:pPr>
            <w:r>
              <w:rPr>
                <w:rFonts w:ascii="Arial" w:hAnsi="Arial" w:eastAsia="Arial" w:cs="Arial"/>
                <w:b/>
                <w:sz w:val="21"/>
              </w:rPr>
              <w:t>Below target</w:t>
            </w:r>
          </w:p>
        </w:tc>
        <w:tc>
          <w:tcPr>
            <w:tcW w:type="dxa" w:w="1922"/>
            <w:vAlign w:val="center"/>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497"/>
            <w:vAlign w:val="center"/>
            <w:shd w:val="clear" w:color="auto" w:fill="FFFFFF"/>
          </w:tcPr>
          <w:p>
            <w:pPr>
              <w:keepNext/>
              <w:spacing w:before="40" w:after="40" w:line="240" w:lineRule="auto"/>
              <w:jc w:val="left"/>
            </w:pPr>
            <w:r>
              <w:rPr>
                <w:rFonts w:ascii="Arial" w:hAnsi="Arial" w:eastAsia="Arial" w:cs="Arial"/>
                <w:sz w:val="21"/>
              </w:rPr>
              <w:t>Picked by model</w:t>
            </w:r>
          </w:p>
        </w:tc>
        <w:tc>
          <w:tcPr>
            <w:tcW w:type="dxa" w:w="1378"/>
            <w:vAlign w:val="center"/>
            <w:shd w:val="clear" w:color="auto" w:fill="FFFFFF"/>
          </w:tcPr>
          <w:p>
            <w:pPr>
              <w:keepNext/>
              <w:spacing w:before="40" w:after="40" w:line="240" w:lineRule="auto"/>
              <w:jc w:val="right"/>
            </w:pPr>
            <w:r>
              <w:rPr>
                <w:rFonts w:ascii="Arial" w:hAnsi="Arial" w:eastAsia="Arial" w:cs="Arial"/>
                <w:sz w:val="21"/>
              </w:rPr>
              <w:t>423</w:t>
            </w:r>
          </w:p>
        </w:tc>
        <w:tc>
          <w:tcPr>
            <w:tcW w:type="dxa" w:w="2067"/>
            <w:vAlign w:val="center"/>
            <w:shd w:val="clear" w:color="auto" w:fill="FFFFFF"/>
          </w:tcPr>
          <w:p>
            <w:pPr>
              <w:keepNext/>
              <w:spacing w:before="40" w:after="40" w:line="240" w:lineRule="auto"/>
              <w:jc w:val="right"/>
            </w:pPr>
            <w:r>
              <w:rPr>
                <w:rFonts w:ascii="Arial" w:hAnsi="Arial" w:eastAsia="Arial" w:cs="Arial"/>
                <w:sz w:val="21"/>
              </w:rPr>
              <w:t>546</w:t>
            </w:r>
          </w:p>
        </w:tc>
        <w:tc>
          <w:tcPr>
            <w:tcW w:type="dxa" w:w="1922"/>
            <w:vAlign w:val="center"/>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497"/>
            <w:vAlign w:val="center"/>
            <w:shd w:val="clear" w:color="auto" w:fill="FFFFFF"/>
          </w:tcPr>
          <w:p>
            <w:pPr>
              <w:spacing w:before="40" w:after="40" w:line="240" w:lineRule="auto"/>
              <w:jc w:val="left"/>
            </w:pPr>
            <w:r>
              <w:rPr>
                <w:rFonts w:ascii="Arial" w:hAnsi="Arial" w:eastAsia="Arial" w:cs="Arial"/>
                <w:sz w:val="21"/>
              </w:rPr>
              <w:t>Not picked</w:t>
            </w:r>
          </w:p>
        </w:tc>
        <w:tc>
          <w:tcPr>
            <w:tcW w:type="dxa" w:w="1378"/>
            <w:vAlign w:val="center"/>
            <w:shd w:val="clear" w:color="auto" w:fill="FFFFFF"/>
          </w:tcPr>
          <w:p>
            <w:pPr>
              <w:spacing w:before="40" w:after="40" w:line="240" w:lineRule="auto"/>
              <w:jc w:val="right"/>
            </w:pPr>
            <w:r>
              <w:rPr>
                <w:rFonts w:ascii="Arial" w:hAnsi="Arial" w:eastAsia="Arial" w:cs="Arial"/>
                <w:sz w:val="21"/>
              </w:rPr>
              <w:t>558</w:t>
            </w:r>
          </w:p>
        </w:tc>
        <w:tc>
          <w:tcPr>
            <w:tcW w:type="dxa" w:w="2067"/>
            <w:vAlign w:val="center"/>
            <w:shd w:val="clear" w:color="auto" w:fill="FFFFFF"/>
          </w:tcPr>
          <w:p>
            <w:pPr>
              <w:spacing w:before="40" w:after="40" w:line="240" w:lineRule="auto"/>
              <w:jc w:val="right"/>
            </w:pPr>
            <w:r>
              <w:rPr>
                <w:rFonts w:ascii="Arial" w:hAnsi="Arial" w:eastAsia="Arial" w:cs="Arial"/>
                <w:sz w:val="21"/>
              </w:rPr>
              <w:t>2,346</w:t>
            </w:r>
          </w:p>
        </w:tc>
        <w:tc>
          <w:tcPr>
            <w:tcW w:type="dxa" w:w="1922"/>
            <w:vAlign w:val="center"/>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Each home was scored by a model built without its host (five folds of hosts). Of the 969 picked, 43.7% were busy (precision), against 25.3% overall, and they included 43.1% of busy homes (recall). Accuracy (71.5%) misleads: calling every home "below target" scores 74.7%.</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main"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hyperlink" Target="https://www.consumer.vic.gov.au/housing/owners-corporations/rules/making-rules-to-ban-short-stay-accommodation" TargetMode="External"/><Relationship Id="rId27" Type="http://schemas.openxmlformats.org/officeDocument/2006/relationships/hyperlink" Target="https://insideairbnb.com/data-assumptions/" TargetMode="External"/><Relationship Id="rId28" Type="http://schemas.openxmlformats.org/officeDocument/2006/relationships/hyperlink" Target="https://www.R-project.org/" TargetMode="External"/><Relationship Id="rId29"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