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r>
        <w:rPr>
          <w:rFonts w:ascii="Arial" w:hAnsi="Arial" w:eastAsia="Arial" w:cs="Arial"/>
        </w:rPr>
        <w:t xml:space="preserve">  </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https://github.com/maksym-xu/CMCE30005-TheNextChapter/tree/final-report-marking-fixes-2026-10-16</w:t>
        </w:r>
      </w:hyperlink>
    </w:p>
    <w:p>
      <w:pPr>
        <w:pStyle w:val="Heading1"/>
        <w:keepNext/>
        <w:pageBreakBefore w:val="0"/>
      </w:pPr>
      <w:r>
        <w:rPr>
          <w:rFonts w:ascii="Arial" w:hAnsi="Arial" w:eastAsia="Arial" w:cs="Arial"/>
        </w:rPr>
        <w:t>1. Introduction</w:t>
      </w:r>
    </w:p>
    <w:p>
      <w:pPr>
        <w:widowControl/>
        <w:spacing w:after="120" w:line="259" w:lineRule="auto"/>
        <w:jc w:val="left"/>
      </w:pPr>
      <w:r>
        <w:rPr>
          <w:rFonts w:ascii="Arial" w:hAnsi="Arial" w:eastAsia="Arial" w:cs="Arial"/>
        </w:rPr>
        <w:t>Our client plans to lease homes in Greater Melbourne for Airbnb short stays. Rent and setup costs come before guest income, so a poor lease ties up scarce startup funds.</w:t>
      </w:r>
    </w:p>
    <w:p>
      <w:pPr>
        <w:widowControl/>
        <w:spacing w:after="120" w:line="259" w:lineRule="auto"/>
        <w:jc w:val="left"/>
      </w:pPr>
      <w:r>
        <w:rPr>
          <w:rFonts w:ascii="Arial" w:hAnsi="Arial" w:eastAsia="Arial" w:cs="Arial"/>
        </w:rPr>
        <w:t>We recommend City of Melbourne two- and three-bedroom apartments first, followed by Yarra Ranges three-bedroom houses and townhouses. These groups had the highest shares of homes with strong guest activity. Their typical homes brought in an estimated AUD 30,600–48,600 a year before costs, against AUD 24,700 across the study.</w:t>
      </w:r>
    </w:p>
    <w:p>
      <w:pPr>
        <w:widowControl/>
        <w:spacing w:after="120" w:line="259" w:lineRule="auto"/>
        <w:jc w:val="left"/>
      </w:pPr>
      <w:r>
        <w:rPr>
          <w:rFonts w:ascii="Arial" w:hAnsi="Arial" w:eastAsia="Arial" w:cs="Arial"/>
        </w:rPr>
        <w:t>Within these groups, a simple model picks homes that reach our activity target about half the time (49.6%), against one in three (32.4%) at random. It ranks only homes already on Airbnb; for unlisted rentals, use the group order and the checks in Section 6.</w:t>
      </w:r>
    </w:p>
    <w:p>
      <w:pPr>
        <w:pStyle w:val="Heading1"/>
        <w:keepNext/>
        <w:pageBreakBefore w:val="0"/>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 share of homes with strong guest activity, and translate this into estimated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Test whether a simple model picks better homes within the leading groups than random picking.</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and a four-week inspection plan.</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(reaches our target) when it receives at least 30 guest reviews in the 365 days before data collection, a level reached by a quarter of separate reference homes (Section 3). Inside Airbnb (n.d.) assumes half of stays are reviewed and each lasts three nights (or the minimum stay if longer), capping estimated nights at 70% of the year (255). With three-night stays, 30 reviews means about 180 booked nights a year.</w:t>
      </w:r>
    </w:p>
    <w:p>
      <w:pPr>
        <w:widowControl/>
        <w:spacing w:after="120" w:line="259" w:lineRule="auto"/>
        <w:jc w:val="left"/>
      </w:pPr>
      <w:r>
        <w:rPr>
          <w:rFonts w:ascii="Arial" w:hAnsi="Arial" w:eastAsia="Arial" w:cs="Arial"/>
        </w:rPr>
        <w:t>We rank on reviews rather than revenue because Inside Airbnb's revenue estimate multiplies these nights by the advertised price, and without rents a higher price does not mean a better lease. Rents, costs and profit are outside our data.</w:t>
      </w:r>
    </w:p>
    <w:p>
      <w:pPr>
        <w:widowControl/>
        <w:spacing w:after="120" w:line="259" w:lineRule="auto"/>
        <w:jc w:val="left"/>
      </w:pPr>
      <w:r>
        <w:rPr>
          <w:rFonts w:ascii="Arial" w:hAnsi="Arial" w:eastAsia="Arial" w:cs="Arial"/>
        </w:rPr>
        <w:t>Since the interim report, we replaced its random forest with an explainable logistic regression and added tests within the leading groups.</w:t>
      </w:r>
    </w:p>
    <w:p>
      <w:pPr>
        <w:pStyle w:val="Heading1"/>
        <w:keepNext/>
        <w:pageBreakBefore w:val="0"/>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17 June–1 July 2026 (Inside Airbnb, 2026). It holds 25,728 listings with 90 fields and 1,026,690 dated reviews. We did not use the calendar, which cannot separate bookings from blocked nights.</w:t>
      </w:r>
    </w:p>
    <w:p>
      <w:pPr>
        <w:widowControl/>
        <w:spacing w:after="120" w:line="259" w:lineRule="auto"/>
        <w:jc w:val="left"/>
      </w:pPr>
      <w:r>
        <w:rPr>
          <w:rFonts w:ascii="Arial" w:hAnsi="Arial" w:eastAsia="Arial" w:cs="Arial"/>
        </w:rPr>
        <w:t>Cleaning converted price text to numbers, standardized missing entries and counted amenities. We rebuilt annual review counts from review dates over the exact 365 days before collection; the supplied count covers 366 days. Price is missing for 6,553 listings (25%) and bedrooms for 4,679 (18%); 4,477 listings (17%) have never been reviewed.</w:t>
      </w:r>
    </w:p>
    <w:p>
      <w:pPr>
        <w:widowControl/>
        <w:spacing w:after="120" w:line="259" w:lineRule="auto"/>
        <w:jc w:val="left"/>
      </w:pPr>
      <w:r>
        <w:rPr>
          <w:rFonts w:ascii="Arial" w:hAnsi="Arial" w:eastAsia="Arial" w:cs="Arial"/>
        </w:rPr>
        <w:t>We keep prices of AUD 30–1,500, excluding unpriced listings and extreme prices. Eligible homes are entire rental units and condos (</w:t>
      </w:r>
      <w:r>
        <w:rPr>
          <w:rFonts w:ascii="Arial" w:hAnsi="Arial" w:eastAsia="Arial" w:cs="Arial"/>
          <w:i/>
        </w:rPr>
        <w:t>apartments</w:t>
      </w:r>
      <w:r>
        <w:rPr>
          <w:rFonts w:ascii="Arial" w:hAnsi="Arial" w:eastAsia="Arial" w:cs="Arial"/>
        </w:rPr>
        <w:t>) or entire homes and townhouses (</w:t>
      </w:r>
      <w:r>
        <w:rPr>
          <w:rFonts w:ascii="Arial" w:hAnsi="Arial" w:eastAsia="Arial" w:cs="Arial"/>
          <w:i/>
        </w:rPr>
        <w:t>houses/townhouses</w:t>
      </w:r>
      <w:r>
        <w:rPr>
          <w:rFonts w:ascii="Arial" w:hAnsi="Arial" w:eastAsia="Arial" w:cs="Arial"/>
        </w:rPr>
        <w:t>), with one to three bedrooms and a first review at least a year before collection. This provides a full year of recorded review history.</w:t>
      </w:r>
    </w:p>
    <w:p>
      <w:pPr>
        <w:widowControl/>
        <w:spacing w:after="120" w:line="259" w:lineRule="auto"/>
        <w:jc w:val="left"/>
      </w:pPr>
      <w:r>
        <w:rPr>
          <w:rFonts w:ascii="Arial" w:hAnsi="Arial" w:eastAsia="Arial" w:cs="Arial"/>
        </w:rPr>
        <w:t>We set aside about one in five hosts from the eligible sample (1,342 homes) to set an independent target. Their 906 homes in the final groups set the threshold: a quarter received 30 or more reviews (Table 1).</w:t>
      </w:r>
    </w:p>
    <w:p>
      <w:pPr>
        <w:keepNext/>
        <w:widowControl/>
        <w:spacing w:after="80" w:before="80" w:line="259" w:lineRule="auto"/>
        <w:jc w:val="left"/>
      </w:pPr>
      <w:r>
        <w:rPr>
          <w:rFonts w:ascii="Arial" w:hAnsi="Arial" w:eastAsia="Arial" w:cs="Arial"/>
          <w:b/>
        </w:rPr>
        <w:t>Table 1. From supplied listings to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252"/>
        <w:gridCol w:w="1613"/>
      </w:tblGrid>
      <w:tr>
        <w:trPr>
          <w:cantSplit/>
          <w:tblHeader/>
        </w:trPr>
        <w:tc>
          <w:tcPr>
            <w:tcW w:type="dxa" w:w="8252"/>
            <w:vAlign w:val="center"/>
            <w:shd w:val="clear" w:color="auto" w:fill="E9EEF3"/>
          </w:tcPr>
          <w:p>
            <w:pPr>
              <w:keepNext/>
              <w:spacing w:before="40" w:after="40" w:line="240" w:lineRule="auto"/>
              <w:jc w:val="left"/>
            </w:pPr>
            <w:r>
              <w:rPr>
                <w:rFonts w:ascii="Arial" w:hAnsi="Arial" w:eastAsia="Arial" w:cs="Arial"/>
                <w:b/>
                <w:sz w:val="21"/>
              </w:rPr>
              <w:t>Step</w:t>
            </w:r>
          </w:p>
        </w:tc>
        <w:tc>
          <w:tcPr>
            <w:tcW w:type="dxa" w:w="1613"/>
            <w:vAlign w:val="center"/>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sz w:val="21"/>
              </w:rPr>
              <w:t>All listings</w:t>
            </w:r>
          </w:p>
        </w:tc>
        <w:tc>
          <w:tcPr>
            <w:tcW w:type="dxa" w:w="1613"/>
            <w:vAlign w:val="center"/>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613"/>
            <w:vAlign w:val="center"/>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613"/>
            <w:vAlign w:val="center"/>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sz w:val="21"/>
              </w:rPr>
              <w:t>Priced AUD 30–1,500</w:t>
            </w:r>
          </w:p>
        </w:tc>
        <w:tc>
          <w:tcPr>
            <w:tcW w:type="dxa" w:w="1613"/>
            <w:vAlign w:val="center"/>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613"/>
            <w:vAlign w:val="center"/>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sz w:val="21"/>
              </w:rPr>
              <w:t>After setting aside 1,342 reference-host homes</w:t>
            </w:r>
          </w:p>
        </w:tc>
        <w:tc>
          <w:tcPr>
            <w:tcW w:type="dxa" w:w="1613"/>
            <w:vAlign w:val="center"/>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b/>
                <w:sz w:val="21"/>
              </w:rPr>
              <w:t>Analysis sample: 14 groups with at least 50 homes</w:t>
            </w:r>
          </w:p>
        </w:tc>
        <w:tc>
          <w:tcPr>
            <w:tcW w:type="dxa" w:w="1613"/>
            <w:vAlign w:val="center"/>
            <w:shd w:val="clear" w:color="auto" w:fill="FFFFFF"/>
          </w:tcPr>
          <w:p>
            <w:pPr>
              <w:keepNext/>
              <w:spacing w:before="40" w:after="40" w:line="240" w:lineRule="auto"/>
              <w:jc w:val="right"/>
            </w:pPr>
            <w:r>
              <w:rPr>
                <w:rFonts w:ascii="Arial" w:hAnsi="Arial" w:eastAsia="Arial" w:cs="Arial"/>
                <w:b/>
                <w:sz w:val="21"/>
              </w:rPr>
              <w:t>3,873</w:t>
            </w:r>
          </w:p>
        </w:tc>
      </w:tr>
      <w:tr>
        <w:trPr>
          <w:cantSplit/>
        </w:trPr>
        <w:tc>
          <w:tcPr>
            <w:tcW w:type="dxa" w:w="8252"/>
            <w:vAlign w:val="center"/>
            <w:shd w:val="clear" w:color="auto" w:fill="FFFFFF"/>
          </w:tcPr>
          <w:p>
            <w:pPr>
              <w:spacing w:before="40" w:after="40" w:line="240" w:lineRule="auto"/>
              <w:jc w:val="left"/>
            </w:pPr>
            <w:r>
              <w:rPr>
                <w:rFonts w:ascii="Arial" w:hAnsi="Arial" w:eastAsia="Arial" w:cs="Arial"/>
                <w:sz w:val="21"/>
              </w:rPr>
              <w:t>Reference homes in these groups (from 1,342; target only)</w:t>
            </w:r>
          </w:p>
        </w:tc>
        <w:tc>
          <w:tcPr>
            <w:tcW w:type="dxa" w:w="1613"/>
            <w:vAlign w:val="center"/>
            <w:shd w:val="clear" w:color="auto" w:fill="FFFFFF"/>
          </w:tcPr>
          <w:p>
            <w:pPr>
              <w:spacing w:before="40" w:after="40" w:line="240" w:lineRule="auto"/>
              <w:jc w:val="right"/>
            </w:pPr>
            <w:r>
              <w:rPr>
                <w:rFonts w:ascii="Arial" w:hAnsi="Arial" w:eastAsia="Arial" w:cs="Arial"/>
                <w:sz w:val="21"/>
              </w:rPr>
              <w:t>906</w:t>
            </w:r>
          </w:p>
        </w:tc>
      </w:tr>
    </w:tbl>
    <w:p>
      <w:pPr>
        <w:widowControl/>
        <w:spacing w:after="80" w:line="240" w:lineRule="auto"/>
        <w:jc w:val="left"/>
      </w:pPr>
    </w:p>
    <w:p>
      <w:pPr>
        <w:widowControl/>
        <w:spacing w:after="120" w:line="259" w:lineRule="auto"/>
        <w:jc w:val="left"/>
      </w:pPr>
      <w:r>
        <w:rPr>
          <w:rFonts w:ascii="Arial" w:hAnsi="Arial" w:eastAsia="Arial" w:cs="Arial"/>
        </w:rPr>
        <w:t>The 3,873 analysis homes belong to 1,726 hosts in six council areas. The price rule drops 3,796 residential listings (14,895 minus 11,099): 77.8% had no review in the past year, against 17.0% of those kept.</w:t>
      </w:r>
    </w:p>
    <w:p>
      <w:pPr>
        <w:pStyle w:val="Heading1"/>
        <w:keepNext/>
        <w:pageBreakBefore w:val="0"/>
      </w:pPr>
      <w:r>
        <w:rPr>
          <w:rFonts w:ascii="Arial" w:hAnsi="Arial" w:eastAsia="Arial" w:cs="Arial"/>
        </w:rPr>
        <w:t>4. Methodology</w:t>
      </w:r>
    </w:p>
    <w:p>
      <w:pPr>
        <w:widowControl/>
        <w:spacing w:after="120" w:line="259" w:lineRule="auto"/>
        <w:jc w:val="left"/>
      </w:pPr>
      <w:r>
        <w:rPr>
          <w:rFonts w:ascii="Arial" w:hAnsi="Arial" w:eastAsia="Arial" w:cs="Arial"/>
          <w:b/>
        </w:rPr>
        <w:t>Group comparison.</w:t>
      </w:r>
      <w:r>
        <w:rPr>
          <w:rFonts w:ascii="Arial" w:hAnsi="Arial" w:eastAsia="Arial" w:cs="Arial"/>
        </w:rPr>
        <w:t xml:space="preserve"> We compare the share of busy homes in the 14 groups. To show how much a share could move by chance, we redraw hosts at random 1,000 times and report the middle 90% of results.</w:t>
      </w:r>
    </w:p>
    <w:p>
      <w:pPr>
        <w:widowControl/>
        <w:spacing w:after="120" w:line="259" w:lineRule="auto"/>
        <w:jc w:val="left"/>
      </w:pPr>
      <w:r>
        <w:rPr>
          <w:rFonts w:ascii="Arial" w:hAnsi="Arial" w:eastAsia="Arial" w:cs="Arial"/>
          <w:b/>
        </w:rPr>
        <w:t>Model.</w:t>
      </w:r>
      <w:r>
        <w:rPr>
          <w:rFonts w:ascii="Arial" w:hAnsi="Arial" w:eastAsia="Arial" w:cs="Arial"/>
        </w:rPr>
        <w:t xml:space="preserve"> Logistic regression combines six inputs into a score and converts it into a chance of being busy, from 0% to 100% (R Core Team, 2026). Table 2 lists the outcome and inputs.</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593"/>
        <w:gridCol w:w="6272"/>
      </w:tblGrid>
      <w:tr>
        <w:trPr>
          <w:cantSplit/>
          <w:tblHeader/>
        </w:trPr>
        <w:tc>
          <w:tcPr>
            <w:tcW w:type="dxa" w:w="3593"/>
            <w:vAlign w:val="center"/>
            <w:shd w:val="clear" w:color="auto" w:fill="E9EEF3"/>
          </w:tcPr>
          <w:p>
            <w:pPr>
              <w:keepNext/>
              <w:spacing w:before="40" w:after="40" w:line="240" w:lineRule="auto"/>
              <w:jc w:val="left"/>
            </w:pPr>
            <w:r>
              <w:rPr>
                <w:rFonts w:ascii="Arial" w:hAnsi="Arial" w:eastAsia="Arial" w:cs="Arial"/>
                <w:b/>
                <w:sz w:val="21"/>
              </w:rPr>
              <w:t>Variable</w:t>
            </w:r>
          </w:p>
        </w:tc>
        <w:tc>
          <w:tcPr>
            <w:tcW w:type="dxa" w:w="6272"/>
            <w:vAlign w:val="center"/>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b/>
                <w:sz w:val="21"/>
              </w:rPr>
              <w:t>Outcome</w:t>
            </w:r>
          </w:p>
        </w:tc>
        <w:tc>
          <w:tcPr>
            <w:tcW w:type="dxa" w:w="6272"/>
            <w:vAlign w:val="center"/>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Council area</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of six</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Dwelling type</w:t>
            </w:r>
          </w:p>
        </w:tc>
        <w:tc>
          <w:tcPr>
            <w:tcW w:type="dxa" w:w="6272"/>
            <w:vAlign w:val="center"/>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Bedrooms</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272"/>
            <w:vAlign w:val="center"/>
            <w:shd w:val="clear" w:color="auto" w:fill="FFFFFF"/>
          </w:tcPr>
          <w:p>
            <w:pPr>
              <w:keepNext/>
              <w:spacing w:before="40" w:after="40" w:line="240" w:lineRule="auto"/>
              <w:jc w:val="left"/>
            </w:pPr>
            <w:r>
              <w:rPr>
                <w:rFonts w:ascii="Arial" w:hAnsi="Arial" w:eastAsia="Arial" w:cs="Arial"/>
                <w:sz w:val="21"/>
              </w:rPr>
              <w:t>Nightly price relative to the group median, in steps of 10%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Accepts one-night stays</w:t>
            </w:r>
          </w:p>
        </w:tc>
        <w:tc>
          <w:tcPr>
            <w:tcW w:type="dxa" w:w="6272"/>
            <w:vAlign w:val="center"/>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593"/>
            <w:vAlign w:val="center"/>
            <w:shd w:val="clear" w:color="auto" w:fill="FFFFFF"/>
          </w:tcPr>
          <w:p>
            <w:pPr>
              <w:spacing w:before="40" w:after="40" w:line="240" w:lineRule="auto"/>
              <w:jc w:val="left"/>
            </w:pPr>
            <w:r>
              <w:rPr>
                <w:rFonts w:ascii="Arial" w:hAnsi="Arial" w:eastAsia="Arial" w:cs="Arial"/>
                <w:sz w:val="21"/>
              </w:rPr>
              <w:t>Amenity count</w:t>
            </w:r>
          </w:p>
        </w:tc>
        <w:tc>
          <w:tcPr>
            <w:tcW w:type="dxa" w:w="6272"/>
            <w:vAlign w:val="center"/>
            <w:shd w:val="clear" w:color="auto" w:fill="FFFFFF"/>
          </w:tcPr>
          <w:p>
            <w:pPr>
              <w:spacing w:before="40" w:after="40" w:line="240" w:lineRule="auto"/>
              <w:jc w:val="left"/>
            </w:pPr>
            <w:r>
              <w:rPr>
                <w:rFonts w:ascii="Arial" w:hAnsi="Arial" w:eastAsia="Arial" w:cs="Arial"/>
                <w:sz w:val="21"/>
              </w:rPr>
              <w:t>Amenities listed, in steps of ten</w:t>
            </w:r>
          </w:p>
        </w:tc>
      </w:tr>
    </w:tbl>
    <w:p>
      <w:pPr>
        <w:widowControl/>
        <w:spacing w:after="80" w:line="240" w:lineRule="auto"/>
        <w:jc w:val="left"/>
      </w:pPr>
    </w:p>
    <w:p>
      <w:pPr>
        <w:widowControl/>
        <w:spacing w:after="120" w:line="259" w:lineRule="auto"/>
        <w:jc w:val="left"/>
      </w:pPr>
      <w:r>
        <w:rPr>
          <w:rFonts w:ascii="Arial" w:hAnsi="Arial" w:eastAsia="Arial" w:cs="Arial"/>
        </w:rPr>
        <w:t xml:space="preserve">We compare this </w:t>
      </w:r>
      <w:r>
        <w:rPr>
          <w:rFonts w:ascii="Arial" w:hAnsi="Arial" w:eastAsia="Arial" w:cs="Arial"/>
          <w:b/>
        </w:rPr>
        <w:t>full model</w:t>
      </w:r>
      <w:r>
        <w:rPr>
          <w:rFonts w:ascii="Arial" w:hAnsi="Arial" w:eastAsia="Arial" w:cs="Arial"/>
        </w:rPr>
        <w:t xml:space="preserve"> with two simpler options. The </w:t>
      </w:r>
      <w:r>
        <w:rPr>
          <w:rFonts w:ascii="Arial" w:hAnsi="Arial" w:eastAsia="Arial" w:cs="Arial"/>
          <w:b/>
        </w:rPr>
        <w:t>group rate</w:t>
      </w:r>
      <w:r>
        <w:rPr>
          <w:rFonts w:ascii="Arial" w:hAnsi="Arial" w:eastAsia="Arial" w:cs="Arial"/>
        </w:rPr>
        <w:t xml:space="preserve">, a group's share of busy homes, scores all its homes equally; within a group, this is </w:t>
      </w:r>
      <w:r>
        <w:rPr>
          <w:rFonts w:ascii="Arial" w:hAnsi="Arial" w:eastAsia="Arial" w:cs="Arial"/>
          <w:b/>
        </w:rPr>
        <w:t>random picking</w:t>
      </w:r>
      <w:r>
        <w:rPr>
          <w:rFonts w:ascii="Arial" w:hAnsi="Arial" w:eastAsia="Arial" w:cs="Arial"/>
        </w:rPr>
        <w:t xml:space="preserve">. The </w:t>
      </w:r>
      <w:r>
        <w:rPr>
          <w:rFonts w:ascii="Arial" w:hAnsi="Arial" w:eastAsia="Arial" w:cs="Arial"/>
          <w:b/>
        </w:rPr>
        <w:t>reduced model</w:t>
      </w:r>
      <w:r>
        <w:rPr>
          <w:rFonts w:ascii="Arial" w:hAnsi="Arial" w:eastAsia="Arial" w:cs="Arial"/>
        </w:rPr>
        <w:t xml:space="preserve"> drops price and minimum stay to show what they add.</w:t>
      </w:r>
    </w:p>
    <w:p>
      <w:pPr>
        <w:widowControl/>
        <w:spacing w:after="120" w:line="259" w:lineRule="auto"/>
        <w:jc w:val="left"/>
      </w:pPr>
      <w:r>
        <w:rPr>
          <w:rFonts w:ascii="Arial" w:hAnsi="Arial" w:eastAsia="Arial" w:cs="Arial"/>
          <w:b/>
        </w:rPr>
        <w:t>Assumptions.</w:t>
      </w:r>
      <w:r>
        <w:rPr>
          <w:rFonts w:ascii="Arial" w:hAnsi="Arial" w:eastAsia="Arial" w:cs="Arial"/>
        </w:rPr>
        <w:t xml:space="preserve"> Homes run by the same host can perform alike, so they stay together in every test. Each 10% price step and ten extra amenities receive a fixed weight in the score. Checks for overlapping inputs and curved relationships are in Appendix A.</w:t>
      </w:r>
    </w:p>
    <w:p>
      <w:pPr>
        <w:widowControl/>
        <w:spacing w:after="120" w:line="259" w:lineRule="auto"/>
        <w:jc w:val="left"/>
      </w:pPr>
      <w:r>
        <w:rPr>
          <w:rFonts w:ascii="Arial" w:hAnsi="Arial" w:eastAsia="Arial" w:cs="Arial"/>
          <w:b/>
        </w:rPr>
        <w:t>Testing.</w:t>
      </w:r>
      <w:r>
        <w:rPr>
          <w:rFonts w:ascii="Arial" w:hAnsi="Arial" w:eastAsia="Arial" w:cs="Arial"/>
        </w:rPr>
        <w:t xml:space="preserve"> Each of 50 tests builds the model from 70% of hosts and scores the unseen homes of the other 30%. In each priority group, each method picks a quarter of test homes, and we compare the share that were busy.</w:t>
      </w:r>
    </w:p>
    <w:p>
      <w:pPr>
        <w:widowControl/>
        <w:spacing w:after="120" w:line="259" w:lineRule="auto"/>
        <w:jc w:val="left"/>
      </w:pPr>
      <w:r>
        <w:rPr>
          <w:rFonts w:ascii="Arial" w:hAnsi="Arial" w:eastAsia="Arial" w:cs="Arial"/>
          <w:b/>
        </w:rPr>
        <w:t>Two-year check.</w:t>
      </w:r>
      <w:r>
        <w:rPr>
          <w:rFonts w:ascii="Arial" w:hAnsi="Arial" w:eastAsia="Arial" w:cs="Arial"/>
        </w:rPr>
        <w:t xml:space="preserve"> For 2,657 homes with two years of reviews in ten groups, we chose the top three groups in the earlier year and followed them into the later year (target 34 reviews, set from the earlier year's reference homes).</w:t>
      </w:r>
    </w:p>
    <w:p>
      <w:pPr>
        <w:pStyle w:val="Heading1"/>
        <w:keepNext/>
        <w:pageBreakBefore w:val="0"/>
      </w:pPr>
      <w:r>
        <w:rPr>
          <w:rFonts w:ascii="Arial" w:hAnsi="Arial" w:eastAsia="Arial" w:cs="Arial"/>
        </w:rPr>
        <w:t>5. Analysis and Results</w:t>
      </w:r>
    </w:p>
    <w:p>
      <w:pPr>
        <w:pStyle w:val="Heading2"/>
        <w:keepNext/>
      </w:pPr>
      <w:r>
        <w:rPr>
          <w:rFonts w:ascii="Arial" w:hAnsi="Arial" w:eastAsia="Arial" w:cs="Arial"/>
        </w:rPr>
        <w:t>5.1 Data exploration: most homes are quiet, and busy homes accept one-night stays</w:t>
      </w:r>
    </w:p>
    <w:p>
      <w:pPr>
        <w:widowControl/>
        <w:spacing w:after="120" w:line="259" w:lineRule="auto"/>
        <w:jc w:val="left"/>
      </w:pPr>
      <w:r>
        <w:rPr>
          <w:rFonts w:ascii="Arial" w:hAnsi="Arial" w:eastAsia="Arial" w:cs="Arial"/>
        </w:rPr>
        <w:t>Guest activity is very uneven (Figure 1). The median home received 15 reviews, a quarter (981 homes, 25.3%) received 30 or more, and 334 homes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of all figures and tables: Inside Airbnb (2026); Group 2 analysis.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247"/>
        <w:gridCol w:w="1812"/>
        <w:gridCol w:w="1402"/>
        <w:gridCol w:w="1402"/>
      </w:tblGrid>
      <w:tr>
        <w:trPr>
          <w:cantSplit/>
          <w:tblHeader/>
        </w:trPr>
        <w:tc>
          <w:tcPr>
            <w:tcW w:type="dxa" w:w="5247"/>
            <w:vAlign w:val="center"/>
            <w:shd w:val="clear" w:color="auto" w:fill="E9EEF3"/>
          </w:tcPr>
          <w:p>
            <w:pPr>
              <w:keepNext/>
              <w:spacing w:before="40" w:after="40" w:line="240" w:lineRule="auto"/>
              <w:jc w:val="left"/>
            </w:pPr>
            <w:r>
              <w:rPr>
                <w:rFonts w:ascii="Arial" w:hAnsi="Arial" w:eastAsia="Arial" w:cs="Arial"/>
                <w:b/>
                <w:sz w:val="21"/>
              </w:rPr>
              <w:t>Characteristic</w:t>
            </w:r>
          </w:p>
        </w:tc>
        <w:tc>
          <w:tcPr>
            <w:tcW w:type="dxa" w:w="1812"/>
            <w:vAlign w:val="center"/>
            <w:shd w:val="clear" w:color="auto" w:fill="E9EEF3"/>
          </w:tcPr>
          <w:p>
            <w:pPr>
              <w:keepNext/>
              <w:spacing w:before="40" w:after="40" w:line="240" w:lineRule="auto"/>
              <w:jc w:val="left"/>
            </w:pPr>
            <w:r>
              <w:rPr>
                <w:rFonts w:ascii="Arial" w:hAnsi="Arial" w:eastAsia="Arial" w:cs="Arial"/>
                <w:b/>
                <w:sz w:val="21"/>
              </w:rPr>
              <w:t>Busy (30+ reviews)</w:t>
            </w:r>
          </w:p>
        </w:tc>
        <w:tc>
          <w:tcPr>
            <w:tcW w:type="dxa" w:w="1402"/>
            <w:vAlign w:val="center"/>
            <w:shd w:val="clear" w:color="auto" w:fill="E9EEF3"/>
          </w:tcPr>
          <w:p>
            <w:pPr>
              <w:keepNext/>
              <w:spacing w:before="40" w:after="40" w:line="240" w:lineRule="auto"/>
              <w:jc w:val="left"/>
            </w:pPr>
            <w:r>
              <w:rPr>
                <w:rFonts w:ascii="Arial" w:hAnsi="Arial" w:eastAsia="Arial" w:cs="Arial"/>
                <w:b/>
                <w:sz w:val="21"/>
              </w:rPr>
              <w:t>Below 30</w:t>
            </w:r>
          </w:p>
        </w:tc>
        <w:tc>
          <w:tcPr>
            <w:tcW w:type="dxa" w:w="1402"/>
            <w:vAlign w:val="center"/>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Homes</w:t>
            </w:r>
          </w:p>
        </w:tc>
        <w:tc>
          <w:tcPr>
            <w:tcW w:type="dxa" w:w="1812"/>
            <w:vAlign w:val="center"/>
            <w:shd w:val="clear" w:color="auto" w:fill="FFFFFF"/>
          </w:tcPr>
          <w:p>
            <w:pPr>
              <w:keepNext/>
              <w:spacing w:before="40" w:after="40" w:line="240" w:lineRule="auto"/>
              <w:jc w:val="right"/>
            </w:pPr>
            <w:r>
              <w:rPr>
                <w:rFonts w:ascii="Arial" w:hAnsi="Arial" w:eastAsia="Arial" w:cs="Arial"/>
                <w:sz w:val="21"/>
              </w:rPr>
              <w:t>981</w:t>
            </w:r>
          </w:p>
        </w:tc>
        <w:tc>
          <w:tcPr>
            <w:tcW w:type="dxa" w:w="1402"/>
            <w:vAlign w:val="center"/>
            <w:shd w:val="clear" w:color="auto" w:fill="FFFFFF"/>
          </w:tcPr>
          <w:p>
            <w:pPr>
              <w:keepNext/>
              <w:spacing w:before="40" w:after="40" w:line="240" w:lineRule="auto"/>
              <w:jc w:val="right"/>
            </w:pPr>
            <w:r>
              <w:rPr>
                <w:rFonts w:ascii="Arial" w:hAnsi="Arial" w:eastAsia="Arial" w:cs="Arial"/>
                <w:sz w:val="21"/>
              </w:rPr>
              <w:t>2,892</w:t>
            </w:r>
          </w:p>
        </w:tc>
        <w:tc>
          <w:tcPr>
            <w:tcW w:type="dxa" w:w="1402"/>
            <w:vAlign w:val="center"/>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nightly price (AUD)</w:t>
            </w:r>
          </w:p>
        </w:tc>
        <w:tc>
          <w:tcPr>
            <w:tcW w:type="dxa" w:w="1812"/>
            <w:vAlign w:val="center"/>
            <w:shd w:val="clear" w:color="auto" w:fill="FFFFFF"/>
          </w:tcPr>
          <w:p>
            <w:pPr>
              <w:keepNext/>
              <w:spacing w:before="40" w:after="40" w:line="240" w:lineRule="auto"/>
              <w:jc w:val="right"/>
            </w:pPr>
            <w:r>
              <w:rPr>
                <w:rFonts w:ascii="Arial" w:hAnsi="Arial" w:eastAsia="Arial" w:cs="Arial"/>
                <w:sz w:val="21"/>
              </w:rPr>
              <w:t>254</w:t>
            </w:r>
          </w:p>
        </w:tc>
        <w:tc>
          <w:tcPr>
            <w:tcW w:type="dxa" w:w="1402"/>
            <w:vAlign w:val="center"/>
            <w:shd w:val="clear" w:color="auto" w:fill="FFFFFF"/>
          </w:tcPr>
          <w:p>
            <w:pPr>
              <w:keepNext/>
              <w:spacing w:before="40" w:after="40" w:line="240" w:lineRule="auto"/>
              <w:jc w:val="right"/>
            </w:pPr>
            <w:r>
              <w:rPr>
                <w:rFonts w:ascii="Arial" w:hAnsi="Arial" w:eastAsia="Arial" w:cs="Arial"/>
                <w:sz w:val="21"/>
              </w:rPr>
              <w:t>266</w:t>
            </w:r>
          </w:p>
        </w:tc>
        <w:tc>
          <w:tcPr>
            <w:tcW w:type="dxa" w:w="1402"/>
            <w:vAlign w:val="center"/>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amenity count</w:t>
            </w:r>
          </w:p>
        </w:tc>
        <w:tc>
          <w:tcPr>
            <w:tcW w:type="dxa" w:w="1812"/>
            <w:vAlign w:val="center"/>
            <w:shd w:val="clear" w:color="auto" w:fill="FFFFFF"/>
          </w:tcPr>
          <w:p>
            <w:pPr>
              <w:keepNext/>
              <w:spacing w:before="40" w:after="40" w:line="240" w:lineRule="auto"/>
              <w:jc w:val="right"/>
            </w:pPr>
            <w:r>
              <w:rPr>
                <w:rFonts w:ascii="Arial" w:hAnsi="Arial" w:eastAsia="Arial" w:cs="Arial"/>
                <w:sz w:val="21"/>
              </w:rPr>
              <w:t>44</w:t>
            </w:r>
          </w:p>
        </w:tc>
        <w:tc>
          <w:tcPr>
            <w:tcW w:type="dxa" w:w="1402"/>
            <w:vAlign w:val="center"/>
            <w:shd w:val="clear" w:color="auto" w:fill="FFFFFF"/>
          </w:tcPr>
          <w:p>
            <w:pPr>
              <w:keepNext/>
              <w:spacing w:before="40" w:after="40" w:line="240" w:lineRule="auto"/>
              <w:jc w:val="right"/>
            </w:pPr>
            <w:r>
              <w:rPr>
                <w:rFonts w:ascii="Arial" w:hAnsi="Arial" w:eastAsia="Arial" w:cs="Arial"/>
                <w:sz w:val="21"/>
              </w:rPr>
              <w:t>43</w:t>
            </w:r>
          </w:p>
        </w:tc>
        <w:tc>
          <w:tcPr>
            <w:tcW w:type="dxa" w:w="1402"/>
            <w:vAlign w:val="center"/>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Accept one-night stays</w:t>
            </w:r>
          </w:p>
        </w:tc>
        <w:tc>
          <w:tcPr>
            <w:tcW w:type="dxa" w:w="1812"/>
            <w:vAlign w:val="center"/>
            <w:shd w:val="clear" w:color="auto" w:fill="FFFFFF"/>
          </w:tcPr>
          <w:p>
            <w:pPr>
              <w:keepNext/>
              <w:spacing w:before="40" w:after="40" w:line="240" w:lineRule="auto"/>
              <w:jc w:val="right"/>
            </w:pPr>
            <w:r>
              <w:rPr>
                <w:rFonts w:ascii="Arial" w:hAnsi="Arial" w:eastAsia="Arial" w:cs="Arial"/>
                <w:sz w:val="21"/>
              </w:rPr>
              <w:t>67.7%</w:t>
            </w:r>
          </w:p>
        </w:tc>
        <w:tc>
          <w:tcPr>
            <w:tcW w:type="dxa" w:w="1402"/>
            <w:vAlign w:val="center"/>
            <w:shd w:val="clear" w:color="auto" w:fill="FFFFFF"/>
          </w:tcPr>
          <w:p>
            <w:pPr>
              <w:keepNext/>
              <w:spacing w:before="40" w:after="40" w:line="240" w:lineRule="auto"/>
              <w:jc w:val="right"/>
            </w:pPr>
            <w:r>
              <w:rPr>
                <w:rFonts w:ascii="Arial" w:hAnsi="Arial" w:eastAsia="Arial" w:cs="Arial"/>
                <w:sz w:val="21"/>
              </w:rPr>
              <w:t>37.5%</w:t>
            </w:r>
          </w:p>
        </w:tc>
        <w:tc>
          <w:tcPr>
            <w:tcW w:type="dxa" w:w="1402"/>
            <w:vAlign w:val="center"/>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Minimum stay seven nights or more</w:t>
            </w:r>
          </w:p>
        </w:tc>
        <w:tc>
          <w:tcPr>
            <w:tcW w:type="dxa" w:w="1812"/>
            <w:vAlign w:val="center"/>
            <w:shd w:val="clear" w:color="auto" w:fill="FFFFFF"/>
          </w:tcPr>
          <w:p>
            <w:pPr>
              <w:keepNext/>
              <w:spacing w:before="40" w:after="40" w:line="240" w:lineRule="auto"/>
              <w:jc w:val="right"/>
            </w:pPr>
            <w:r>
              <w:rPr>
                <w:rFonts w:ascii="Arial" w:hAnsi="Arial" w:eastAsia="Arial" w:cs="Arial"/>
                <w:sz w:val="21"/>
              </w:rPr>
              <w:t>0.0%</w:t>
            </w:r>
          </w:p>
        </w:tc>
        <w:tc>
          <w:tcPr>
            <w:tcW w:type="dxa" w:w="1402"/>
            <w:vAlign w:val="center"/>
            <w:shd w:val="clear" w:color="auto" w:fill="FFFFFF"/>
          </w:tcPr>
          <w:p>
            <w:pPr>
              <w:keepNext/>
              <w:spacing w:before="40" w:after="40" w:line="240" w:lineRule="auto"/>
              <w:jc w:val="right"/>
            </w:pPr>
            <w:r>
              <w:rPr>
                <w:rFonts w:ascii="Arial" w:hAnsi="Arial" w:eastAsia="Arial" w:cs="Arial"/>
                <w:sz w:val="21"/>
              </w:rPr>
              <w:t>5.7%</w:t>
            </w:r>
          </w:p>
        </w:tc>
        <w:tc>
          <w:tcPr>
            <w:tcW w:type="dxa" w:w="1402"/>
            <w:vAlign w:val="center"/>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In the City of Melbourne</w:t>
            </w:r>
          </w:p>
        </w:tc>
        <w:tc>
          <w:tcPr>
            <w:tcW w:type="dxa" w:w="1812"/>
            <w:vAlign w:val="center"/>
            <w:shd w:val="clear" w:color="auto" w:fill="FFFFFF"/>
          </w:tcPr>
          <w:p>
            <w:pPr>
              <w:keepNext/>
              <w:spacing w:before="40" w:after="40" w:line="240" w:lineRule="auto"/>
              <w:jc w:val="right"/>
            </w:pPr>
            <w:r>
              <w:rPr>
                <w:rFonts w:ascii="Arial" w:hAnsi="Arial" w:eastAsia="Arial" w:cs="Arial"/>
                <w:sz w:val="21"/>
              </w:rPr>
              <w:t>76.9%</w:t>
            </w:r>
          </w:p>
        </w:tc>
        <w:tc>
          <w:tcPr>
            <w:tcW w:type="dxa" w:w="1402"/>
            <w:vAlign w:val="center"/>
            <w:shd w:val="clear" w:color="auto" w:fill="FFFFFF"/>
          </w:tcPr>
          <w:p>
            <w:pPr>
              <w:keepNext/>
              <w:spacing w:before="40" w:after="40" w:line="240" w:lineRule="auto"/>
              <w:jc w:val="right"/>
            </w:pPr>
            <w:r>
              <w:rPr>
                <w:rFonts w:ascii="Arial" w:hAnsi="Arial" w:eastAsia="Arial" w:cs="Arial"/>
                <w:sz w:val="21"/>
              </w:rPr>
              <w:t>59.6%</w:t>
            </w:r>
          </w:p>
        </w:tc>
        <w:tc>
          <w:tcPr>
            <w:tcW w:type="dxa" w:w="1402"/>
            <w:vAlign w:val="center"/>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estimated nights booked (cap 255)</w:t>
            </w:r>
          </w:p>
        </w:tc>
        <w:tc>
          <w:tcPr>
            <w:tcW w:type="dxa" w:w="1812"/>
            <w:vAlign w:val="center"/>
            <w:shd w:val="clear" w:color="auto" w:fill="FFFFFF"/>
          </w:tcPr>
          <w:p>
            <w:pPr>
              <w:keepNext/>
              <w:spacing w:before="40" w:after="40" w:line="240" w:lineRule="auto"/>
              <w:jc w:val="right"/>
            </w:pPr>
            <w:r>
              <w:rPr>
                <w:rFonts w:ascii="Arial" w:hAnsi="Arial" w:eastAsia="Arial" w:cs="Arial"/>
                <w:sz w:val="21"/>
              </w:rPr>
              <w:t>255</w:t>
            </w:r>
          </w:p>
        </w:tc>
        <w:tc>
          <w:tcPr>
            <w:tcW w:type="dxa" w:w="1402"/>
            <w:vAlign w:val="center"/>
            <w:shd w:val="clear" w:color="auto" w:fill="FFFFFF"/>
          </w:tcPr>
          <w:p>
            <w:pPr>
              <w:keepNext/>
              <w:spacing w:before="40" w:after="40" w:line="240" w:lineRule="auto"/>
              <w:jc w:val="right"/>
            </w:pPr>
            <w:r>
              <w:rPr>
                <w:rFonts w:ascii="Arial" w:hAnsi="Arial" w:eastAsia="Arial" w:cs="Arial"/>
                <w:sz w:val="21"/>
              </w:rPr>
              <w:t>60</w:t>
            </w:r>
          </w:p>
        </w:tc>
        <w:tc>
          <w:tcPr>
            <w:tcW w:type="dxa" w:w="1402"/>
            <w:vAlign w:val="center"/>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247"/>
            <w:vAlign w:val="center"/>
            <w:shd w:val="clear" w:color="auto" w:fill="FFFFFF"/>
          </w:tcPr>
          <w:p>
            <w:pPr>
              <w:spacing w:before="40" w:after="40" w:line="240" w:lineRule="auto"/>
              <w:jc w:val="left"/>
            </w:pPr>
            <w:r>
              <w:rPr>
                <w:rFonts w:ascii="Arial" w:hAnsi="Arial" w:eastAsia="Arial" w:cs="Arial"/>
                <w:sz w:val="21"/>
              </w:rPr>
              <w:t>Median estimated revenue (AUD a year)</w:t>
            </w:r>
          </w:p>
        </w:tc>
        <w:tc>
          <w:tcPr>
            <w:tcW w:type="dxa" w:w="1812"/>
            <w:vAlign w:val="center"/>
            <w:shd w:val="clear" w:color="auto" w:fill="FFFFFF"/>
          </w:tcPr>
          <w:p>
            <w:pPr>
              <w:spacing w:before="40" w:after="40" w:line="240" w:lineRule="auto"/>
              <w:jc w:val="right"/>
            </w:pPr>
            <w:r>
              <w:rPr>
                <w:rFonts w:ascii="Arial" w:hAnsi="Arial" w:eastAsia="Arial" w:cs="Arial"/>
                <w:sz w:val="21"/>
              </w:rPr>
              <w:t>58,400</w:t>
            </w:r>
          </w:p>
        </w:tc>
        <w:tc>
          <w:tcPr>
            <w:tcW w:type="dxa" w:w="1402"/>
            <w:vAlign w:val="center"/>
            <w:shd w:val="clear" w:color="auto" w:fill="FFFFFF"/>
          </w:tcPr>
          <w:p>
            <w:pPr>
              <w:spacing w:before="40" w:after="40" w:line="240" w:lineRule="auto"/>
              <w:jc w:val="right"/>
            </w:pPr>
            <w:r>
              <w:rPr>
                <w:rFonts w:ascii="Arial" w:hAnsi="Arial" w:eastAsia="Arial" w:cs="Arial"/>
                <w:sz w:val="21"/>
              </w:rPr>
              <w:t>16,600</w:t>
            </w:r>
          </w:p>
        </w:tc>
        <w:tc>
          <w:tcPr>
            <w:tcW w:type="dxa" w:w="1402"/>
            <w:vAlign w:val="center"/>
            <w:shd w:val="clear" w:color="auto" w:fill="FFFFFF"/>
          </w:tcPr>
          <w:p>
            <w:pPr>
              <w:spacing w:before="40" w:after="40" w:line="240" w:lineRule="auto"/>
              <w:jc w:val="right"/>
            </w:pPr>
            <w:r>
              <w:rPr>
                <w:rFonts w:ascii="Arial" w:hAnsi="Arial" w:eastAsia="Arial" w:cs="Arial"/>
                <w:sz w:val="21"/>
              </w:rPr>
              <w:t>24,700</w:t>
            </w:r>
          </w:p>
        </w:tc>
      </w:tr>
    </w:tbl>
    <w:p>
      <w:pPr>
        <w:widowControl/>
        <w:spacing w:after="80" w:line="240" w:lineRule="auto"/>
        <w:jc w:val="left"/>
      </w:pPr>
    </w:p>
    <w:p>
      <w:pPr>
        <w:widowControl/>
        <w:spacing w:after="120" w:line="259" w:lineRule="auto"/>
        <w:jc w:val="left"/>
      </w:pPr>
      <w:r>
        <w:rPr>
          <w:rFonts w:ascii="Arial" w:hAnsi="Arial" w:eastAsia="Arial" w:cs="Arial"/>
        </w:rPr>
        <w:t>Busy homes were slightly cheaper with similar amenity counts, but far more often accepted one-night stays and sat in the City of Melbourne. Their median estimated revenue was 3.5 times higher (AUD 58,400 versus 16,600), reflecting its review-based formula (Table 3).</w:t>
      </w:r>
    </w:p>
    <w:p>
      <w:pPr>
        <w:pStyle w:val="Heading2"/>
        <w:keepNext/>
      </w:pPr>
      <w:r>
        <w:rPr>
          <w:rFonts w:ascii="Arial" w:hAnsi="Arial" w:eastAsia="Arial" w:cs="Arial"/>
        </w:rPr>
        <w:t>5.2 Descriptive comparison: City apartments are the first search priority</w:t>
      </w:r>
    </w:p>
    <w:p>
      <w:pPr>
        <w:widowControl/>
        <w:spacing w:after="120" w:line="259" w:lineRule="auto"/>
        <w:jc w:val="left"/>
      </w:pPr>
      <w:r>
        <w:rPr>
          <w:rFonts w:ascii="Arial" w:hAnsi="Arial" w:eastAsia="Arial" w:cs="Arial"/>
        </w:rPr>
        <w:t>Group rates range from 8.2% to 36.6% against 25.3% overall, and the three priority groups lead (Figure 2, Table 4).</w:t>
      </w:r>
    </w:p>
    <w:p>
      <w:pPr>
        <w:keepNext/>
        <w:widowControl/>
        <w:spacing w:after="40" w:before="80" w:line="240" w:lineRule="auto"/>
        <w:jc w:val="center"/>
      </w:pPr>
      <w:r>
        <w:drawing>
          <wp:inline xmlns:a="http://schemas.openxmlformats.org/drawingml/2006/main" xmlns:pic="http://schemas.openxmlformats.org/drawingml/2006/picture">
            <wp:extent cx="6035040" cy="3880533"/>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3880533"/>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w:t>
      </w:r>
    </w:p>
    <w:p>
      <w:pPr>
        <w:keepNext/>
        <w:widowControl/>
        <w:spacing w:after="80" w:before="80" w:line="259" w:lineRule="auto"/>
        <w:jc w:val="left"/>
      </w:pPr>
      <w:r>
        <w:rPr>
          <w:rFonts w:ascii="Arial" w:hAnsi="Arial" w:eastAsia="Arial" w:cs="Arial"/>
          <w:b/>
        </w:rPr>
        <w:t>Table 4. Priority groups: median estimated nights and annual revenue (AUD)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074"/>
        <w:gridCol w:w="1049"/>
        <w:gridCol w:w="1049"/>
        <w:gridCol w:w="1356"/>
        <w:gridCol w:w="1509"/>
        <w:gridCol w:w="1314"/>
        <w:gridCol w:w="1509"/>
      </w:tblGrid>
      <w:tr>
        <w:trPr>
          <w:cantSplit/>
          <w:tblHeader/>
        </w:trPr>
        <w:tc>
          <w:tcPr>
            <w:tcW w:type="dxa" w:w="2074"/>
            <w:vAlign w:val="center"/>
            <w:shd w:val="clear" w:color="auto" w:fill="E9EEF3"/>
          </w:tcPr>
          <w:p>
            <w:pPr>
              <w:keepNext/>
              <w:spacing w:before="40" w:after="40" w:line="240" w:lineRule="auto"/>
              <w:jc w:val="left"/>
            </w:pPr>
            <w:r>
              <w:rPr>
                <w:rFonts w:ascii="Arial" w:hAnsi="Arial" w:eastAsia="Arial" w:cs="Arial"/>
                <w:b/>
                <w:sz w:val="21"/>
              </w:rPr>
              <w:t>Group</w:t>
            </w:r>
          </w:p>
        </w:tc>
        <w:tc>
          <w:tcPr>
            <w:tcW w:type="dxa" w:w="1049"/>
            <w:vAlign w:val="center"/>
            <w:shd w:val="clear" w:color="auto" w:fill="E9EEF3"/>
          </w:tcPr>
          <w:p>
            <w:pPr>
              <w:keepNext/>
              <w:spacing w:before="40" w:after="40" w:line="240" w:lineRule="auto"/>
              <w:jc w:val="left"/>
            </w:pPr>
            <w:r>
              <w:rPr>
                <w:rFonts w:ascii="Arial" w:hAnsi="Arial" w:eastAsia="Arial" w:cs="Arial"/>
                <w:b/>
                <w:sz w:val="21"/>
              </w:rPr>
              <w:t>Homes</w:t>
            </w:r>
          </w:p>
        </w:tc>
        <w:tc>
          <w:tcPr>
            <w:tcW w:type="dxa" w:w="1049"/>
            <w:vAlign w:val="center"/>
            <w:shd w:val="clear" w:color="auto" w:fill="E9EEF3"/>
          </w:tcPr>
          <w:p>
            <w:pPr>
              <w:keepNext/>
              <w:spacing w:before="40" w:after="40" w:line="240" w:lineRule="auto"/>
              <w:jc w:val="left"/>
            </w:pPr>
            <w:r>
              <w:rPr>
                <w:rFonts w:ascii="Arial" w:hAnsi="Arial" w:eastAsia="Arial" w:cs="Arial"/>
                <w:b/>
                <w:sz w:val="21"/>
              </w:rPr>
              <w:t>Share busy</w:t>
            </w:r>
          </w:p>
        </w:tc>
        <w:tc>
          <w:tcPr>
            <w:tcW w:type="dxa" w:w="1356"/>
            <w:vAlign w:val="center"/>
            <w:shd w:val="clear" w:color="auto" w:fill="E9EEF3"/>
          </w:tcPr>
          <w:p>
            <w:pPr>
              <w:keepNext/>
              <w:spacing w:before="40" w:after="40" w:line="240" w:lineRule="auto"/>
              <w:jc w:val="left"/>
            </w:pPr>
            <w:r>
              <w:rPr>
                <w:rFonts w:ascii="Arial" w:hAnsi="Arial" w:eastAsia="Arial" w:cs="Arial"/>
                <w:b/>
                <w:sz w:val="21"/>
              </w:rPr>
              <w:t>Nights, all homes</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all homes</w:t>
            </w:r>
          </w:p>
        </w:tc>
        <w:tc>
          <w:tcPr>
            <w:tcW w:type="dxa" w:w="1314"/>
            <w:vAlign w:val="center"/>
            <w:shd w:val="clear" w:color="auto" w:fill="E9EEF3"/>
          </w:tcPr>
          <w:p>
            <w:pPr>
              <w:keepNext/>
              <w:spacing w:before="40" w:after="40" w:line="240" w:lineRule="auto"/>
              <w:jc w:val="left"/>
            </w:pPr>
            <w:r>
              <w:rPr>
                <w:rFonts w:ascii="Arial" w:hAnsi="Arial" w:eastAsia="Arial" w:cs="Arial"/>
                <w:b/>
                <w:sz w:val="21"/>
              </w:rPr>
              <w:t>Revenue rank</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below 30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3-bed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306</w:t>
            </w:r>
          </w:p>
        </w:tc>
        <w:tc>
          <w:tcPr>
            <w:tcW w:type="dxa" w:w="1049"/>
            <w:vAlign w:val="center"/>
            <w:shd w:val="clear" w:color="auto" w:fill="FFFFFF"/>
          </w:tcPr>
          <w:p>
            <w:pPr>
              <w:keepNext/>
              <w:spacing w:before="40" w:after="40" w:line="240" w:lineRule="auto"/>
              <w:jc w:val="right"/>
            </w:pPr>
            <w:r>
              <w:rPr>
                <w:rFonts w:ascii="Arial" w:hAnsi="Arial" w:eastAsia="Arial" w:cs="Arial"/>
                <w:sz w:val="21"/>
              </w:rPr>
              <w:t>36.6%</w:t>
            </w:r>
          </w:p>
        </w:tc>
        <w:tc>
          <w:tcPr>
            <w:tcW w:type="dxa" w:w="1356"/>
            <w:vAlign w:val="center"/>
            <w:shd w:val="clear" w:color="auto" w:fill="FFFFFF"/>
          </w:tcPr>
          <w:p>
            <w:pPr>
              <w:keepNext/>
              <w:spacing w:before="40" w:after="40" w:line="240" w:lineRule="auto"/>
              <w:jc w:val="right"/>
            </w:pPr>
            <w:r>
              <w:rPr>
                <w:rFonts w:ascii="Arial" w:hAnsi="Arial" w:eastAsia="Arial" w:cs="Arial"/>
                <w:sz w:val="21"/>
              </w:rPr>
              <w:t>126</w:t>
            </w:r>
          </w:p>
        </w:tc>
        <w:tc>
          <w:tcPr>
            <w:tcW w:type="dxa" w:w="1509"/>
            <w:vAlign w:val="center"/>
            <w:shd w:val="clear" w:color="auto" w:fill="FFFFFF"/>
          </w:tcPr>
          <w:p>
            <w:pPr>
              <w:keepNext/>
              <w:spacing w:before="40" w:after="40" w:line="240" w:lineRule="auto"/>
              <w:jc w:val="right"/>
            </w:pPr>
            <w:r>
              <w:rPr>
                <w:rFonts w:ascii="Arial" w:hAnsi="Arial" w:eastAsia="Arial" w:cs="Arial"/>
                <w:sz w:val="21"/>
              </w:rPr>
              <w:t>48,600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1</w:t>
            </w:r>
          </w:p>
        </w:tc>
        <w:tc>
          <w:tcPr>
            <w:tcW w:type="dxa" w:w="1509"/>
            <w:vAlign w:val="center"/>
            <w:shd w:val="clear" w:color="auto" w:fill="FFFFFF"/>
          </w:tcPr>
          <w:p>
            <w:pPr>
              <w:keepNext/>
              <w:spacing w:before="40" w:after="40" w:line="240" w:lineRule="auto"/>
              <w:jc w:val="right"/>
            </w:pPr>
            <w:r>
              <w:rPr>
                <w:rFonts w:ascii="Arial" w:hAnsi="Arial" w:eastAsia="Arial" w:cs="Arial"/>
                <w:sz w:val="21"/>
              </w:rPr>
              <w:t>32,100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2-bed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1,235</w:t>
            </w:r>
          </w:p>
        </w:tc>
        <w:tc>
          <w:tcPr>
            <w:tcW w:type="dxa" w:w="1049"/>
            <w:vAlign w:val="center"/>
            <w:shd w:val="clear" w:color="auto" w:fill="FFFFFF"/>
          </w:tcPr>
          <w:p>
            <w:pPr>
              <w:keepNext/>
              <w:spacing w:before="40" w:after="40" w:line="240" w:lineRule="auto"/>
              <w:jc w:val="right"/>
            </w:pPr>
            <w:r>
              <w:rPr>
                <w:rFonts w:ascii="Arial" w:hAnsi="Arial" w:eastAsia="Arial" w:cs="Arial"/>
                <w:sz w:val="21"/>
              </w:rPr>
              <w:t>32.8%</w:t>
            </w:r>
          </w:p>
        </w:tc>
        <w:tc>
          <w:tcPr>
            <w:tcW w:type="dxa" w:w="1356"/>
            <w:vAlign w:val="center"/>
            <w:shd w:val="clear" w:color="auto" w:fill="FFFFFF"/>
          </w:tcPr>
          <w:p>
            <w:pPr>
              <w:keepNext/>
              <w:spacing w:before="40" w:after="40" w:line="240" w:lineRule="auto"/>
              <w:jc w:val="right"/>
            </w:pPr>
            <w:r>
              <w:rPr>
                <w:rFonts w:ascii="Arial" w:hAnsi="Arial" w:eastAsia="Arial" w:cs="Arial"/>
                <w:sz w:val="21"/>
              </w:rPr>
              <w:t>108</w:t>
            </w:r>
          </w:p>
        </w:tc>
        <w:tc>
          <w:tcPr>
            <w:tcW w:type="dxa" w:w="1509"/>
            <w:vAlign w:val="center"/>
            <w:shd w:val="clear" w:color="auto" w:fill="FFFFFF"/>
          </w:tcPr>
          <w:p>
            <w:pPr>
              <w:keepNext/>
              <w:spacing w:before="40" w:after="40" w:line="240" w:lineRule="auto"/>
              <w:jc w:val="right"/>
            </w:pPr>
            <w:r>
              <w:rPr>
                <w:rFonts w:ascii="Arial" w:hAnsi="Arial" w:eastAsia="Arial" w:cs="Arial"/>
                <w:sz w:val="21"/>
              </w:rPr>
              <w:t>30,600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5</w:t>
            </w:r>
          </w:p>
        </w:tc>
        <w:tc>
          <w:tcPr>
            <w:tcW w:type="dxa" w:w="1509"/>
            <w:vAlign w:val="center"/>
            <w:shd w:val="clear" w:color="auto" w:fill="FFFFFF"/>
          </w:tcPr>
          <w:p>
            <w:pPr>
              <w:keepNext/>
              <w:spacing w:before="40" w:after="40" w:line="240" w:lineRule="auto"/>
              <w:jc w:val="right"/>
            </w:pPr>
            <w:r>
              <w:rPr>
                <w:rFonts w:ascii="Arial" w:hAnsi="Arial" w:eastAsia="Arial" w:cs="Arial"/>
                <w:sz w:val="21"/>
              </w:rPr>
              <w:t>16,600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Yarra Ranges 3-bed houses</w:t>
            </w:r>
          </w:p>
        </w:tc>
        <w:tc>
          <w:tcPr>
            <w:tcW w:type="dxa" w:w="1049"/>
            <w:vAlign w:val="center"/>
            <w:shd w:val="clear" w:color="auto" w:fill="FFFFFF"/>
          </w:tcPr>
          <w:p>
            <w:pPr>
              <w:keepNext/>
              <w:spacing w:before="40" w:after="40" w:line="240" w:lineRule="auto"/>
              <w:jc w:val="right"/>
            </w:pPr>
            <w:r>
              <w:rPr>
                <w:rFonts w:ascii="Arial" w:hAnsi="Arial" w:eastAsia="Arial" w:cs="Arial"/>
                <w:sz w:val="21"/>
              </w:rPr>
              <w:t>90</w:t>
            </w:r>
          </w:p>
        </w:tc>
        <w:tc>
          <w:tcPr>
            <w:tcW w:type="dxa" w:w="1049"/>
            <w:vAlign w:val="center"/>
            <w:shd w:val="clear" w:color="auto" w:fill="FFFFFF"/>
          </w:tcPr>
          <w:p>
            <w:pPr>
              <w:keepNext/>
              <w:spacing w:before="40" w:after="40" w:line="240" w:lineRule="auto"/>
              <w:jc w:val="right"/>
            </w:pPr>
            <w:r>
              <w:rPr>
                <w:rFonts w:ascii="Arial" w:hAnsi="Arial" w:eastAsia="Arial" w:cs="Arial"/>
                <w:sz w:val="21"/>
              </w:rPr>
              <w:t>30.0%</w:t>
            </w:r>
          </w:p>
        </w:tc>
        <w:tc>
          <w:tcPr>
            <w:tcW w:type="dxa" w:w="1356"/>
            <w:vAlign w:val="center"/>
            <w:shd w:val="clear" w:color="auto" w:fill="FFFFFF"/>
          </w:tcPr>
          <w:p>
            <w:pPr>
              <w:keepNext/>
              <w:spacing w:before="40" w:after="40" w:line="240" w:lineRule="auto"/>
              <w:jc w:val="right"/>
            </w:pPr>
            <w:r>
              <w:rPr>
                <w:rFonts w:ascii="Arial" w:hAnsi="Arial" w:eastAsia="Arial" w:cs="Arial"/>
                <w:sz w:val="21"/>
              </w:rPr>
              <w:t>120</w:t>
            </w:r>
          </w:p>
        </w:tc>
        <w:tc>
          <w:tcPr>
            <w:tcW w:type="dxa" w:w="1509"/>
            <w:vAlign w:val="center"/>
            <w:shd w:val="clear" w:color="auto" w:fill="FFFFFF"/>
          </w:tcPr>
          <w:p>
            <w:pPr>
              <w:keepNext/>
              <w:spacing w:before="40" w:after="40" w:line="240" w:lineRule="auto"/>
              <w:jc w:val="right"/>
            </w:pPr>
            <w:r>
              <w:rPr>
                <w:rFonts w:ascii="Arial" w:hAnsi="Arial" w:eastAsia="Arial" w:cs="Arial"/>
                <w:sz w:val="21"/>
              </w:rPr>
              <w:t>46,100</w:t>
            </w:r>
          </w:p>
        </w:tc>
        <w:tc>
          <w:tcPr>
            <w:tcW w:type="dxa" w:w="1314"/>
            <w:vAlign w:val="center"/>
            <w:shd w:val="clear" w:color="auto" w:fill="FFFFFF"/>
          </w:tcPr>
          <w:p>
            <w:pPr>
              <w:keepNext/>
              <w:spacing w:before="40" w:after="40" w:line="240" w:lineRule="auto"/>
              <w:jc w:val="right"/>
            </w:pPr>
            <w:r>
              <w:rPr>
                <w:rFonts w:ascii="Arial" w:hAnsi="Arial" w:eastAsia="Arial" w:cs="Arial"/>
                <w:sz w:val="21"/>
              </w:rPr>
              <w:t>2</w:t>
            </w:r>
          </w:p>
        </w:tc>
        <w:tc>
          <w:tcPr>
            <w:tcW w:type="dxa" w:w="1509"/>
            <w:vAlign w:val="center"/>
            <w:shd w:val="clear" w:color="auto" w:fill="FFFFFF"/>
          </w:tcPr>
          <w:p>
            <w:pPr>
              <w:keepNext/>
              <w:spacing w:before="40" w:after="40" w:line="240" w:lineRule="auto"/>
              <w:jc w:val="right"/>
            </w:pPr>
            <w:r>
              <w:rPr>
                <w:rFonts w:ascii="Arial" w:hAnsi="Arial" w:eastAsia="Arial" w:cs="Arial"/>
                <w:sz w:val="21"/>
              </w:rPr>
              <w:t>31,100</w:t>
            </w:r>
          </w:p>
        </w:tc>
      </w:tr>
      <w:tr>
        <w:trPr>
          <w:cantSplit/>
        </w:trPr>
        <w:tc>
          <w:tcPr>
            <w:tcW w:type="dxa" w:w="2074"/>
            <w:vAlign w:val="center"/>
            <w:shd w:val="clear" w:color="auto" w:fill="FFFFFF"/>
          </w:tcPr>
          <w:p>
            <w:pPr>
              <w:spacing w:before="40" w:after="40" w:line="240" w:lineRule="auto"/>
              <w:jc w:val="left"/>
            </w:pPr>
            <w:r>
              <w:rPr>
                <w:rFonts w:ascii="Arial" w:hAnsi="Arial" w:eastAsia="Arial" w:cs="Arial"/>
                <w:sz w:val="21"/>
              </w:rPr>
              <w:t>All 14 groups</w:t>
            </w:r>
          </w:p>
        </w:tc>
        <w:tc>
          <w:tcPr>
            <w:tcW w:type="dxa" w:w="1049"/>
            <w:vAlign w:val="center"/>
            <w:shd w:val="clear" w:color="auto" w:fill="FFFFFF"/>
          </w:tcPr>
          <w:p>
            <w:pPr>
              <w:spacing w:before="40" w:after="40" w:line="240" w:lineRule="auto"/>
              <w:jc w:val="right"/>
            </w:pPr>
            <w:r>
              <w:rPr>
                <w:rFonts w:ascii="Arial" w:hAnsi="Arial" w:eastAsia="Arial" w:cs="Arial"/>
                <w:sz w:val="21"/>
              </w:rPr>
              <w:t>3,873</w:t>
            </w:r>
          </w:p>
        </w:tc>
        <w:tc>
          <w:tcPr>
            <w:tcW w:type="dxa" w:w="1049"/>
            <w:vAlign w:val="center"/>
            <w:shd w:val="clear" w:color="auto" w:fill="FFFFFF"/>
          </w:tcPr>
          <w:p>
            <w:pPr>
              <w:spacing w:before="40" w:after="40" w:line="240" w:lineRule="auto"/>
              <w:jc w:val="right"/>
            </w:pPr>
            <w:r>
              <w:rPr>
                <w:rFonts w:ascii="Arial" w:hAnsi="Arial" w:eastAsia="Arial" w:cs="Arial"/>
                <w:sz w:val="21"/>
              </w:rPr>
              <w:t>25.3%</w:t>
            </w:r>
          </w:p>
        </w:tc>
        <w:tc>
          <w:tcPr>
            <w:tcW w:type="dxa" w:w="1356"/>
            <w:vAlign w:val="center"/>
            <w:shd w:val="clear" w:color="auto" w:fill="FFFFFF"/>
          </w:tcPr>
          <w:p>
            <w:pPr>
              <w:spacing w:before="40" w:after="40" w:line="240" w:lineRule="auto"/>
              <w:jc w:val="right"/>
            </w:pPr>
            <w:r>
              <w:rPr>
                <w:rFonts w:ascii="Arial" w:hAnsi="Arial" w:eastAsia="Arial" w:cs="Arial"/>
                <w:sz w:val="21"/>
              </w:rPr>
              <w:t>96</w:t>
            </w:r>
          </w:p>
        </w:tc>
        <w:tc>
          <w:tcPr>
            <w:tcW w:type="dxa" w:w="1509"/>
            <w:vAlign w:val="center"/>
            <w:shd w:val="clear" w:color="auto" w:fill="FFFFFF"/>
          </w:tcPr>
          <w:p>
            <w:pPr>
              <w:spacing w:before="40" w:after="40" w:line="240" w:lineRule="auto"/>
              <w:jc w:val="right"/>
            </w:pPr>
            <w:r>
              <w:rPr>
                <w:rFonts w:ascii="Arial" w:hAnsi="Arial" w:eastAsia="Arial" w:cs="Arial"/>
                <w:sz w:val="21"/>
              </w:rPr>
              <w:t>24,700</w:t>
            </w:r>
          </w:p>
        </w:tc>
        <w:tc>
          <w:tcPr>
            <w:tcW w:type="dxa" w:w="1314"/>
            <w:vAlign w:val="center"/>
            <w:shd w:val="clear" w:color="auto" w:fill="FFFFFF"/>
          </w:tcPr>
          <w:p>
            <w:pPr>
              <w:spacing w:before="40" w:after="40" w:line="240" w:lineRule="auto"/>
              <w:jc w:val="right"/>
            </w:pPr>
            <w:r>
              <w:rPr>
                <w:rFonts w:ascii="Arial" w:hAnsi="Arial" w:eastAsia="Arial" w:cs="Arial"/>
                <w:sz w:val="21"/>
              </w:rPr>
              <w:t>–</w:t>
            </w:r>
          </w:p>
        </w:tc>
        <w:tc>
          <w:tcPr>
            <w:tcW w:type="dxa" w:w="1509"/>
            <w:vAlign w:val="center"/>
            <w:shd w:val="clear" w:color="auto" w:fill="FFFFFF"/>
          </w:tcPr>
          <w:p>
            <w:pPr>
              <w:spacing w:before="40" w:after="40" w:line="240" w:lineRule="auto"/>
              <w:jc w:val="right"/>
            </w:pPr>
            <w:r>
              <w:rPr>
                <w:rFonts w:ascii="Arial" w:hAnsi="Arial" w:eastAsia="Arial" w:cs="Arial"/>
                <w:sz w:val="21"/>
              </w:rPr>
              <w:t>16,600</w:t>
            </w:r>
          </w:p>
        </w:tc>
      </w:tr>
    </w:tbl>
    <w:p>
      <w:pPr>
        <w:widowControl/>
        <w:spacing w:after="80" w:line="240" w:lineRule="auto"/>
        <w:jc w:val="left"/>
      </w:pPr>
    </w:p>
    <w:p>
      <w:pPr>
        <w:widowControl/>
        <w:spacing w:after="120" w:line="259" w:lineRule="auto"/>
        <w:jc w:val="left"/>
      </w:pPr>
      <w:r>
        <w:rPr>
          <w:rFonts w:ascii="Arial" w:hAnsi="Arial" w:eastAsia="Arial" w:cs="Arial"/>
        </w:rPr>
        <w:t>The same three groups lead when the price rule or the review-history rule is removed. The two City groups are the most reliable, staying in the top three in 94% and 90% of 1,000 host redraws; Yarra Ranges houses did so in 64%, a less certain second option.</w:t>
      </w:r>
    </w:p>
    <w:p>
      <w:pPr>
        <w:widowControl/>
        <w:spacing w:after="120" w:line="259" w:lineRule="auto"/>
        <w:jc w:val="left"/>
      </w:pPr>
      <w:r>
        <w:rPr>
          <w:rFonts w:ascii="Arial" w:hAnsi="Arial" w:eastAsia="Arial" w:cs="Arial"/>
          <w:b/>
        </w:rPr>
        <w:t>When the rankings differ.</w:t>
      </w:r>
      <w:r>
        <w:rPr>
          <w:rFonts w:ascii="Arial" w:hAnsi="Arial" w:eastAsia="Arial" w:cs="Arial"/>
        </w:rPr>
        <w:t xml:space="preserve"> Table 4 compares </w:t>
      </w:r>
      <w:r>
        <w:rPr>
          <w:rFonts w:ascii="Arial" w:hAnsi="Arial" w:eastAsia="Arial" w:cs="Arial"/>
          <w:i/>
        </w:rPr>
        <w:t>all-home</w:t>
      </w:r>
      <w:r>
        <w:rPr>
          <w:rFonts w:ascii="Arial" w:hAnsi="Arial" w:eastAsia="Arial" w:cs="Arial"/>
        </w:rPr>
        <w:t xml:space="preserve"> medians with revenue medians for homes below 30 reviews. Yarra Ranges houses rank second on revenue and City two-bedroom apartments fifth, mainly because the houses charge more a night (AUD 426 against 285). With rents unknown, activity guides the search and revenue benchmarks test each lease (Recommendation 3).</w:t>
      </w:r>
    </w:p>
    <w:p>
      <w:pPr>
        <w:pStyle w:val="Heading2"/>
        <w:keepNext/>
      </w:pPr>
      <w:r>
        <w:rPr>
          <w:rFonts w:ascii="Arial" w:hAnsi="Arial" w:eastAsia="Arial" w:cs="Arial"/>
        </w:rPr>
        <w:t>5.3 Predictive screening: the model improves selection within the priority groups</w:t>
      </w:r>
    </w:p>
    <w:p>
      <w:pPr>
        <w:widowControl/>
        <w:spacing w:after="120" w:line="259" w:lineRule="auto"/>
        <w:jc w:val="left"/>
      </w:pPr>
      <w:r>
        <w:rPr>
          <w:rFonts w:ascii="Arial" w:hAnsi="Arial" w:eastAsia="Arial" w:cs="Arial"/>
        </w:rPr>
        <w:t xml:space="preserve">Picking a quarter of each priority group, the full model found busy homes </w:t>
      </w:r>
      <w:r>
        <w:rPr>
          <w:rFonts w:ascii="Arial" w:hAnsi="Arial" w:eastAsia="Arial" w:cs="Arial"/>
          <w:b/>
        </w:rPr>
        <w:t>49.6%</w:t>
      </w:r>
      <w:r>
        <w:rPr>
          <w:rFonts w:ascii="Arial" w:hAnsi="Arial" w:eastAsia="Arial" w:cs="Arial"/>
        </w:rPr>
        <w:t xml:space="preserve"> of the time, against </w:t>
      </w:r>
      <w:r>
        <w:rPr>
          <w:rFonts w:ascii="Arial" w:hAnsi="Arial" w:eastAsia="Arial" w:cs="Arial"/>
          <w:b/>
        </w:rPr>
        <w:t>38.6%</w:t>
      </w:r>
      <w:r>
        <w:rPr>
          <w:rFonts w:ascii="Arial" w:hAnsi="Arial" w:eastAsia="Arial" w:cs="Arial"/>
        </w:rPr>
        <w:t xml:space="preserve"> for the reduced model and </w:t>
      </w:r>
      <w:r>
        <w:rPr>
          <w:rFonts w:ascii="Arial" w:hAnsi="Arial" w:eastAsia="Arial" w:cs="Arial"/>
          <w:b/>
        </w:rPr>
        <w:t>32.4%</w:t>
      </w:r>
      <w:r>
        <w:rPr>
          <w:rFonts w:ascii="Arial" w:hAnsi="Arial" w:eastAsia="Arial" w:cs="Arial"/>
        </w:rPr>
        <w:t xml:space="preserve"> for random picking (Figure 3). That is five busy homes in ten, not three. Price and minimum stay carry most of this gain (+11.0 points).</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3" name="Picture 3"/>
            <wp:cNvGraphicFramePr>
              <a:graphicFrameLocks noChangeAspect="1"/>
            </wp:cNvGraphicFramePr>
            <a:graphic>
              <a:graphicData uri="http://schemas.openxmlformats.org/drawingml/2006/picture">
                <pic:pic>
                  <pic:nvPicPr>
                    <pic:cNvPr id="0" name="figure_3_screening.png"/>
                    <pic:cNvPicPr/>
                  </pic:nvPicPr>
                  <pic:blipFill>
                    <a:blip r:embed="rId22"/>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Share of picked homes that were busy, averaged over 50 tests.</w:t>
      </w:r>
    </w:p>
    <w:p>
      <w:pPr>
        <w:widowControl/>
        <w:spacing w:after="120" w:line="259" w:lineRule="auto"/>
        <w:jc w:val="left"/>
      </w:pPr>
      <w:r>
        <w:rPr>
          <w:rFonts w:ascii="Arial" w:hAnsi="Arial" w:eastAsia="Arial" w:cs="Arial"/>
        </w:rPr>
        <w:t xml:space="preserve">The full model beat random picking in </w:t>
      </w:r>
      <w:r>
        <w:rPr>
          <w:rFonts w:ascii="Arial" w:hAnsi="Arial" w:eastAsia="Arial" w:cs="Arial"/>
          <w:b/>
        </w:rPr>
        <w:t>46 of the 50 tests</w:t>
      </w:r>
      <w:r>
        <w:rPr>
          <w:rFonts w:ascii="Arial" w:hAnsi="Arial" w:eastAsia="Arial" w:cs="Arial"/>
        </w:rPr>
        <w:t xml:space="preserve">; in nine tests out of ten its gain lay between </w:t>
      </w:r>
      <w:r>
        <w:rPr>
          <w:rFonts w:ascii="Arial" w:hAnsi="Arial" w:eastAsia="Arial" w:cs="Arial"/>
          <w:b/>
        </w:rPr>
        <w:t>−1 and +32 percentage points</w:t>
      </w:r>
      <w:r>
        <w:rPr>
          <w:rFonts w:ascii="Arial" w:hAnsi="Arial" w:eastAsia="Arial" w:cs="Arial"/>
        </w:rPr>
        <w:t>. Within each group, the reduced model ranks by amenities alone. Its City three-bedroom hit rate was 33.9%, below random picking at 35.9%. We therefore use group priorities for unlisted rentals, where model performance remains untested.</w:t>
      </w:r>
    </w:p>
    <w:p>
      <w:pPr>
        <w:widowControl/>
        <w:spacing w:after="120" w:line="259" w:lineRule="auto"/>
        <w:jc w:val="left"/>
      </w:pPr>
      <w:r>
        <w:rPr>
          <w:rFonts w:ascii="Arial" w:hAnsi="Arial" w:eastAsia="Arial" w:cs="Arial"/>
        </w:rPr>
        <w:t>The 49.6% result comes from picking within three priority groups over 50 tests. Table 5 instead pools predictions from five separate test groups, covering all 3,873 study homes, and picks one combined top-quarter list (969 homes). Its hit rate is 43.7% (precision), against 25.3% overall, and it finds 43.1% of busy homes (recall). Accuracy is 71.5%; calling every home "below target" scores 74.7% but finds none.</w:t>
      </w:r>
    </w:p>
    <w:p>
      <w:pPr>
        <w:keepNext/>
        <w:widowControl/>
        <w:spacing w:after="80" w:before="80" w:line="259" w:lineRule="auto"/>
        <w:jc w:val="left"/>
      </w:pPr>
      <w:r>
        <w:rPr>
          <w:rFonts w:ascii="Arial" w:hAnsi="Arial" w:eastAsia="Arial" w:cs="Arial"/>
          <w:b/>
        </w:rPr>
        <w:t>Table 5. Full-sample confusion matrix: top quarter picked across all 14 study groups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497"/>
        <w:gridCol w:w="1378"/>
        <w:gridCol w:w="2067"/>
        <w:gridCol w:w="1922"/>
      </w:tblGrid>
      <w:tr>
        <w:trPr>
          <w:cantSplit/>
          <w:tblHeader/>
        </w:trPr>
        <w:tc>
          <w:tcPr>
            <w:tcW w:type="dxa" w:w="4497"/>
            <w:vAlign w:val="center"/>
            <w:shd w:val="clear" w:color="auto" w:fill="E9EEF3"/>
          </w:tcPr>
          <w:p>
            <w:pPr>
              <w:keepNext/>
              <w:spacing w:before="40" w:after="40" w:line="240" w:lineRule="auto"/>
              <w:jc w:val="left"/>
            </w:pPr>
            <w:r>
              <w:rPr>
                <w:rFonts w:ascii="Arial" w:hAnsi="Arial" w:eastAsia="Arial" w:cs="Arial"/>
                <w:b/>
                <w:sz w:val="21"/>
              </w:rPr>
              <w:t>Selection</w:t>
            </w:r>
          </w:p>
        </w:tc>
        <w:tc>
          <w:tcPr>
            <w:tcW w:type="dxa" w:w="1378"/>
            <w:vAlign w:val="center"/>
            <w:shd w:val="clear" w:color="auto" w:fill="E9EEF3"/>
          </w:tcPr>
          <w:p>
            <w:pPr>
              <w:keepNext/>
              <w:spacing w:before="40" w:after="40" w:line="240" w:lineRule="auto"/>
              <w:jc w:val="left"/>
            </w:pPr>
            <w:r>
              <w:rPr>
                <w:rFonts w:ascii="Arial" w:hAnsi="Arial" w:eastAsia="Arial" w:cs="Arial"/>
                <w:b/>
                <w:sz w:val="21"/>
              </w:rPr>
              <w:t>Busy</w:t>
            </w:r>
          </w:p>
        </w:tc>
        <w:tc>
          <w:tcPr>
            <w:tcW w:type="dxa" w:w="2067"/>
            <w:vAlign w:val="center"/>
            <w:shd w:val="clear" w:color="auto" w:fill="E9EEF3"/>
          </w:tcPr>
          <w:p>
            <w:pPr>
              <w:keepNext/>
              <w:spacing w:before="40" w:after="40" w:line="240" w:lineRule="auto"/>
              <w:jc w:val="left"/>
            </w:pPr>
            <w:r>
              <w:rPr>
                <w:rFonts w:ascii="Arial" w:hAnsi="Arial" w:eastAsia="Arial" w:cs="Arial"/>
                <w:b/>
                <w:sz w:val="21"/>
              </w:rPr>
              <w:t>Below target</w:t>
            </w:r>
          </w:p>
        </w:tc>
        <w:tc>
          <w:tcPr>
            <w:tcW w:type="dxa" w:w="1922"/>
            <w:vAlign w:val="center"/>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497"/>
            <w:vAlign w:val="center"/>
            <w:shd w:val="clear" w:color="auto" w:fill="FFFFFF"/>
          </w:tcPr>
          <w:p>
            <w:pPr>
              <w:keepNext/>
              <w:spacing w:before="40" w:after="40" w:line="240" w:lineRule="auto"/>
              <w:jc w:val="left"/>
            </w:pPr>
            <w:r>
              <w:rPr>
                <w:rFonts w:ascii="Arial" w:hAnsi="Arial" w:eastAsia="Arial" w:cs="Arial"/>
                <w:sz w:val="21"/>
              </w:rPr>
              <w:t>Picked by model</w:t>
            </w:r>
          </w:p>
        </w:tc>
        <w:tc>
          <w:tcPr>
            <w:tcW w:type="dxa" w:w="1378"/>
            <w:vAlign w:val="center"/>
            <w:shd w:val="clear" w:color="auto" w:fill="FFFFFF"/>
          </w:tcPr>
          <w:p>
            <w:pPr>
              <w:keepNext/>
              <w:spacing w:before="40" w:after="40" w:line="240" w:lineRule="auto"/>
              <w:jc w:val="right"/>
            </w:pPr>
            <w:r>
              <w:rPr>
                <w:rFonts w:ascii="Arial" w:hAnsi="Arial" w:eastAsia="Arial" w:cs="Arial"/>
                <w:sz w:val="21"/>
              </w:rPr>
              <w:t>423</w:t>
            </w:r>
          </w:p>
        </w:tc>
        <w:tc>
          <w:tcPr>
            <w:tcW w:type="dxa" w:w="2067"/>
            <w:vAlign w:val="center"/>
            <w:shd w:val="clear" w:color="auto" w:fill="FFFFFF"/>
          </w:tcPr>
          <w:p>
            <w:pPr>
              <w:keepNext/>
              <w:spacing w:before="40" w:after="40" w:line="240" w:lineRule="auto"/>
              <w:jc w:val="right"/>
            </w:pPr>
            <w:r>
              <w:rPr>
                <w:rFonts w:ascii="Arial" w:hAnsi="Arial" w:eastAsia="Arial" w:cs="Arial"/>
                <w:sz w:val="21"/>
              </w:rPr>
              <w:t>546</w:t>
            </w:r>
          </w:p>
        </w:tc>
        <w:tc>
          <w:tcPr>
            <w:tcW w:type="dxa" w:w="1922"/>
            <w:vAlign w:val="center"/>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497"/>
            <w:vAlign w:val="center"/>
            <w:shd w:val="clear" w:color="auto" w:fill="FFFFFF"/>
          </w:tcPr>
          <w:p>
            <w:pPr>
              <w:spacing w:before="40" w:after="40" w:line="240" w:lineRule="auto"/>
              <w:jc w:val="left"/>
            </w:pPr>
            <w:r>
              <w:rPr>
                <w:rFonts w:ascii="Arial" w:hAnsi="Arial" w:eastAsia="Arial" w:cs="Arial"/>
                <w:sz w:val="21"/>
              </w:rPr>
              <w:t>Not picked</w:t>
            </w:r>
          </w:p>
        </w:tc>
        <w:tc>
          <w:tcPr>
            <w:tcW w:type="dxa" w:w="1378"/>
            <w:vAlign w:val="center"/>
            <w:shd w:val="clear" w:color="auto" w:fill="FFFFFF"/>
          </w:tcPr>
          <w:p>
            <w:pPr>
              <w:spacing w:before="40" w:after="40" w:line="240" w:lineRule="auto"/>
              <w:jc w:val="right"/>
            </w:pPr>
            <w:r>
              <w:rPr>
                <w:rFonts w:ascii="Arial" w:hAnsi="Arial" w:eastAsia="Arial" w:cs="Arial"/>
                <w:sz w:val="21"/>
              </w:rPr>
              <w:t>558</w:t>
            </w:r>
          </w:p>
        </w:tc>
        <w:tc>
          <w:tcPr>
            <w:tcW w:type="dxa" w:w="2067"/>
            <w:vAlign w:val="center"/>
            <w:shd w:val="clear" w:color="auto" w:fill="FFFFFF"/>
          </w:tcPr>
          <w:p>
            <w:pPr>
              <w:spacing w:before="40" w:after="40" w:line="240" w:lineRule="auto"/>
              <w:jc w:val="right"/>
            </w:pPr>
            <w:r>
              <w:rPr>
                <w:rFonts w:ascii="Arial" w:hAnsi="Arial" w:eastAsia="Arial" w:cs="Arial"/>
                <w:sz w:val="21"/>
              </w:rPr>
              <w:t>2,346</w:t>
            </w:r>
          </w:p>
        </w:tc>
        <w:tc>
          <w:tcPr>
            <w:tcW w:type="dxa" w:w="1922"/>
            <w:vAlign w:val="center"/>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 xml:space="preserve">For a typical City two-bedroom apartment, the model fitted to all study homes gives a </w:t>
      </w:r>
      <w:r>
        <w:rPr>
          <w:rFonts w:ascii="Arial" w:hAnsi="Arial" w:eastAsia="Arial" w:cs="Arial"/>
          <w:b/>
        </w:rPr>
        <w:t>42% chance</w:t>
      </w:r>
      <w:r>
        <w:rPr>
          <w:rFonts w:ascii="Arial" w:hAnsi="Arial" w:eastAsia="Arial" w:cs="Arial"/>
        </w:rPr>
        <w:t xml:space="preserve"> of being busy with one-night stays and </w:t>
      </w:r>
      <w:r>
        <w:rPr>
          <w:rFonts w:ascii="Arial" w:hAnsi="Arial" w:eastAsia="Arial" w:cs="Arial"/>
          <w:b/>
        </w:rPr>
        <w:t>18%</w:t>
      </w:r>
      <w:r>
        <w:rPr>
          <w:rFonts w:ascii="Arial" w:hAnsi="Arial" w:eastAsia="Arial" w:cs="Arial"/>
        </w:rPr>
        <w:t xml:space="preserve"> without. From 42%, ten more amenities give </w:t>
      </w:r>
      <w:r>
        <w:rPr>
          <w:rFonts w:ascii="Arial" w:hAnsi="Arial" w:eastAsia="Arial" w:cs="Arial"/>
          <w:b/>
        </w:rPr>
        <w:t>48%</w:t>
      </w:r>
      <w:r>
        <w:rPr>
          <w:rFonts w:ascii="Arial" w:hAnsi="Arial" w:eastAsia="Arial" w:cs="Arial"/>
        </w:rPr>
        <w:t xml:space="preserve">, while a 20% price premium gives </w:t>
      </w:r>
      <w:r>
        <w:rPr>
          <w:rFonts w:ascii="Arial" w:hAnsi="Arial" w:eastAsia="Arial" w:cs="Arial"/>
          <w:b/>
        </w:rPr>
        <w:t>36%</w:t>
      </w:r>
      <w:r>
        <w:rPr>
          <w:rFonts w:ascii="Arial" w:hAnsi="Arial" w:eastAsia="Arial" w:cs="Arial"/>
        </w:rPr>
        <w:t>. These examples explain the ranking; changing settings alone does not establish an increase in bookings. Table A1 reports model weights across the 50 training fits.</w:t>
      </w:r>
    </w:p>
    <w:p>
      <w:pPr>
        <w:pStyle w:val="Heading2"/>
        <w:keepNext/>
      </w:pPr>
      <w:r>
        <w:rPr>
          <w:rFonts w:ascii="Arial" w:hAnsi="Arial" w:eastAsia="Arial" w:cs="Arial"/>
        </w:rPr>
        <w:t>5.4 Prescriptive trade-off: inspection capacity sets list length</w:t>
      </w:r>
    </w:p>
    <w:p>
      <w:pPr>
        <w:widowControl/>
        <w:spacing w:after="120" w:line="259" w:lineRule="auto"/>
        <w:jc w:val="left"/>
      </w:pPr>
      <w:r>
        <w:rPr>
          <w:rFonts w:ascii="Arial" w:hAnsi="Arial" w:eastAsia="Arial" w:cs="Arial"/>
        </w:rPr>
        <w:t>Shorter lists have a higher hit rate; longer lists find more busy homes (Table 6).</w:t>
      </w:r>
    </w:p>
    <w:p>
      <w:pPr>
        <w:keepNext/>
        <w:widowControl/>
        <w:spacing w:after="80" w:before="80" w:line="259" w:lineRule="auto"/>
        <w:jc w:val="left"/>
      </w:pPr>
      <w:r>
        <w:rPr>
          <w:rFonts w:ascii="Arial" w:hAnsi="Arial" w:eastAsia="Arial" w:cs="Arial"/>
          <w:b/>
        </w:rPr>
        <w:t>Table 6. Inspection capacity within the priority groups (averages of 50 tests)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253"/>
        <w:gridCol w:w="2393"/>
        <w:gridCol w:w="2108"/>
        <w:gridCol w:w="3111"/>
      </w:tblGrid>
      <w:tr>
        <w:trPr>
          <w:cantSplit/>
          <w:tblHeader/>
        </w:trPr>
        <w:tc>
          <w:tcPr>
            <w:tcW w:type="dxa" w:w="2253"/>
            <w:vAlign w:val="center"/>
            <w:shd w:val="clear" w:color="auto" w:fill="E9EEF3"/>
          </w:tcPr>
          <w:p>
            <w:pPr>
              <w:keepNext/>
              <w:spacing w:before="40" w:after="40" w:line="240" w:lineRule="auto"/>
              <w:jc w:val="left"/>
            </w:pPr>
            <w:r>
              <w:rPr>
                <w:rFonts w:ascii="Arial" w:hAnsi="Arial" w:eastAsia="Arial" w:cs="Arial"/>
                <w:b/>
                <w:sz w:val="21"/>
              </w:rPr>
              <w:t>Homes inspected per group</w:t>
            </w:r>
          </w:p>
        </w:tc>
        <w:tc>
          <w:tcPr>
            <w:tcW w:type="dxa" w:w="2393"/>
            <w:vAlign w:val="center"/>
            <w:shd w:val="clear" w:color="auto" w:fill="E9EEF3"/>
          </w:tcPr>
          <w:p>
            <w:pPr>
              <w:keepNext/>
              <w:spacing w:before="40" w:after="40" w:line="240" w:lineRule="auto"/>
              <w:jc w:val="left"/>
            </w:pPr>
            <w:r>
              <w:rPr>
                <w:rFonts w:ascii="Arial" w:hAnsi="Arial" w:eastAsia="Arial" w:cs="Arial"/>
                <w:b/>
                <w:sz w:val="21"/>
              </w:rPr>
              <w:t>Hit rate (precision)</w:t>
            </w:r>
          </w:p>
        </w:tc>
        <w:tc>
          <w:tcPr>
            <w:tcW w:type="dxa" w:w="2108"/>
            <w:vAlign w:val="center"/>
            <w:shd w:val="clear" w:color="auto" w:fill="E9EEF3"/>
          </w:tcPr>
          <w:p>
            <w:pPr>
              <w:keepNext/>
              <w:spacing w:before="40" w:after="40" w:line="240" w:lineRule="auto"/>
              <w:jc w:val="left"/>
            </w:pPr>
            <w:r>
              <w:rPr>
                <w:rFonts w:ascii="Arial" w:hAnsi="Arial" w:eastAsia="Arial" w:cs="Arial"/>
                <w:b/>
                <w:sz w:val="21"/>
              </w:rPr>
              <w:t>Busy homes found (recall)</w:t>
            </w:r>
          </w:p>
        </w:tc>
        <w:tc>
          <w:tcPr>
            <w:tcW w:type="dxa" w:w="3111"/>
            <w:vAlign w:val="center"/>
            <w:shd w:val="clear" w:color="auto" w:fill="E9EEF3"/>
          </w:tcPr>
          <w:p>
            <w:pPr>
              <w:keepNext/>
              <w:spacing w:before="40" w:after="40" w:line="240" w:lineRule="auto"/>
              <w:jc w:val="left"/>
            </w:pPr>
            <w:r>
              <w:rPr>
                <w:rFonts w:ascii="Arial" w:hAnsi="Arial" w:eastAsia="Arial" w:cs="Arial"/>
                <w:b/>
                <w:sz w:val="21"/>
              </w:rPr>
              <w:t>Gain over random picking (percentage points)</w:t>
            </w:r>
          </w:p>
        </w:tc>
      </w:tr>
      <w:tr>
        <w:trPr>
          <w:cantSplit/>
        </w:trPr>
        <w:tc>
          <w:tcPr>
            <w:tcW w:type="dxa" w:w="2253"/>
            <w:vAlign w:val="center"/>
            <w:shd w:val="clear" w:color="auto" w:fill="FFFFFF"/>
          </w:tcPr>
          <w:p>
            <w:pPr>
              <w:keepNext/>
              <w:spacing w:before="40" w:after="40" w:line="240" w:lineRule="auto"/>
              <w:jc w:val="left"/>
            </w:pPr>
            <w:r>
              <w:rPr>
                <w:rFonts w:ascii="Arial" w:hAnsi="Arial" w:eastAsia="Arial" w:cs="Arial"/>
                <w:sz w:val="21"/>
              </w:rPr>
              <w:t>10%</w:t>
            </w:r>
          </w:p>
        </w:tc>
        <w:tc>
          <w:tcPr>
            <w:tcW w:type="dxa" w:w="2393"/>
            <w:vAlign w:val="center"/>
            <w:shd w:val="clear" w:color="auto" w:fill="FFFFFF"/>
          </w:tcPr>
          <w:p>
            <w:pPr>
              <w:keepNext/>
              <w:spacing w:before="40" w:after="40" w:line="240" w:lineRule="auto"/>
              <w:jc w:val="right"/>
            </w:pPr>
            <w:r>
              <w:rPr>
                <w:rFonts w:ascii="Arial" w:hAnsi="Arial" w:eastAsia="Arial" w:cs="Arial"/>
                <w:sz w:val="21"/>
              </w:rPr>
              <w:t>54.5%</w:t>
            </w:r>
          </w:p>
        </w:tc>
        <w:tc>
          <w:tcPr>
            <w:tcW w:type="dxa" w:w="2108"/>
            <w:vAlign w:val="center"/>
            <w:shd w:val="clear" w:color="auto" w:fill="FFFFFF"/>
          </w:tcPr>
          <w:p>
            <w:pPr>
              <w:keepNext/>
              <w:spacing w:before="40" w:after="40" w:line="240" w:lineRule="auto"/>
              <w:jc w:val="right"/>
            </w:pPr>
            <w:r>
              <w:rPr>
                <w:rFonts w:ascii="Arial" w:hAnsi="Arial" w:eastAsia="Arial" w:cs="Arial"/>
                <w:sz w:val="21"/>
              </w:rPr>
              <w:t>17.1%</w:t>
            </w:r>
          </w:p>
        </w:tc>
        <w:tc>
          <w:tcPr>
            <w:tcW w:type="dxa" w:w="3111"/>
            <w:vAlign w:val="center"/>
            <w:shd w:val="clear" w:color="auto" w:fill="FFFFFF"/>
          </w:tcPr>
          <w:p>
            <w:pPr>
              <w:keepNext/>
              <w:spacing w:before="40" w:after="40" w:line="240" w:lineRule="auto"/>
              <w:jc w:val="right"/>
            </w:pPr>
            <w:r>
              <w:rPr>
                <w:rFonts w:ascii="Arial" w:hAnsi="Arial" w:eastAsia="Arial" w:cs="Arial"/>
                <w:sz w:val="21"/>
              </w:rPr>
              <w:t>+22.0</w:t>
            </w:r>
          </w:p>
        </w:tc>
      </w:tr>
      <w:tr>
        <w:trPr>
          <w:cantSplit/>
        </w:trPr>
        <w:tc>
          <w:tcPr>
            <w:tcW w:type="dxa" w:w="2253"/>
            <w:vAlign w:val="center"/>
            <w:shd w:val="clear" w:color="auto" w:fill="FFFFFF"/>
          </w:tcPr>
          <w:p>
            <w:pPr>
              <w:keepNext/>
              <w:spacing w:before="40" w:after="40" w:line="240" w:lineRule="auto"/>
              <w:jc w:val="left"/>
            </w:pPr>
            <w:r>
              <w:rPr>
                <w:rFonts w:ascii="Arial" w:hAnsi="Arial" w:eastAsia="Arial" w:cs="Arial"/>
                <w:sz w:val="21"/>
              </w:rPr>
              <w:t>25%</w:t>
            </w:r>
          </w:p>
        </w:tc>
        <w:tc>
          <w:tcPr>
            <w:tcW w:type="dxa" w:w="2393"/>
            <w:vAlign w:val="center"/>
            <w:shd w:val="clear" w:color="auto" w:fill="FFFFFF"/>
          </w:tcPr>
          <w:p>
            <w:pPr>
              <w:keepNext/>
              <w:spacing w:before="40" w:after="40" w:line="240" w:lineRule="auto"/>
              <w:jc w:val="right"/>
            </w:pPr>
            <w:r>
              <w:rPr>
                <w:rFonts w:ascii="Arial" w:hAnsi="Arial" w:eastAsia="Arial" w:cs="Arial"/>
                <w:sz w:val="21"/>
              </w:rPr>
              <w:t>49.6%</w:t>
            </w:r>
          </w:p>
        </w:tc>
        <w:tc>
          <w:tcPr>
            <w:tcW w:type="dxa" w:w="2108"/>
            <w:vAlign w:val="center"/>
            <w:shd w:val="clear" w:color="auto" w:fill="FFFFFF"/>
          </w:tcPr>
          <w:p>
            <w:pPr>
              <w:keepNext/>
              <w:spacing w:before="40" w:after="40" w:line="240" w:lineRule="auto"/>
              <w:jc w:val="right"/>
            </w:pPr>
            <w:r>
              <w:rPr>
                <w:rFonts w:ascii="Arial" w:hAnsi="Arial" w:eastAsia="Arial" w:cs="Arial"/>
                <w:sz w:val="21"/>
              </w:rPr>
              <w:t>38.3%</w:t>
            </w:r>
          </w:p>
        </w:tc>
        <w:tc>
          <w:tcPr>
            <w:tcW w:type="dxa" w:w="3111"/>
            <w:vAlign w:val="center"/>
            <w:shd w:val="clear" w:color="auto" w:fill="FFFFFF"/>
          </w:tcPr>
          <w:p>
            <w:pPr>
              <w:keepNext/>
              <w:spacing w:before="40" w:after="40" w:line="240" w:lineRule="auto"/>
              <w:jc w:val="right"/>
            </w:pPr>
            <w:r>
              <w:rPr>
                <w:rFonts w:ascii="Arial" w:hAnsi="Arial" w:eastAsia="Arial" w:cs="Arial"/>
                <w:sz w:val="21"/>
              </w:rPr>
              <w:t>+17.2</w:t>
            </w:r>
          </w:p>
        </w:tc>
      </w:tr>
      <w:tr>
        <w:trPr>
          <w:cantSplit/>
        </w:trPr>
        <w:tc>
          <w:tcPr>
            <w:tcW w:type="dxa" w:w="2253"/>
            <w:vAlign w:val="center"/>
            <w:shd w:val="clear" w:color="auto" w:fill="FFFFFF"/>
          </w:tcPr>
          <w:p>
            <w:pPr>
              <w:spacing w:before="40" w:after="40" w:line="240" w:lineRule="auto"/>
              <w:jc w:val="left"/>
            </w:pPr>
            <w:r>
              <w:rPr>
                <w:rFonts w:ascii="Arial" w:hAnsi="Arial" w:eastAsia="Arial" w:cs="Arial"/>
                <w:sz w:val="21"/>
              </w:rPr>
              <w:t>50%</w:t>
            </w:r>
          </w:p>
        </w:tc>
        <w:tc>
          <w:tcPr>
            <w:tcW w:type="dxa" w:w="2393"/>
            <w:vAlign w:val="center"/>
            <w:shd w:val="clear" w:color="auto" w:fill="FFFFFF"/>
          </w:tcPr>
          <w:p>
            <w:pPr>
              <w:spacing w:before="40" w:after="40" w:line="240" w:lineRule="auto"/>
              <w:jc w:val="right"/>
            </w:pPr>
            <w:r>
              <w:rPr>
                <w:rFonts w:ascii="Arial" w:hAnsi="Arial" w:eastAsia="Arial" w:cs="Arial"/>
                <w:sz w:val="21"/>
              </w:rPr>
              <w:t>43.1%</w:t>
            </w:r>
          </w:p>
        </w:tc>
        <w:tc>
          <w:tcPr>
            <w:tcW w:type="dxa" w:w="2108"/>
            <w:vAlign w:val="center"/>
            <w:shd w:val="clear" w:color="auto" w:fill="FFFFFF"/>
          </w:tcPr>
          <w:p>
            <w:pPr>
              <w:spacing w:before="40" w:after="40" w:line="240" w:lineRule="auto"/>
              <w:jc w:val="right"/>
            </w:pPr>
            <w:r>
              <w:rPr>
                <w:rFonts w:ascii="Arial" w:hAnsi="Arial" w:eastAsia="Arial" w:cs="Arial"/>
                <w:sz w:val="21"/>
              </w:rPr>
              <w:t>66.7%</w:t>
            </w:r>
          </w:p>
        </w:tc>
        <w:tc>
          <w:tcPr>
            <w:tcW w:type="dxa" w:w="3111"/>
            <w:vAlign w:val="center"/>
            <w:shd w:val="clear" w:color="auto" w:fill="FFFFFF"/>
          </w:tcPr>
          <w:p>
            <w:pPr>
              <w:spacing w:before="40" w:after="40" w:line="240" w:lineRule="auto"/>
              <w:jc w:val="right"/>
            </w:pPr>
            <w:r>
              <w:rPr>
                <w:rFonts w:ascii="Arial" w:hAnsi="Arial" w:eastAsia="Arial" w:cs="Arial"/>
                <w:sz w:val="21"/>
              </w:rPr>
              <w:t>+10.7</w:t>
            </w:r>
          </w:p>
        </w:tc>
      </w:tr>
    </w:tbl>
    <w:p>
      <w:pPr>
        <w:widowControl/>
        <w:spacing w:after="80" w:line="240" w:lineRule="auto"/>
        <w:jc w:val="left"/>
      </w:pPr>
    </w:p>
    <w:p>
      <w:pPr>
        <w:widowControl/>
        <w:spacing w:after="120" w:line="259" w:lineRule="auto"/>
        <w:jc w:val="left"/>
      </w:pPr>
      <w:r>
        <w:rPr>
          <w:rFonts w:ascii="Arial" w:hAnsi="Arial" w:eastAsia="Arial" w:cs="Arial"/>
        </w:rPr>
        <w:t>Inspecting 10% gives a 54.5% hit rate and finds 17.1% of busy homes; at 50%, the list finds two-thirds (66.7%). Start with ten candidates (Table 7), then inspect the highest-ranked listed homes as the budget allows.</w:t>
      </w:r>
    </w:p>
    <w:p>
      <w:pPr>
        <w:pStyle w:val="Heading2"/>
        <w:keepNext/>
      </w:pPr>
      <w:r>
        <w:rPr>
          <w:rFonts w:ascii="Arial" w:hAnsi="Arial" w:eastAsia="Arial" w:cs="Arial"/>
        </w:rPr>
        <w:t>5.5 Over time: the leading groups stayed ahead</w:t>
      </w:r>
    </w:p>
    <w:p>
      <w:pPr>
        <w:widowControl/>
        <w:spacing w:after="120" w:line="259" w:lineRule="auto"/>
        <w:jc w:val="left"/>
      </w:pPr>
      <w:r>
        <w:rPr>
          <w:rFonts w:ascii="Arial" w:hAnsi="Arial" w:eastAsia="Arial" w:cs="Arial"/>
        </w:rPr>
        <w:t xml:space="preserve">The groups chosen for leading in the earlier year had 33.6% of homes reaching 34 reviews, against 19.9% elsewhere (Figure 4). In the later year, they still led: </w:t>
      </w:r>
      <w:r>
        <w:rPr>
          <w:rFonts w:ascii="Arial" w:hAnsi="Arial" w:eastAsia="Arial" w:cs="Arial"/>
          <w:b/>
        </w:rPr>
        <w:t>27.1% against 14.9%</w:t>
      </w:r>
      <w:r>
        <w:rPr>
          <w:rFonts w:ascii="Arial" w:hAnsi="Arial" w:eastAsia="Arial" w:cs="Arial"/>
        </w:rPr>
        <w:t xml:space="preserve">, about </w:t>
      </w:r>
      <w:r>
        <w:rPr>
          <w:rFonts w:ascii="Arial" w:hAnsi="Arial" w:eastAsia="Arial" w:cs="Arial"/>
          <w:b/>
        </w:rPr>
        <w:t>12 percentage points</w:t>
      </w:r>
      <w:r>
        <w:rPr>
          <w:rFonts w:ascii="Arial" w:hAnsi="Arial" w:eastAsia="Arial" w:cs="Arial"/>
        </w:rPr>
        <w:t>. The advantage also holds when hosts receive equal weight (Appendix A).</w:t>
      </w:r>
    </w:p>
    <w:p>
      <w:pPr>
        <w:keepNext/>
        <w:widowControl/>
        <w:spacing w:after="40" w:before="80" w:line="240" w:lineRule="auto"/>
        <w:jc w:val="center"/>
      </w:pPr>
      <w:r>
        <w:drawing>
          <wp:inline xmlns:a="http://schemas.openxmlformats.org/drawingml/2006/main" xmlns:pic="http://schemas.openxmlformats.org/drawingml/2006/picture">
            <wp:extent cx="6035040" cy="2407826"/>
            <wp:docPr id="4" name="Picture 4"/>
            <wp:cNvGraphicFramePr>
              <a:graphicFrameLocks noChangeAspect="1"/>
            </wp:cNvGraphicFramePr>
            <a:graphic>
              <a:graphicData uri="http://schemas.openxmlformats.org/drawingml/2006/picture">
                <pic:pic>
                  <pic:nvPicPr>
                    <pic:cNvPr id="0" name="figure_4_two_years.png"/>
                    <pic:cNvPicPr/>
                  </pic:nvPicPr>
                  <pic:blipFill>
                    <a:blip r:embed="rId23"/>
                    <a:stretch>
                      <a:fillRect/>
                    </a:stretch>
                  </pic:blipFill>
                  <pic:spPr>
                    <a:xfrm>
                      <a:off x="0" y="0"/>
                      <a:ext cx="6035040" cy="2407826"/>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The same 2,657 surviving homes in two consecutive years; target 34 reviews.</w:t>
      </w:r>
    </w:p>
    <w:p>
      <w:pPr>
        <w:pStyle w:val="Heading1"/>
        <w:keepNext/>
        <w:pageBreakBefore w:val="0"/>
      </w:pPr>
      <w:r>
        <w:rPr>
          <w:rFonts w:ascii="Arial" w:hAnsi="Arial" w:eastAsia="Arial" w:cs="Arial"/>
        </w:rPr>
        <w:t>6. Key Findings and Recommendations</w:t>
      </w:r>
    </w:p>
    <w:p>
      <w:pPr>
        <w:pStyle w:val="Heading2"/>
        <w:keepNext/>
      </w:pPr>
      <w:r>
        <w:rPr>
          <w:rFonts w:ascii="Arial" w:hAnsi="Arial" w:eastAsia="Arial" w:cs="Arial"/>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had the highest shares of busy homes and above-median estimated revenue; Yarra Ranges three-bedroom houses follow but are less certain. All three stayed ahead a year later (Figures 2 and 4,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How homes are run:</w:t>
      </w:r>
      <w:r>
        <w:rPr>
          <w:rFonts w:ascii="Arial" w:hAnsi="Arial" w:eastAsia="Arial" w:cs="Arial"/>
        </w:rPr>
        <w:t xml:space="preserve"> Busy homes far more often accept one-night stays and charge slightly less than similar homes (Table 3, Section 5.3).</w:t>
      </w:r>
    </w:p>
    <w:p>
      <w:pPr>
        <w:widowControl/>
        <w:spacing w:after="80" w:line="259" w:lineRule="auto"/>
        <w:ind w:left="432" w:hanging="432"/>
        <w:jc w:val="left"/>
      </w:pPr>
      <w:r>
        <w:rPr>
          <w:rFonts w:ascii="Arial" w:hAnsi="Arial" w:eastAsia="Arial" w:cs="Arial"/>
        </w:rPr>
        <w:t>3.</w:t>
        <w:tab/>
      </w:r>
      <w:r>
        <w:rPr>
          <w:rFonts w:ascii="Arial" w:hAnsi="Arial" w:eastAsia="Arial" w:cs="Arial"/>
          <w:b/>
        </w:rPr>
        <w:t>Which home first:</w:t>
      </w:r>
      <w:r>
        <w:rPr>
          <w:rFonts w:ascii="Arial" w:hAnsi="Arial" w:eastAsia="Arial" w:cs="Arial"/>
        </w:rPr>
        <w:t xml:space="preserve"> Within the priority groups, the model raises the hit rate from one in three (32.4%) to one in two (49.6%) (Figure 3, Table 6).</w:t>
      </w:r>
    </w:p>
    <w:p>
      <w:pPr>
        <w:pStyle w:val="Heading2"/>
        <w:keepNext/>
      </w:pPr>
      <w:r>
        <w:rPr>
          <w:rFonts w:ascii="Arial" w:hAnsi="Arial" w:eastAsia="Arial" w:cs="Arial"/>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 then Yarra Ranges three-bedroom houses.</w:t>
      </w:r>
      <w:r>
        <w:rPr>
          <w:rFonts w:ascii="Arial" w:hAnsi="Arial" w:eastAsia="Arial" w:cs="Arial"/>
        </w:rPr>
        <w:t xml:space="preserve"> Between leases that pass, choose the larger cash-flow margin; if margins are similar, choose the group with the higher share of busy homes.</w:t>
      </w:r>
    </w:p>
    <w:p>
      <w:pPr>
        <w:widowControl/>
        <w:spacing w:after="80" w:line="259" w:lineRule="auto"/>
        <w:ind w:left="432" w:hanging="432"/>
        <w:jc w:val="left"/>
      </w:pPr>
      <w:r>
        <w:rPr>
          <w:rFonts w:ascii="Arial" w:hAnsi="Arial" w:eastAsia="Arial" w:cs="Arial"/>
        </w:rPr>
        <w:t>2.</w:t>
        <w:tab/>
      </w:r>
      <w:r>
        <w:rPr>
          <w:rFonts w:ascii="Arial" w:hAnsi="Arial" w:eastAsia="Arial" w:cs="Arial"/>
          <w:b/>
        </w:rPr>
        <w:t>Order candidates already on Airbnb with the model.</w:t>
      </w:r>
      <w:r>
        <w:rPr>
          <w:rFonts w:ascii="Arial" w:hAnsi="Arial" w:eastAsia="Arial" w:cs="Arial"/>
        </w:rPr>
        <w:t xml:space="preserve"> For an unlisted rental, price near similar listings and trial one-night stays where allowed.</w:t>
      </w:r>
    </w:p>
    <w:p>
      <w:pPr>
        <w:widowControl/>
        <w:spacing w:after="80" w:line="259" w:lineRule="auto"/>
        <w:ind w:left="432" w:hanging="432"/>
        <w:jc w:val="left"/>
      </w:pPr>
      <w:r>
        <w:rPr>
          <w:rFonts w:ascii="Arial" w:hAnsi="Arial" w:eastAsia="Arial" w:cs="Arial"/>
        </w:rPr>
        <w:t>3.</w:t>
        <w:tab/>
      </w:r>
      <w:r>
        <w:rPr>
          <w:rFonts w:ascii="Arial" w:hAnsi="Arial" w:eastAsia="Arial" w:cs="Arial"/>
          <w:b/>
        </w:rPr>
        <w:t>Compare weekly rent and running costs with group revenue.</w:t>
      </w:r>
      <w:r>
        <w:rPr>
          <w:rFonts w:ascii="Arial" w:hAnsi="Arial" w:eastAsia="Arial" w:cs="Arial"/>
        </w:rPr>
        <w:t xml:space="preserve"> Typical weekly estimates (all-home medians) are </w:t>
      </w:r>
      <w:r>
        <w:rPr>
          <w:rFonts w:ascii="Arial" w:hAnsi="Arial" w:eastAsia="Arial" w:cs="Arial"/>
          <w:b/>
        </w:rPr>
        <w:t>AUD 590</w:t>
      </w:r>
      <w:r>
        <w:rPr>
          <w:rFonts w:ascii="Arial" w:hAnsi="Arial" w:eastAsia="Arial" w:cs="Arial"/>
        </w:rPr>
        <w:t xml:space="preserve"> for City two-bedroom apartments, </w:t>
      </w:r>
      <w:r>
        <w:rPr>
          <w:rFonts w:ascii="Arial" w:hAnsi="Arial" w:eastAsia="Arial" w:cs="Arial"/>
          <w:b/>
        </w:rPr>
        <w:t>930</w:t>
      </w:r>
      <w:r>
        <w:rPr>
          <w:rFonts w:ascii="Arial" w:hAnsi="Arial" w:eastAsia="Arial" w:cs="Arial"/>
        </w:rPr>
        <w:t xml:space="preserve"> for City three-bedroom apartments and </w:t>
      </w:r>
      <w:r>
        <w:rPr>
          <w:rFonts w:ascii="Arial" w:hAnsi="Arial" w:eastAsia="Arial" w:cs="Arial"/>
          <w:b/>
        </w:rPr>
        <w:t>890</w:t>
      </w:r>
      <w:r>
        <w:rPr>
          <w:rFonts w:ascii="Arial" w:hAnsi="Arial" w:eastAsia="Arial" w:cs="Arial"/>
        </w:rPr>
        <w:t xml:space="preserve"> for Yarra Ranges houses; below-target medians are </w:t>
      </w:r>
      <w:r>
        <w:rPr>
          <w:rFonts w:ascii="Arial" w:hAnsi="Arial" w:eastAsia="Arial" w:cs="Arial"/>
          <w:b/>
        </w:rPr>
        <w:t>320, 620 and 600</w:t>
      </w:r>
      <w:r>
        <w:rPr>
          <w:rFonts w:ascii="Arial" w:hAnsi="Arial" w:eastAsia="Arial" w:cs="Arial"/>
        </w:rPr>
        <w:t>. Figure 5 shows how many historical homes covered a proposed cost. Drop candidates costing more than typical revenue, assess the rest through their own cash-flow plans, and budget for a year of the below-target shortfall. Obtain written landlord consent and check that any owners' corporation has not banned stays under 28 days (Consumer Affairs Victoria, n.d.). Airbnb collects Victoria's 7.5% short-stay levy on applicable bookings (State Revenue Office Victoria, n.d.).</w:t>
      </w:r>
    </w:p>
    <w:p>
      <w:pPr>
        <w:keepNext/>
        <w:widowControl/>
        <w:spacing w:after="80" w:before="80" w:line="259" w:lineRule="auto"/>
        <w:jc w:val="left"/>
      </w:pPr>
      <w:r>
        <w:rPr>
          <w:rFonts w:ascii="Arial" w:hAnsi="Arial" w:eastAsia="Arial" w:cs="Arial"/>
          <w:b/>
        </w:rPr>
        <w:t>Table 7. Four-week inspection plan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047"/>
        <w:gridCol w:w="3907"/>
        <w:gridCol w:w="3910"/>
      </w:tblGrid>
      <w:tr>
        <w:trPr>
          <w:cantSplit/>
          <w:tblHeader/>
        </w:trPr>
        <w:tc>
          <w:tcPr>
            <w:tcW w:type="dxa" w:w="2047"/>
            <w:vAlign w:val="center"/>
            <w:shd w:val="clear" w:color="auto" w:fill="E9EEF3"/>
          </w:tcPr>
          <w:p>
            <w:pPr>
              <w:keepNext/>
              <w:spacing w:before="40" w:after="40" w:line="240" w:lineRule="auto"/>
              <w:jc w:val="left"/>
            </w:pPr>
            <w:r>
              <w:rPr>
                <w:rFonts w:ascii="Arial" w:hAnsi="Arial" w:eastAsia="Arial" w:cs="Arial"/>
                <w:b/>
                <w:sz w:val="21"/>
              </w:rPr>
              <w:t>Timing and owner</w:t>
            </w:r>
          </w:p>
        </w:tc>
        <w:tc>
          <w:tcPr>
            <w:tcW w:type="dxa" w:w="3907"/>
            <w:vAlign w:val="center"/>
            <w:shd w:val="clear" w:color="auto" w:fill="E9EEF3"/>
          </w:tcPr>
          <w:p>
            <w:pPr>
              <w:keepNext/>
              <w:spacing w:before="40" w:after="40" w:line="240" w:lineRule="auto"/>
              <w:jc w:val="left"/>
            </w:pPr>
            <w:r>
              <w:rPr>
                <w:rFonts w:ascii="Arial" w:hAnsi="Arial" w:eastAsia="Arial" w:cs="Arial"/>
                <w:b/>
                <w:sz w:val="21"/>
              </w:rPr>
              <w:t>Action</w:t>
            </w:r>
          </w:p>
        </w:tc>
        <w:tc>
          <w:tcPr>
            <w:tcW w:type="dxa" w:w="3910"/>
            <w:vAlign w:val="center"/>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2047"/>
            <w:vAlign w:val="center"/>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3907"/>
            <w:vAlign w:val="center"/>
            <w:shd w:val="clear" w:color="auto" w:fill="FFFFFF"/>
          </w:tcPr>
          <w:p>
            <w:pPr>
              <w:keepNext/>
              <w:spacing w:before="40" w:after="40" w:line="240" w:lineRule="auto"/>
              <w:jc w:val="left"/>
            </w:pPr>
            <w:r>
              <w:rPr>
                <w:rFonts w:ascii="Arial" w:hAnsi="Arial" w:eastAsia="Arial" w:cs="Arial"/>
                <w:sz w:val="21"/>
              </w:rPr>
              <w:t>Build a pool of ten candidates in the priority groups; rank listed homes within each group</w:t>
            </w:r>
          </w:p>
        </w:tc>
        <w:tc>
          <w:tcPr>
            <w:tcW w:type="dxa" w:w="3910"/>
            <w:vAlign w:val="center"/>
            <w:shd w:val="clear" w:color="auto" w:fill="FFFFFF"/>
          </w:tcPr>
          <w:p>
            <w:pPr>
              <w:keepNext/>
              <w:spacing w:before="40" w:after="40" w:line="240" w:lineRule="auto"/>
              <w:jc w:val="left"/>
            </w:pPr>
            <w:r>
              <w:rPr>
                <w:rFonts w:ascii="Arial" w:hAnsi="Arial" w:eastAsia="Arial" w:cs="Arial"/>
                <w:sz w:val="21"/>
              </w:rPr>
              <w:t>Inspect top-ranked homes first, as time and budget allow; unlisted rentals follow the group order</w:t>
            </w:r>
          </w:p>
        </w:tc>
      </w:tr>
      <w:tr>
        <w:trPr>
          <w:cantSplit/>
        </w:trPr>
        <w:tc>
          <w:tcPr>
            <w:tcW w:type="dxa" w:w="2047"/>
            <w:vAlign w:val="center"/>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3907"/>
            <w:vAlign w:val="center"/>
            <w:shd w:val="clear" w:color="auto" w:fill="FFFFFF"/>
          </w:tcPr>
          <w:p>
            <w:pPr>
              <w:keepNext/>
              <w:spacing w:before="40" w:after="40" w:line="240" w:lineRule="auto"/>
              <w:jc w:val="left"/>
            </w:pPr>
            <w:r>
              <w:rPr>
                <w:rFonts w:ascii="Arial" w:hAnsi="Arial" w:eastAsia="Arial" w:cs="Arial"/>
                <w:sz w:val="21"/>
              </w:rPr>
              <w:t>Confirm consent and building rules; negotiate rent; obtain cost quotes</w:t>
            </w:r>
          </w:p>
        </w:tc>
        <w:tc>
          <w:tcPr>
            <w:tcW w:type="dxa" w:w="3910"/>
            <w:vAlign w:val="center"/>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2047"/>
            <w:vAlign w:val="center"/>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3907"/>
            <w:vAlign w:val="center"/>
            <w:shd w:val="clear" w:color="auto" w:fill="FFFFFF"/>
          </w:tcPr>
          <w:p>
            <w:pPr>
              <w:keepNext/>
              <w:spacing w:before="40" w:after="40" w:line="240" w:lineRule="auto"/>
              <w:jc w:val="left"/>
            </w:pPr>
            <w:r>
              <w:rPr>
                <w:rFonts w:ascii="Arial" w:hAnsi="Arial" w:eastAsia="Arial" w:cs="Arial"/>
                <w:sz w:val="21"/>
              </w:rPr>
              <w:t>Cash-flow plan: quotes against typical and below-target revenue (Recommendation 3, Figure 5)</w:t>
            </w:r>
          </w:p>
        </w:tc>
        <w:tc>
          <w:tcPr>
            <w:tcW w:type="dxa" w:w="3910"/>
            <w:vAlign w:val="center"/>
            <w:shd w:val="clear" w:color="auto" w:fill="FFFFFF"/>
          </w:tcPr>
          <w:p>
            <w:pPr>
              <w:keepNext/>
              <w:spacing w:before="40" w:after="40" w:line="240" w:lineRule="auto"/>
              <w:jc w:val="left"/>
            </w:pPr>
            <w:r>
              <w:rPr>
                <w:rFonts w:ascii="Arial" w:hAnsi="Arial" w:eastAsia="Arial" w:cs="Arial"/>
                <w:sz w:val="21"/>
              </w:rPr>
              <w:t>Sign only if the plan covers setup costs and required return, and the buffer covers a year of below-target loss</w:t>
            </w:r>
          </w:p>
        </w:tc>
      </w:tr>
      <w:tr>
        <w:trPr>
          <w:cantSplit/>
        </w:trPr>
        <w:tc>
          <w:tcPr>
            <w:tcW w:type="dxa" w:w="2047"/>
            <w:vAlign w:val="center"/>
            <w:shd w:val="clear" w:color="auto" w:fill="FFFFFF"/>
          </w:tcPr>
          <w:p>
            <w:pPr>
              <w:spacing w:before="40" w:after="40" w:line="240" w:lineRule="auto"/>
              <w:jc w:val="left"/>
            </w:pPr>
            <w:r>
              <w:rPr>
                <w:rFonts w:ascii="Arial" w:hAnsi="Arial" w:eastAsia="Arial" w:cs="Arial"/>
                <w:b/>
                <w:sz w:val="21"/>
              </w:rPr>
              <w:t>First 30 days</w:t>
            </w:r>
            <w:r>
              <w:rPr>
                <w:rFonts w:ascii="Arial" w:hAnsi="Arial" w:eastAsia="Arial" w:cs="Arial"/>
                <w:sz w:val="21"/>
              </w:rPr>
              <w:t xml:space="preserve"> (Operator)</w:t>
            </w:r>
          </w:p>
        </w:tc>
        <w:tc>
          <w:tcPr>
            <w:tcW w:type="dxa" w:w="3907"/>
            <w:vAlign w:val="center"/>
            <w:shd w:val="clear" w:color="auto" w:fill="FFFFFF"/>
          </w:tcPr>
          <w:p>
            <w:pPr>
              <w:spacing w:before="40" w:after="40" w:line="240" w:lineRule="auto"/>
              <w:jc w:val="left"/>
            </w:pPr>
            <w:r>
              <w:rPr>
                <w:rFonts w:ascii="Arial" w:hAnsi="Arial" w:eastAsia="Arial" w:cs="Arial"/>
                <w:sz w:val="21"/>
              </w:rPr>
              <w:t>Record paid nights, stay length, workload and net cash flow alongside reviews</w:t>
            </w:r>
          </w:p>
        </w:tc>
        <w:tc>
          <w:tcPr>
            <w:tcW w:type="dxa" w:w="3910"/>
            <w:vAlign w:val="center"/>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keepNext/>
        <w:widowControl/>
        <w:spacing w:after="40" w:before="80" w:line="240" w:lineRule="auto"/>
        <w:jc w:val="center"/>
      </w:pPr>
      <w:r>
        <w:drawing>
          <wp:inline xmlns:a="http://schemas.openxmlformats.org/drawingml/2006/main" xmlns:pic="http://schemas.openxmlformats.org/drawingml/2006/picture">
            <wp:extent cx="6035040" cy="2482294"/>
            <wp:docPr id="5" name="Picture 5"/>
            <wp:cNvGraphicFramePr>
              <a:graphicFrameLocks noChangeAspect="1"/>
            </wp:cNvGraphicFramePr>
            <a:graphic>
              <a:graphicData uri="http://schemas.openxmlformats.org/drawingml/2006/picture">
                <pic:pic>
                  <pic:nvPicPr>
                    <pic:cNvPr id="0" name="figure_5_weekly_reach.png"/>
                    <pic:cNvPicPr/>
                  </pic:nvPicPr>
                  <pic:blipFill>
                    <a:blip r:embed="rId24"/>
                    <a:stretch>
                      <a:fillRect/>
                    </a:stretch>
                  </pic:blipFill>
                  <pic:spPr>
                    <a:xfrm>
                      <a:off x="0" y="0"/>
                      <a:ext cx="6035040" cy="2482294"/>
                    </a:xfrm>
                    <a:prstGeom prst="rect"/>
                  </pic:spPr>
                </pic:pic>
              </a:graphicData>
            </a:graphic>
          </wp:inline>
        </w:drawing>
      </w:r>
    </w:p>
    <w:p>
      <w:pPr>
        <w:pStyle w:val="Caption"/>
      </w:pPr>
      <w:r>
        <w:rPr>
          <w:rFonts w:ascii="Arial" w:hAnsi="Arial" w:eastAsia="Arial" w:cs="Arial"/>
          <w:b/>
        </w:rPr>
        <w:t>Figure 5.</w:t>
      </w:r>
      <w:r>
        <w:rPr>
          <w:rFonts w:ascii="Arial" w:hAnsi="Arial" w:eastAsia="Arial" w:cs="Arial"/>
        </w:rPr>
        <w:t xml:space="preserve"> Share of each priority group's homes whose estimated weekly revenue reached a given weekly cost.</w:t>
      </w:r>
    </w:p>
    <w:p>
      <w:pPr>
        <w:widowControl/>
        <w:spacing w:after="120" w:line="259" w:lineRule="auto"/>
        <w:jc w:val="left"/>
      </w:pPr>
      <w:r>
        <w:rPr>
          <w:rFonts w:ascii="Arial" w:hAnsi="Arial" w:eastAsia="Arial" w:cs="Arial"/>
          <w:b/>
        </w:rPr>
        <w:t>Worked example (illustrative figures).</w:t>
      </w:r>
      <w:r>
        <w:rPr>
          <w:rFonts w:ascii="Arial" w:hAnsi="Arial" w:eastAsia="Arial" w:cs="Arial"/>
        </w:rPr>
        <w:t xml:space="preserve"> Weekly rent and quoted running costs total </w:t>
      </w:r>
      <w:r>
        <w:rPr>
          <w:rFonts w:ascii="Arial" w:hAnsi="Arial" w:eastAsia="Arial" w:cs="Arial"/>
          <w:b/>
        </w:rPr>
        <w:t>AUD 620</w:t>
      </w:r>
      <w:r>
        <w:rPr>
          <w:rFonts w:ascii="Arial" w:hAnsi="Arial" w:eastAsia="Arial" w:cs="Arial"/>
        </w:rPr>
        <w:t xml:space="preserve"> for an unlisted City two-bedroom apartment and </w:t>
      </w:r>
      <w:r>
        <w:rPr>
          <w:rFonts w:ascii="Arial" w:hAnsi="Arial" w:eastAsia="Arial" w:cs="Arial"/>
          <w:b/>
        </w:rPr>
        <w:t>AUD 700</w:t>
      </w:r>
      <w:r>
        <w:rPr>
          <w:rFonts w:ascii="Arial" w:hAnsi="Arial" w:eastAsia="Arial" w:cs="Arial"/>
        </w:rPr>
        <w:t xml:space="preserve"> for a Yarra Ranges three-bedroom house. The apartment exceeds its group's typical AUD 590 revenue, so it is dropped. The house clears its group's typical AUD 890 and advances to negotiation and its own cash-flow plan. At the below-target AUD 600 benchmark, it loses AUD 100 a week, requiring an AUD 5,200 annual buffer. The cash-flow plan must also recover setup costs and deliver the required return.</w:t>
      </w:r>
    </w:p>
    <w:p>
      <w:pPr>
        <w:pStyle w:val="Heading1"/>
        <w:keepNext/>
        <w:pageBreakBefore w:val="0"/>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are not bookings or profit.</w:t>
      </w:r>
      <w:r>
        <w:rPr>
          <w:rFonts w:ascii="Arial" w:hAnsi="Arial" w:eastAsia="Arial" w:cs="Arial"/>
        </w:rPr>
        <w:t xml:space="preserve"> Inside Airbnb's 50% review rate sits within published estimates of 30.5%–72% (Inside Airbnb, n.d.), so dollar figures are rough, and activity fell in the later year (Figure 4).</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Homes that left Airbnb are missing, and revenue uses June–July prices. New entrants, unpriced listings and outer areas are not covered.</w:t>
      </w:r>
    </w:p>
    <w:p>
      <w:pPr>
        <w:pStyle w:val="ListBullet"/>
        <w:widowControl/>
        <w:spacing w:after="80" w:line="259" w:lineRule="auto"/>
        <w:jc w:val="left"/>
      </w:pPr>
      <w:r>
        <w:rPr>
          <w:rFonts w:ascii="Arial" w:hAnsi="Arial" w:eastAsia="Arial" w:cs="Arial"/>
          <w:b/>
        </w:rPr>
        <w:t>Short stays inflate reviews and revenue.</w:t>
      </w:r>
      <w:r>
        <w:rPr>
          <w:rFonts w:ascii="Arial" w:hAnsi="Arial" w:eastAsia="Arial" w:cs="Arial"/>
        </w:rPr>
        <w:t xml:space="preserve"> A one-night minimum allows more stays for the same nights booked, so part of its effect is built into the target; counting each stay as three nights may also overstate these homes' revenue.</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were recorded at collection and may respond to earlier performance. Choosing the one-night input (after seeing no seven-night home reach 30 reviews) and selecting the priority groups on all homes mean the 50 tests may overstate the gain.</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Next, collect rent and cost quotes for the priority groups, track paid nights and net cash flow to check whether review activity identifies good businesses, and test the unchanged groups, model and selection rule on the next snapshot.</w:t>
      </w:r>
    </w:p>
    <w:p>
      <w:pPr>
        <w:pStyle w:val="Heading1"/>
        <w:keepNext/>
        <w:pageBreakBefore w:val="0"/>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5">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GitHub. </w:t>
      </w:r>
      <w:hyperlink r:id="rId13">
        <w:r>
          <w:rPr>
            <w:rFonts w:ascii="Arial" w:hAnsi="Arial" w:eastAsia="Arial" w:cs="Arial"/>
            <w:color w:val="0563C1"/>
            <w:u w:val="single"/>
          </w:rPr>
          <w:t xml:space="preserve">https://github.com/maksym-xu/CMCE30005-TheNextChapter/tree/final-report-marking-fixes-2026-10-16</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6">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(June 2026 snapshot, via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7">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28">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Earlier team contributions are recorded in the repository guide.</w:t>
      </w:r>
    </w:p>
    <w:p>
      <w:pPr>
        <w:pStyle w:val="Heading1"/>
        <w:keepNext/>
        <w:pageBreakBefore/>
      </w:pPr>
      <w:r>
        <w:rPr>
          <w:rFonts w:ascii="Arial" w:hAnsi="Arial" w:eastAsia="Arial" w:cs="Arial"/>
        </w:rPr>
        <w:t>Appendix A. Model Details</w:t>
      </w:r>
    </w:p>
    <w:p>
      <w:pPr>
        <w:widowControl/>
        <w:spacing w:after="120" w:line="259" w:lineRule="auto"/>
        <w:jc w:val="left"/>
      </w:pPr>
      <w:r>
        <w:rPr>
          <w:rFonts w:ascii="Arial" w:hAnsi="Arial" w:eastAsia="Arial" w:cs="Arial"/>
        </w:rPr>
        <w:t xml:space="preserve">We fitted the model in R (R Core Team, 2026). Group median prices and mode fills for missing minimum stays use training homes only. The group rate is smoothed as </w:t>
      </w:r>
      <w:r>
        <w:rPr>
          <w:rFonts w:ascii="Arial" w:hAnsi="Arial" w:eastAsia="Arial" w:cs="Arial"/>
          <w:b w:val="0"/>
        </w:rPr>
        <w:t>(group_successes + 10 * overall_rate) / (group_homes + 10)</w:t>
      </w:r>
      <w:r>
        <w:rPr>
          <w:rFonts w:ascii="Arial" w:hAnsi="Arial" w:eastAsia="Arial" w:cs="Arial"/>
        </w:rPr>
        <w:t>. Odds are the chance of being busy divided by the chance of not being busy. Table A1 gives each input's odds ratio from its average coefficient over the 50 fits, and the range across fits; above 1 means a higher chance of being busy, below 1 a lower one.</w:t>
      </w:r>
    </w:p>
    <w:p>
      <w:pPr>
        <w:keepNext/>
        <w:widowControl/>
        <w:spacing w:after="80" w:before="80" w:line="259" w:lineRule="auto"/>
        <w:jc w:val="left"/>
      </w:pPr>
      <w:r>
        <w:rPr>
          <w:rFonts w:ascii="Arial" w:hAnsi="Arial" w:eastAsia="Arial" w:cs="Arial"/>
          <w:b/>
        </w:rPr>
        <w:t>Table A1. Odds ratios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870"/>
        <w:gridCol w:w="1461"/>
        <w:gridCol w:w="2533"/>
      </w:tblGrid>
      <w:tr>
        <w:trPr>
          <w:cantSplit/>
          <w:tblHeader/>
        </w:trPr>
        <w:tc>
          <w:tcPr>
            <w:tcW w:type="dxa" w:w="5870"/>
            <w:vAlign w:val="center"/>
            <w:shd w:val="clear" w:color="auto" w:fill="E9EEF3"/>
          </w:tcPr>
          <w:p>
            <w:pPr>
              <w:keepNext/>
              <w:spacing w:before="40" w:after="40" w:line="240" w:lineRule="auto"/>
              <w:jc w:val="left"/>
            </w:pPr>
            <w:r>
              <w:rPr>
                <w:rFonts w:ascii="Arial" w:hAnsi="Arial" w:eastAsia="Arial" w:cs="Arial"/>
                <w:b/>
                <w:sz w:val="21"/>
              </w:rPr>
              <w:t>Input (compared with)</w:t>
            </w:r>
          </w:p>
        </w:tc>
        <w:tc>
          <w:tcPr>
            <w:tcW w:type="dxa" w:w="1461"/>
            <w:vAlign w:val="center"/>
            <w:shd w:val="clear" w:color="auto" w:fill="E9EEF3"/>
          </w:tcPr>
          <w:p>
            <w:pPr>
              <w:keepNext/>
              <w:spacing w:before="40" w:after="40" w:line="240" w:lineRule="auto"/>
              <w:jc w:val="left"/>
            </w:pPr>
            <w:r>
              <w:rPr>
                <w:rFonts w:ascii="Arial" w:hAnsi="Arial" w:eastAsia="Arial" w:cs="Arial"/>
                <w:b/>
                <w:sz w:val="21"/>
              </w:rPr>
              <w:t>Odds ratio</w:t>
            </w:r>
          </w:p>
        </w:tc>
        <w:tc>
          <w:tcPr>
            <w:tcW w:type="dxa" w:w="2533"/>
            <w:vAlign w:val="center"/>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Accepts one-night stays (no)</w:t>
            </w:r>
          </w:p>
        </w:tc>
        <w:tc>
          <w:tcPr>
            <w:tcW w:type="dxa" w:w="1461"/>
            <w:vAlign w:val="center"/>
            <w:shd w:val="clear" w:color="auto" w:fill="FFFFFF"/>
          </w:tcPr>
          <w:p>
            <w:pPr>
              <w:keepNext/>
              <w:spacing w:before="40" w:after="40" w:line="240" w:lineRule="auto"/>
              <w:jc w:val="right"/>
            </w:pPr>
            <w:r>
              <w:rPr>
                <w:rFonts w:ascii="Arial" w:hAnsi="Arial" w:eastAsia="Arial" w:cs="Arial"/>
                <w:sz w:val="21"/>
              </w:rPr>
              <w:t>3.27</w:t>
            </w:r>
          </w:p>
        </w:tc>
        <w:tc>
          <w:tcPr>
            <w:tcW w:type="dxa" w:w="2533"/>
            <w:vAlign w:val="center"/>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Ten more amenities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1.27</w:t>
            </w:r>
          </w:p>
        </w:tc>
        <w:tc>
          <w:tcPr>
            <w:tcW w:type="dxa" w:w="2533"/>
            <w:vAlign w:val="center"/>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461"/>
            <w:vAlign w:val="center"/>
            <w:shd w:val="clear" w:color="auto" w:fill="FFFFFF"/>
          </w:tcPr>
          <w:p>
            <w:pPr>
              <w:keepNext/>
              <w:spacing w:before="40" w:after="40" w:line="240" w:lineRule="auto"/>
              <w:jc w:val="right"/>
            </w:pPr>
            <w:r>
              <w:rPr>
                <w:rFonts w:ascii="Arial" w:hAnsi="Arial" w:eastAsia="Arial" w:cs="Arial"/>
                <w:sz w:val="21"/>
              </w:rPr>
              <w:t>0.88</w:t>
            </w:r>
          </w:p>
        </w:tc>
        <w:tc>
          <w:tcPr>
            <w:tcW w:type="dxa" w:w="2533"/>
            <w:vAlign w:val="center"/>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b/>
                <w:sz w:val="21"/>
              </w:rPr>
              <w:t>Council area (City of Melbourne)</w:t>
            </w:r>
          </w:p>
        </w:tc>
        <w:tc>
          <w:tcPr>
            <w:tcW w:type="dxa" w:w="1461"/>
            <w:vAlign w:val="center"/>
            <w:shd w:val="clear" w:color="auto" w:fill="FFFFFF"/>
          </w:tcPr>
          <w:p>
            <w:pPr>
              <w:keepNext/>
              <w:spacing w:before="40" w:after="40" w:line="240" w:lineRule="auto"/>
              <w:jc w:val="right"/>
            </w:pPr>
          </w:p>
        </w:tc>
        <w:tc>
          <w:tcPr>
            <w:tcW w:type="dxa" w:w="2533"/>
            <w:vAlign w:val="center"/>
            <w:shd w:val="clear" w:color="auto" w:fill="FFFFFF"/>
          </w:tcPr>
          <w:p>
            <w:pPr>
              <w:keepNext/>
              <w:spacing w:before="40" w:after="40" w:line="240" w:lineRule="auto"/>
              <w:jc w:val="right"/>
            </w:pP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Port Phillip</w:t>
            </w:r>
          </w:p>
        </w:tc>
        <w:tc>
          <w:tcPr>
            <w:tcW w:type="dxa" w:w="1461"/>
            <w:vAlign w:val="center"/>
            <w:shd w:val="clear" w:color="auto" w:fill="FFFFFF"/>
          </w:tcPr>
          <w:p>
            <w:pPr>
              <w:keepNext/>
              <w:spacing w:before="40" w:after="40" w:line="240" w:lineRule="auto"/>
              <w:jc w:val="right"/>
            </w:pPr>
            <w:r>
              <w:rPr>
                <w:rFonts w:ascii="Arial" w:hAnsi="Arial" w:eastAsia="Arial" w:cs="Arial"/>
                <w:sz w:val="21"/>
              </w:rPr>
              <w:t>0.50</w:t>
            </w:r>
          </w:p>
        </w:tc>
        <w:tc>
          <w:tcPr>
            <w:tcW w:type="dxa" w:w="2533"/>
            <w:vAlign w:val="center"/>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Stonnington</w:t>
            </w:r>
          </w:p>
        </w:tc>
        <w:tc>
          <w:tcPr>
            <w:tcW w:type="dxa" w:w="1461"/>
            <w:vAlign w:val="center"/>
            <w:shd w:val="clear" w:color="auto" w:fill="FFFFFF"/>
          </w:tcPr>
          <w:p>
            <w:pPr>
              <w:keepNext/>
              <w:spacing w:before="40" w:after="40" w:line="240" w:lineRule="auto"/>
              <w:jc w:val="right"/>
            </w:pPr>
            <w:r>
              <w:rPr>
                <w:rFonts w:ascii="Arial" w:hAnsi="Arial" w:eastAsia="Arial" w:cs="Arial"/>
                <w:sz w:val="21"/>
              </w:rPr>
              <w:t>0.48</w:t>
            </w:r>
          </w:p>
        </w:tc>
        <w:tc>
          <w:tcPr>
            <w:tcW w:type="dxa" w:w="2533"/>
            <w:vAlign w:val="center"/>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w:t>
            </w:r>
          </w:p>
        </w:tc>
        <w:tc>
          <w:tcPr>
            <w:tcW w:type="dxa" w:w="1461"/>
            <w:vAlign w:val="center"/>
            <w:shd w:val="clear" w:color="auto" w:fill="FFFFFF"/>
          </w:tcPr>
          <w:p>
            <w:pPr>
              <w:keepNext/>
              <w:spacing w:before="40" w:after="40" w:line="240" w:lineRule="auto"/>
              <w:jc w:val="right"/>
            </w:pPr>
            <w:r>
              <w:rPr>
                <w:rFonts w:ascii="Arial" w:hAnsi="Arial" w:eastAsia="Arial" w:cs="Arial"/>
                <w:sz w:val="21"/>
              </w:rPr>
              <w:t>0.83</w:t>
            </w:r>
          </w:p>
        </w:tc>
        <w:tc>
          <w:tcPr>
            <w:tcW w:type="dxa" w:w="2533"/>
            <w:vAlign w:val="center"/>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 Ranges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1.22</w:t>
            </w:r>
          </w:p>
        </w:tc>
        <w:tc>
          <w:tcPr>
            <w:tcW w:type="dxa" w:w="2533"/>
            <w:vAlign w:val="center"/>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Merri-bek</w:t>
            </w:r>
          </w:p>
        </w:tc>
        <w:tc>
          <w:tcPr>
            <w:tcW w:type="dxa" w:w="1461"/>
            <w:vAlign w:val="center"/>
            <w:shd w:val="clear" w:color="auto" w:fill="FFFFFF"/>
          </w:tcPr>
          <w:p>
            <w:pPr>
              <w:keepNext/>
              <w:spacing w:before="40" w:after="40" w:line="240" w:lineRule="auto"/>
              <w:jc w:val="right"/>
            </w:pPr>
            <w:r>
              <w:rPr>
                <w:rFonts w:ascii="Arial" w:hAnsi="Arial" w:eastAsia="Arial" w:cs="Arial"/>
                <w:sz w:val="21"/>
              </w:rPr>
              <w:t>0.75</w:t>
            </w:r>
          </w:p>
        </w:tc>
        <w:tc>
          <w:tcPr>
            <w:tcW w:type="dxa" w:w="2533"/>
            <w:vAlign w:val="center"/>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461"/>
            <w:vAlign w:val="center"/>
            <w:shd w:val="clear" w:color="auto" w:fill="FFFFFF"/>
          </w:tcPr>
          <w:p>
            <w:pPr>
              <w:keepNext/>
              <w:spacing w:before="40" w:after="40" w:line="240" w:lineRule="auto"/>
              <w:jc w:val="right"/>
            </w:pPr>
            <w:r>
              <w:rPr>
                <w:rFonts w:ascii="Arial" w:hAnsi="Arial" w:eastAsia="Arial" w:cs="Arial"/>
                <w:sz w:val="21"/>
              </w:rPr>
              <w:t>0.78</w:t>
            </w:r>
          </w:p>
        </w:tc>
        <w:tc>
          <w:tcPr>
            <w:tcW w:type="dxa" w:w="2533"/>
            <w:vAlign w:val="center"/>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Two bedrooms (one)</w:t>
            </w:r>
          </w:p>
        </w:tc>
        <w:tc>
          <w:tcPr>
            <w:tcW w:type="dxa" w:w="1461"/>
            <w:vAlign w:val="center"/>
            <w:shd w:val="clear" w:color="auto" w:fill="FFFFFF"/>
          </w:tcPr>
          <w:p>
            <w:pPr>
              <w:keepNext/>
              <w:spacing w:before="40" w:after="40" w:line="240" w:lineRule="auto"/>
              <w:jc w:val="right"/>
            </w:pPr>
            <w:r>
              <w:rPr>
                <w:rFonts w:ascii="Arial" w:hAnsi="Arial" w:eastAsia="Arial" w:cs="Arial"/>
                <w:sz w:val="21"/>
              </w:rPr>
              <w:t>1.16</w:t>
            </w:r>
          </w:p>
        </w:tc>
        <w:tc>
          <w:tcPr>
            <w:tcW w:type="dxa" w:w="2533"/>
            <w:vAlign w:val="center"/>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870"/>
            <w:vAlign w:val="center"/>
            <w:shd w:val="clear" w:color="auto" w:fill="FFFFFF"/>
          </w:tcPr>
          <w:p>
            <w:pPr>
              <w:spacing w:before="40" w:after="40" w:line="240" w:lineRule="auto"/>
              <w:jc w:val="left"/>
            </w:pPr>
            <w:r>
              <w:rPr>
                <w:rFonts w:ascii="Arial" w:hAnsi="Arial" w:eastAsia="Arial" w:cs="Arial"/>
                <w:sz w:val="21"/>
              </w:rPr>
              <w:t>Three bedrooms (one)</w:t>
            </w:r>
          </w:p>
        </w:tc>
        <w:tc>
          <w:tcPr>
            <w:tcW w:type="dxa" w:w="1461"/>
            <w:vAlign w:val="center"/>
            <w:shd w:val="clear" w:color="auto" w:fill="FFFFFF"/>
          </w:tcPr>
          <w:p>
            <w:pPr>
              <w:spacing w:before="40" w:after="40" w:line="240" w:lineRule="auto"/>
              <w:jc w:val="right"/>
            </w:pPr>
            <w:r>
              <w:rPr>
                <w:rFonts w:ascii="Arial" w:hAnsi="Arial" w:eastAsia="Arial" w:cs="Arial"/>
                <w:sz w:val="21"/>
              </w:rPr>
              <w:t>1.31</w:t>
            </w:r>
          </w:p>
        </w:tc>
        <w:tc>
          <w:tcPr>
            <w:tcW w:type="dxa" w:w="2533"/>
            <w:vAlign w:val="center"/>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Across the 50 tests on all 14 groups, the model ranked a random busy home above a random quiet one 71% of the time, against 60% for group rates (AUC 0.71 and 0.60); full evaluation tables are in the repository (Huang &amp; Xu, 2026). Host-clustered standard errors are 1.1–2.6 times ordinary estimates, variance inflation factors sit below 3 (low multicollinearity), and host-adjusted tests find no clear curvature. In the two-year check (Section 5.5), equal host weights within each pool give an 8.7-point later-year gap (112 hosts appear in both pools).</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final-report-marking-fixes-2026-10-16"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hyperlink" Target="https://www.consumer.vic.gov.au/housing/owners-corporations/rules/making-rules-to-ban-short-stay-accommodation" TargetMode="External"/><Relationship Id="rId26" Type="http://schemas.openxmlformats.org/officeDocument/2006/relationships/hyperlink" Target="https://insideairbnb.com/data-assumptions/" TargetMode="External"/><Relationship Id="rId27" Type="http://schemas.openxmlformats.org/officeDocument/2006/relationships/hyperlink" Target="https://www.R-project.org/" TargetMode="External"/><Relationship Id="rId28"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