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291A" w14:textId="77777777" w:rsidR="000A7C9B" w:rsidRPr="00392DB4" w:rsidRDefault="000A7C9B" w:rsidP="000A7C9B">
      <w:pPr>
        <w:spacing w:after="160"/>
        <w:jc w:val="center"/>
        <w:rPr>
          <w:rFonts w:ascii="Times New Roman" w:hAnsi="Times New Roman" w:cs="Times New Roman"/>
        </w:rPr>
      </w:pPr>
      <w:r w:rsidRPr="00392D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КИЇВСЬКИЙ НАЦІОНАЛЬНИЙ УНІВЕРСИТЕТ</w:t>
      </w:r>
    </w:p>
    <w:p w14:paraId="6403A7F4" w14:textId="77777777" w:rsidR="000A7C9B" w:rsidRPr="00392DB4" w:rsidRDefault="000A7C9B" w:rsidP="000A7C9B">
      <w:pPr>
        <w:spacing w:after="160"/>
        <w:jc w:val="center"/>
        <w:rPr>
          <w:rFonts w:ascii="Times New Roman" w:hAnsi="Times New Roman" w:cs="Times New Roman"/>
        </w:rPr>
      </w:pPr>
      <w:r w:rsidRPr="00392D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ІМЕНІ ТАРАСА ШЕВЧЕНКА</w:t>
      </w:r>
    </w:p>
    <w:p w14:paraId="7B4F2FDA" w14:textId="77777777" w:rsidR="000A7C9B" w:rsidRPr="00392DB4" w:rsidRDefault="000A7C9B" w:rsidP="000A7C9B">
      <w:pPr>
        <w:spacing w:after="160"/>
        <w:jc w:val="center"/>
        <w:rPr>
          <w:rFonts w:ascii="Times New Roman" w:hAnsi="Times New Roman" w:cs="Times New Roman"/>
        </w:rPr>
      </w:pP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Факультет</w:t>
      </w:r>
      <w:proofErr w:type="spellEnd"/>
      <w:r w:rsidRPr="00392D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комп’ютерних</w:t>
      </w:r>
      <w:proofErr w:type="spellEnd"/>
      <w:r w:rsidRPr="00392D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наук</w:t>
      </w:r>
      <w:proofErr w:type="spellEnd"/>
      <w:r w:rsidRPr="00392D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92D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кібернетики</w:t>
      </w:r>
      <w:proofErr w:type="spellEnd"/>
    </w:p>
    <w:p w14:paraId="185ED31D" w14:textId="77777777" w:rsidR="000A7C9B" w:rsidRPr="00392DB4" w:rsidRDefault="000A7C9B" w:rsidP="000A7C9B">
      <w:pPr>
        <w:spacing w:after="240"/>
        <w:rPr>
          <w:rFonts w:ascii="Times New Roman" w:hAnsi="Times New Roman" w:cs="Times New Roman"/>
        </w:rPr>
      </w:pPr>
      <w:r w:rsidRPr="00392DB4">
        <w:rPr>
          <w:rFonts w:ascii="Times New Roman" w:hAnsi="Times New Roman" w:cs="Times New Roman"/>
        </w:rPr>
        <w:br/>
      </w:r>
      <w:r w:rsidRPr="00392DB4">
        <w:rPr>
          <w:rFonts w:ascii="Times New Roman" w:hAnsi="Times New Roman" w:cs="Times New Roman"/>
        </w:rPr>
        <w:br/>
      </w:r>
      <w:r w:rsidRPr="00392DB4">
        <w:rPr>
          <w:rFonts w:ascii="Times New Roman" w:hAnsi="Times New Roman" w:cs="Times New Roman"/>
        </w:rPr>
        <w:br/>
      </w:r>
    </w:p>
    <w:p w14:paraId="08D5C61F" w14:textId="77777777" w:rsidR="000A7C9B" w:rsidRPr="00392DB4" w:rsidRDefault="000A7C9B" w:rsidP="000A7C9B">
      <w:pPr>
        <w:spacing w:after="160"/>
        <w:jc w:val="center"/>
        <w:rPr>
          <w:rFonts w:ascii="Times New Roman" w:hAnsi="Times New Roman" w:cs="Times New Roman"/>
        </w:rPr>
      </w:pPr>
      <w:proofErr w:type="spellStart"/>
      <w:r w:rsidRPr="00392D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Звіт</w:t>
      </w:r>
      <w:proofErr w:type="spellEnd"/>
    </w:p>
    <w:p w14:paraId="0C1E4AC9" w14:textId="2ED45EB9" w:rsidR="000A7C9B" w:rsidRPr="00392DB4" w:rsidRDefault="000A7C9B" w:rsidP="000A7C9B">
      <w:pPr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до</w:t>
      </w:r>
      <w:proofErr w:type="spellEnd"/>
      <w:r w:rsidRPr="00392D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 w:rsidRPr="00392D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392DB4">
        <w:rPr>
          <w:rFonts w:ascii="Times New Roman" w:hAnsi="Times New Roman" w:cs="Times New Roman"/>
          <w:color w:val="000000"/>
          <w:sz w:val="28"/>
          <w:szCs w:val="28"/>
        </w:rPr>
        <w:t xml:space="preserve"> № 1</w:t>
      </w:r>
    </w:p>
    <w:p w14:paraId="2442AEB5" w14:textId="1121638C" w:rsidR="0004408A" w:rsidRPr="00392DB4" w:rsidRDefault="0004408A" w:rsidP="000A7C9B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2DB4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8F4BC56" w14:textId="590E0037" w:rsidR="0004408A" w:rsidRPr="00392DB4" w:rsidRDefault="00E46836" w:rsidP="000A7C9B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392DB4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A" w:eastAsia="en-GB"/>
        </w:rPr>
        <w:t>«</w:t>
      </w:r>
      <w:proofErr w:type="spellStart"/>
      <w:r w:rsidR="0004408A" w:rsidRPr="00392DB4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="0004408A" w:rsidRPr="00392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08A" w:rsidRPr="00392DB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04408A" w:rsidRPr="00392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08A" w:rsidRPr="00392DB4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="0004408A" w:rsidRPr="00392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08A" w:rsidRPr="00392DB4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="0004408A" w:rsidRPr="00392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08A" w:rsidRPr="00392DB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04408A" w:rsidRPr="00392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08A" w:rsidRPr="00392DB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04408A" w:rsidRPr="00392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08A" w:rsidRPr="00392DB4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92DB4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A" w:eastAsia="en-GB"/>
        </w:rPr>
        <w:t>»</w:t>
      </w:r>
    </w:p>
    <w:p w14:paraId="0127CB5A" w14:textId="77777777" w:rsidR="000A7C9B" w:rsidRPr="00392DB4" w:rsidRDefault="000A7C9B" w:rsidP="000A7C9B">
      <w:pPr>
        <w:spacing w:after="240"/>
        <w:rPr>
          <w:rFonts w:ascii="Times New Roman" w:hAnsi="Times New Roman" w:cs="Times New Roman"/>
        </w:rPr>
      </w:pPr>
      <w:r w:rsidRPr="00392DB4">
        <w:rPr>
          <w:rFonts w:ascii="Times New Roman" w:hAnsi="Times New Roman" w:cs="Times New Roman"/>
        </w:rPr>
        <w:br/>
      </w:r>
      <w:r w:rsidRPr="00392DB4">
        <w:rPr>
          <w:rFonts w:ascii="Times New Roman" w:hAnsi="Times New Roman" w:cs="Times New Roman"/>
        </w:rPr>
        <w:br/>
      </w:r>
      <w:r w:rsidRPr="00392DB4">
        <w:rPr>
          <w:rFonts w:ascii="Times New Roman" w:hAnsi="Times New Roman" w:cs="Times New Roman"/>
        </w:rPr>
        <w:br/>
      </w:r>
      <w:r w:rsidRPr="00392DB4">
        <w:rPr>
          <w:rFonts w:ascii="Times New Roman" w:hAnsi="Times New Roman" w:cs="Times New Roman"/>
        </w:rPr>
        <w:br/>
      </w:r>
      <w:r w:rsidRPr="00392DB4">
        <w:rPr>
          <w:rFonts w:ascii="Times New Roman" w:hAnsi="Times New Roman" w:cs="Times New Roman"/>
        </w:rPr>
        <w:br/>
      </w:r>
      <w:r w:rsidRPr="00392DB4">
        <w:rPr>
          <w:rFonts w:ascii="Times New Roman" w:hAnsi="Times New Roman" w:cs="Times New Roman"/>
        </w:rPr>
        <w:br/>
      </w:r>
    </w:p>
    <w:p w14:paraId="6EB0F65D" w14:textId="77777777" w:rsidR="000A7C9B" w:rsidRPr="00392DB4" w:rsidRDefault="000A7C9B" w:rsidP="000A7C9B">
      <w:pPr>
        <w:spacing w:after="160"/>
        <w:jc w:val="right"/>
        <w:rPr>
          <w:rFonts w:ascii="Times New Roman" w:hAnsi="Times New Roman" w:cs="Times New Roman"/>
        </w:rPr>
      </w:pP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Викона</w:t>
      </w:r>
      <w:proofErr w:type="spellEnd"/>
      <w:r w:rsidRPr="00392DB4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392D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proofErr w:type="spellEnd"/>
      <w:r w:rsidRPr="00392D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2DB4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392DB4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го</w:t>
      </w:r>
      <w:proofErr w:type="spellEnd"/>
      <w:r w:rsidRPr="00392D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курсу</w:t>
      </w:r>
      <w:proofErr w:type="spellEnd"/>
    </w:p>
    <w:p w14:paraId="15E8303F" w14:textId="77777777" w:rsidR="000A7C9B" w:rsidRPr="00392DB4" w:rsidRDefault="00947EF4" w:rsidP="000A7C9B">
      <w:pPr>
        <w:spacing w:after="160"/>
        <w:jc w:val="right"/>
        <w:rPr>
          <w:rFonts w:ascii="Times New Roman" w:hAnsi="Times New Roman" w:cs="Times New Roman"/>
        </w:rPr>
      </w:pPr>
      <w:r w:rsidRPr="00392D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ОНП </w:t>
      </w:r>
      <w:r w:rsidRPr="00392DB4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392DB4">
        <w:rPr>
          <w:rFonts w:ascii="Times New Roman" w:hAnsi="Times New Roman" w:cs="Times New Roman"/>
          <w:color w:val="000000"/>
          <w:sz w:val="28"/>
          <w:szCs w:val="28"/>
          <w:lang w:val="uk-UA"/>
        </w:rPr>
        <w:t>Штучний інтелект</w:t>
      </w:r>
      <w:r w:rsidRPr="00392DB4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078F9378" w14:textId="77777777" w:rsidR="000A7C9B" w:rsidRPr="00392DB4" w:rsidRDefault="000A7C9B" w:rsidP="000A7C9B">
      <w:pPr>
        <w:spacing w:after="240"/>
        <w:jc w:val="right"/>
        <w:rPr>
          <w:rFonts w:ascii="Times New Roman" w:hAnsi="Times New Roman" w:cs="Times New Roman"/>
          <w:lang w:val="uk-UA"/>
        </w:rPr>
      </w:pPr>
      <w:proofErr w:type="spellStart"/>
      <w:r w:rsidRPr="00392DB4">
        <w:rPr>
          <w:rFonts w:ascii="Times New Roman" w:hAnsi="Times New Roman" w:cs="Times New Roman"/>
          <w:sz w:val="28"/>
          <w:szCs w:val="28"/>
          <w:lang w:val="uk-UA"/>
        </w:rPr>
        <w:t>Ходаков</w:t>
      </w:r>
      <w:proofErr w:type="spellEnd"/>
      <w:r w:rsidRPr="00392DB4">
        <w:rPr>
          <w:rFonts w:ascii="Times New Roman" w:hAnsi="Times New Roman" w:cs="Times New Roman"/>
          <w:sz w:val="28"/>
          <w:szCs w:val="28"/>
          <w:lang w:val="uk-UA"/>
        </w:rPr>
        <w:t xml:space="preserve"> Максим Олегович</w:t>
      </w:r>
    </w:p>
    <w:p w14:paraId="2A190703" w14:textId="77777777" w:rsidR="000A7C9B" w:rsidRPr="00392DB4" w:rsidRDefault="000A7C9B" w:rsidP="000A7C9B">
      <w:pPr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2EBC35" w14:textId="77777777" w:rsidR="000A7C9B" w:rsidRPr="00392DB4" w:rsidRDefault="000A7C9B" w:rsidP="000A7C9B">
      <w:pPr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F706FC" w14:textId="77777777" w:rsidR="000A7C9B" w:rsidRPr="00392DB4" w:rsidRDefault="000A7C9B" w:rsidP="000A7C9B">
      <w:pPr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D3C132" w14:textId="77777777" w:rsidR="000A7C9B" w:rsidRPr="00392DB4" w:rsidRDefault="000A7C9B" w:rsidP="000A7C9B">
      <w:pPr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A77839" w14:textId="77777777" w:rsidR="000A7C9B" w:rsidRPr="00392DB4" w:rsidRDefault="000A7C9B" w:rsidP="000A7C9B">
      <w:pPr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43F0F5" w14:textId="77777777" w:rsidR="000A7C9B" w:rsidRPr="00392DB4" w:rsidRDefault="000A7C9B" w:rsidP="000A7C9B">
      <w:pPr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77FC558" w14:textId="77777777" w:rsidR="000A7C9B" w:rsidRPr="00392DB4" w:rsidRDefault="000A7C9B" w:rsidP="000A7C9B">
      <w:pPr>
        <w:spacing w:after="160"/>
        <w:jc w:val="center"/>
        <w:rPr>
          <w:rFonts w:ascii="Times New Roman" w:hAnsi="Times New Roman" w:cs="Times New Roman"/>
        </w:rPr>
      </w:pPr>
      <w:proofErr w:type="spellStart"/>
      <w:r w:rsidRPr="00392DB4">
        <w:rPr>
          <w:rFonts w:ascii="Times New Roman" w:hAnsi="Times New Roman" w:cs="Times New Roman"/>
          <w:color w:val="000000"/>
          <w:sz w:val="28"/>
          <w:szCs w:val="28"/>
        </w:rPr>
        <w:t>Київ</w:t>
      </w:r>
      <w:proofErr w:type="spellEnd"/>
      <w:r w:rsidRPr="00392DB4">
        <w:rPr>
          <w:rFonts w:ascii="Times New Roman" w:hAnsi="Times New Roman" w:cs="Times New Roman"/>
          <w:color w:val="000000"/>
          <w:sz w:val="28"/>
          <w:szCs w:val="28"/>
        </w:rPr>
        <w:t xml:space="preserve"> – 2025</w:t>
      </w:r>
    </w:p>
    <w:p w14:paraId="7F104816" w14:textId="23AB18EC" w:rsidR="001C2C14" w:rsidRDefault="003C3569" w:rsidP="00C44E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Опис предметної області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28D8DE8" w14:textId="723C9152" w:rsidR="003C3569" w:rsidRPr="00193886" w:rsidRDefault="00167675" w:rsidP="003C3569">
      <w:pPr>
        <w:spacing w:line="360" w:lineRule="auto"/>
        <w:jc w:val="both"/>
        <w:rPr>
          <w:rStyle w:val="Strong"/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  <w:t>Назва</w:t>
      </w:r>
      <w:r>
        <w:rPr>
          <w:rStyle w:val="Strong"/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r w:rsidR="003C3569" w:rsidRPr="00487EFD">
        <w:rPr>
          <w:rStyle w:val="Strong"/>
          <w:rFonts w:ascii="Times New Roman" w:eastAsia="Times New Roman" w:hAnsi="Times New Roman" w:cs="Times New Roman"/>
          <w:sz w:val="28"/>
          <w:szCs w:val="28"/>
          <w:lang w:val="en-UA" w:eastAsia="en-GB"/>
        </w:rPr>
        <w:t>Банки, біржі</w:t>
      </w:r>
      <w:r w:rsidR="0074786D">
        <w:rPr>
          <w:rStyle w:val="Strong"/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="0074786D"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  <w:t>холдинги</w:t>
      </w:r>
      <w:r w:rsidR="003C3569" w:rsidRPr="00487EFD">
        <w:rPr>
          <w:rStyle w:val="Strong"/>
          <w:rFonts w:ascii="Times New Roman" w:eastAsia="Times New Roman" w:hAnsi="Times New Roman" w:cs="Times New Roman"/>
          <w:sz w:val="28"/>
          <w:szCs w:val="28"/>
          <w:lang w:val="en-UA" w:eastAsia="en-GB"/>
        </w:rPr>
        <w:t xml:space="preserve"> та валюти</w:t>
      </w:r>
      <w:r w:rsidR="00193886"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="00193886">
        <w:rPr>
          <w:rStyle w:val="Strong"/>
          <w:rFonts w:ascii="Times New Roman" w:eastAsia="Times New Roman" w:hAnsi="Times New Roman" w:cs="Times New Roman"/>
          <w:sz w:val="28"/>
          <w:szCs w:val="28"/>
          <w:lang w:eastAsia="en-GB"/>
        </w:rPr>
        <w:t>- POC</w:t>
      </w:r>
    </w:p>
    <w:p w14:paraId="7F3732C8" w14:textId="77777777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>Сутності (елементи предметної області) Банк — емітент фондів (ETF); джерело довіри та регуляторної відповідальності. Фонд (ETF) — інвестиційний продукт, що може бути лістингований на різних біржах і в різних валютах; має портфель позицій (holdings). Є підтипом загальної сутності «Цінний папір». Цінний папір (Security) — абстрактна надсутність для всіх інвестиційних інструментів. Акція (EquitySecurity) — підтип «Цінного паперу». Облігація (BondSecurity) — підтип «Цінного паперу». Виплата (Distribution) — подія розподілу доходу/капіталу фондом інвесторам. Холдинг (Holding) — позиція в портфелі фонду (зв’язок «фонд утримує цінний папір» у конкретний момент часу). Слабка сутність. Індекс (Index) — цільовий бенчмарк, який фонд може відстежувати. Склад індексу (IndexConstituent) — склад індексу на певний момент часу (зв’язує індекс з цінними паперами). Рейтинговий список (TopList) — публікація банку «Top Funds» на певну дату. Елемент рейтингового списку (TopListItem) — входження конкретного фонду до конкретного спи</w:t>
      </w:r>
      <w:r w:rsidRPr="00C144F4">
        <w:rPr>
          <w:rFonts w:hint="eastAsia"/>
          <w:sz w:val="28"/>
          <w:szCs w:val="28"/>
        </w:rPr>
        <w:t xml:space="preserve">ску з позицією/рангом. Слабка сутність. Біржа (Exchange) та Валюта (Currency) — довідники, що беруть участь у лістингу фондів. </w:t>
      </w:r>
    </w:p>
    <w:p w14:paraId="76B53DC9" w14:textId="78AA96B9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rFonts w:hint="eastAsia"/>
          <w:sz w:val="28"/>
          <w:szCs w:val="28"/>
        </w:rPr>
        <w:t xml:space="preserve">Ієрархія типів («є» / IS-A) Цінний папір 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 xml:space="preserve">&gt; </w:t>
      </w:r>
      <w:r w:rsidRPr="00C144F4">
        <w:rPr>
          <w:rFonts w:hint="eastAsia"/>
          <w:sz w:val="28"/>
          <w:szCs w:val="28"/>
        </w:rPr>
        <w:t xml:space="preserve">Акція / Облігація / Фонд (ETF). Ієрархія диз’юнктна: один екземпляр належить рівно до </w:t>
      </w:r>
      <w:r w:rsidRPr="00C144F4">
        <w:rPr>
          <w:sz w:val="28"/>
          <w:szCs w:val="28"/>
        </w:rPr>
        <w:t xml:space="preserve">одного підтипу. Ієрархія повна: кожен інструмент у моделі є або Акцією, або Облігацією, або Фондом. Мотивація: уніфікувати зв’язки для всіх </w:t>
      </w:r>
      <w:r w:rsidRPr="00C144F4">
        <w:rPr>
          <w:sz w:val="28"/>
          <w:szCs w:val="28"/>
        </w:rPr>
        <w:lastRenderedPageBreak/>
        <w:t xml:space="preserve">інструментів (портфелі, індекси) і дозволити спеціалізацію ролей підтипів. </w:t>
      </w:r>
    </w:p>
    <w:p w14:paraId="6228ED0F" w14:textId="228269F1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 xml:space="preserve">Типи зв’язків і кардинальності Банк — Фонд (ETF): 1–M. Один банк емітує багато фондів; кожен фонд має рівно одного емітента (обов’язкова участь фонду). Фонд (ETF) — Виплата: 1–M. Фонд здійснює 0..N виплат у часі. Фонд (ETF) — Фактшит фонду: 1–1. Фіксується один актуальний фактшит на фонд. Фонд (ETF) — Цінний папір через Холдинг: </w:t>
      </w:r>
      <w:r w:rsidR="00491FA7">
        <w:rPr>
          <w:sz w:val="28"/>
          <w:szCs w:val="28"/>
          <w:lang w:val="en-US"/>
        </w:rPr>
        <w:t>1</w:t>
      </w:r>
      <w:r w:rsidRPr="00C144F4">
        <w:rPr>
          <w:sz w:val="28"/>
          <w:szCs w:val="28"/>
        </w:rPr>
        <w:t>–</w:t>
      </w:r>
      <w:r w:rsidR="00491FA7">
        <w:rPr>
          <w:sz w:val="28"/>
          <w:szCs w:val="28"/>
          <w:lang w:val="en-US"/>
        </w:rPr>
        <w:t>M</w:t>
      </w:r>
      <w:r w:rsidRPr="00C144F4">
        <w:rPr>
          <w:sz w:val="28"/>
          <w:szCs w:val="28"/>
        </w:rPr>
        <w:t xml:space="preserve"> у часі; холдинг фіксує входження інструментів до портфеля. Індекс — Цінний папір через Склад індексу: M–N у часі; склад індексу — часові знімки. Рейтинговий список — Елемент списку — Фонд: TopList 1–M TopListItem і ETF 1–M TopListItem (асоціативний патерн із залежною слабкою сутністю). Лістинг (тернарний): ETF × Біржа × Валюта. Тікер визначається саме трійкою, а не будь-якою парою. </w:t>
      </w:r>
    </w:p>
    <w:p w14:paraId="4E9236EF" w14:textId="4C504310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 xml:space="preserve">Елемент рейтингового списку має сенс тільки в межах певного списку та для конкретного фонду; це залежна (слабка) сутність, що ідентифікується «список + фонд» (і ранг). </w:t>
      </w:r>
    </w:p>
    <w:p w14:paraId="24697486" w14:textId="77777777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 xml:space="preserve">Навіщо тернарний зв’язок «Лістинг» Тікер ідентифікується комбінацією «фонд × біржа × валюта». Двійкових зв’язків недостатньо — потрібен один тернарний ромб, що гарантує узгодженість та унікальність лістингів. </w:t>
      </w:r>
    </w:p>
    <w:p w14:paraId="52EA5761" w14:textId="77777777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 xml:space="preserve">Self-зв’язок (рекурсія) «ETF утримує ETF» Оскільки Фонд — підтип Цінного паперу, він може бути компонентом портфеля іншого фонду. Це моделюється тими самими Холдингами: «фонд-батько» </w:t>
      </w:r>
      <w:r w:rsidRPr="00C144F4">
        <w:rPr>
          <w:sz w:val="28"/>
          <w:szCs w:val="28"/>
        </w:rPr>
        <w:lastRenderedPageBreak/>
        <w:t xml:space="preserve">утримує «цінний папір», яким може бути інший ETF. Додаткове правило: заборона циклів володіння (уникати взаємного володіння по колу). </w:t>
      </w:r>
    </w:p>
    <w:p w14:paraId="0DED68E7" w14:textId="77777777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 xml:space="preserve">Обов’язкова/часткова участь ETF у зв’язку з Банком — обов’язкова участь (кожен фонд має емітента). Холдинги — часткова участь (фонд може тимчасово не мати позицій). Виплати — часткова участь (для акумулюючих фондів можливий нуль). Фактшит — обов’язковий 1–1 у межах «актуальної» моделі (для чинного фонду). </w:t>
      </w:r>
    </w:p>
    <w:p w14:paraId="4D0B712E" w14:textId="77777777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 xml:space="preserve">Часова природа даних (історизація) Портфель (Холдинги) та Склад індексу — часові: підтримуються множинні знімки в часі. Це дає історичні зрізи, ретроспективний аналіз і порівняння фактичних ваг із цільовими. </w:t>
      </w:r>
    </w:p>
    <w:p w14:paraId="75E7D113" w14:textId="01D8C492" w:rsidR="003C3569" w:rsidRPr="00C144F4" w:rsidRDefault="00C144F4" w:rsidP="00C144F4">
      <w:pPr>
        <w:pStyle w:val="NormalWeb"/>
        <w:spacing w:line="360" w:lineRule="auto"/>
        <w:ind w:firstLine="720"/>
        <w:jc w:val="both"/>
      </w:pPr>
      <w:r w:rsidRPr="00C144F4">
        <w:rPr>
          <w:sz w:val="28"/>
          <w:szCs w:val="28"/>
        </w:rPr>
        <w:t>Додаткові бізнес-правила та інваріанти</w:t>
      </w:r>
      <w:r w:rsidR="008703F0">
        <w:rPr>
          <w:sz w:val="28"/>
          <w:szCs w:val="28"/>
          <w:lang w:val="en-US"/>
        </w:rPr>
        <w:t>:</w:t>
      </w:r>
      <w:r w:rsidR="00567C9B">
        <w:rPr>
          <w:sz w:val="28"/>
          <w:szCs w:val="28"/>
          <w:lang w:val="en-US"/>
        </w:rPr>
        <w:t xml:space="preserve"> </w:t>
      </w:r>
      <w:r w:rsidRPr="00C144F4">
        <w:rPr>
          <w:sz w:val="28"/>
          <w:szCs w:val="28"/>
        </w:rPr>
        <w:t>у межах одного списку кожен фонд зустрічається не більше одного разу; ранги не дублюються. Лістинг: у межах однієї комбінації біржа-валюта для фонду допускається один primary-запис (за політикою). Фактшит: для чинного фонду — рівно один актуальний фактшит</w:t>
      </w:r>
      <w:r w:rsidRPr="00C144F4">
        <w:t>.</w:t>
      </w:r>
    </w:p>
    <w:sectPr w:rsidR="003C3569" w:rsidRPr="00C144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228737">
    <w:abstractNumId w:val="5"/>
  </w:num>
  <w:num w:numId="2" w16cid:durableId="563806280">
    <w:abstractNumId w:val="3"/>
  </w:num>
  <w:num w:numId="3" w16cid:durableId="944117929">
    <w:abstractNumId w:val="2"/>
  </w:num>
  <w:num w:numId="4" w16cid:durableId="1654873780">
    <w:abstractNumId w:val="4"/>
  </w:num>
  <w:num w:numId="5" w16cid:durableId="1887526779">
    <w:abstractNumId w:val="1"/>
  </w:num>
  <w:num w:numId="6" w16cid:durableId="93093966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08A"/>
    <w:rsid w:val="0006063C"/>
    <w:rsid w:val="000A7C9B"/>
    <w:rsid w:val="0015074B"/>
    <w:rsid w:val="00167675"/>
    <w:rsid w:val="00193886"/>
    <w:rsid w:val="001C2C14"/>
    <w:rsid w:val="0029639D"/>
    <w:rsid w:val="002E36FB"/>
    <w:rsid w:val="0031263B"/>
    <w:rsid w:val="00326F90"/>
    <w:rsid w:val="00392DB4"/>
    <w:rsid w:val="003C3569"/>
    <w:rsid w:val="004275E3"/>
    <w:rsid w:val="00487EFD"/>
    <w:rsid w:val="00491FA7"/>
    <w:rsid w:val="005473D7"/>
    <w:rsid w:val="00567C9B"/>
    <w:rsid w:val="005B64EB"/>
    <w:rsid w:val="0060425F"/>
    <w:rsid w:val="00676A88"/>
    <w:rsid w:val="00685107"/>
    <w:rsid w:val="006A796C"/>
    <w:rsid w:val="0074786D"/>
    <w:rsid w:val="00855BC6"/>
    <w:rsid w:val="008703F0"/>
    <w:rsid w:val="00947EF4"/>
    <w:rsid w:val="0097564D"/>
    <w:rsid w:val="009834D9"/>
    <w:rsid w:val="00AA1D8D"/>
    <w:rsid w:val="00AA666C"/>
    <w:rsid w:val="00B23E6B"/>
    <w:rsid w:val="00B47730"/>
    <w:rsid w:val="00BA255F"/>
    <w:rsid w:val="00C144F4"/>
    <w:rsid w:val="00C44EAE"/>
    <w:rsid w:val="00CB0664"/>
    <w:rsid w:val="00CF2A2E"/>
    <w:rsid w:val="00DA3F08"/>
    <w:rsid w:val="00DD7D86"/>
    <w:rsid w:val="00E206EF"/>
    <w:rsid w:val="00E2446A"/>
    <w:rsid w:val="00E46836"/>
    <w:rsid w:val="00E81060"/>
    <w:rsid w:val="00ED0406"/>
    <w:rsid w:val="00FA330C"/>
    <w:rsid w:val="00FC10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BE0CCB"/>
  <w14:defaultImageDpi w14:val="300"/>
  <w15:docId w15:val="{47DB45C2-11D4-8346-B2E2-8D3978A4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7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46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4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styleId="HTMLCode">
    <w:name w:val="HTML Code"/>
    <w:basedOn w:val="DefaultParagraphFont"/>
    <w:uiPriority w:val="99"/>
    <w:semiHidden/>
    <w:unhideWhenUsed/>
    <w:rsid w:val="00C44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Maksym Khodakov</cp:lastModifiedBy>
  <cp:revision>228</cp:revision>
  <dcterms:created xsi:type="dcterms:W3CDTF">2025-09-09T20:45:00Z</dcterms:created>
  <dcterms:modified xsi:type="dcterms:W3CDTF">2025-10-08T18:00:00Z</dcterms:modified>
  <cp:category/>
</cp:coreProperties>
</file>