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1A3A3A"/>
          <w:sz w:val="46"/>
          <w:szCs w:val="46"/>
        </w:rPr>
        <w:t xml:space="preserve">TamamHealth — Summer 2026</w:t>
      </w:r>
    </w:p>
    <w:p>
      <w:pPr>
        <w:spacing w:after="60"/>
      </w:pPr>
      <w:r>
        <w:rPr>
          <w:b/>
          <w:bCs/>
          <w:color w:val="1A3A3A"/>
          <w:sz w:val="46"/>
          <w:szCs w:val="46"/>
        </w:rPr>
        <w:t xml:space="preserve">Full Team Plan</w:t>
      </w:r>
    </w:p>
    <w:p>
      <w:pPr>
        <w:spacing w:after="60"/>
      </w:pPr>
      <w:r>
        <w:rPr>
          <w:i/>
          <w:iCs/>
          <w:color w:val="5B6B6A"/>
          <w:sz w:val="21"/>
          <w:szCs w:val="21"/>
        </w:rPr>
        <w:t xml:space="preserve">One working hospital, end to end, by 30 June — then deploy, prove, and grow.</w:t>
      </w:r>
    </w:p>
    <w:p>
      <w:pPr>
        <w:pBdr>
          <w:bottom w:val="single" w:color="D8E0DE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The North Star</w:t>
      </w:r>
    </w:p>
    <w:p>
      <w:pPr>
        <w:spacing w:after="140" w:line="276"/>
      </w:pPr>
      <w:r>
        <w:rPr>
          <w:b/>
          <w:bCs/>
          <w:color w:val="1A3A3A"/>
        </w:rPr>
        <w:t xml:space="preserve">By 30 June, one real hospital runs entirely on TamamHealth — every level of the patient journey, from the front desk to the dispensing window. </w:t>
      </w:r>
      <w:r>
        <w:t xml:space="preserve">A patient should be able to walk in, be registered, triaged, seen by a clinician, sent for labs, prescribed and dispensed medication, billed, and discharged — with every step captured in the system, working offline, on the hospital's own devices. Allen leads with a brand and logo refresh and a redesign of the platform; engineering builds the redesigned flow behind it; clinical research makes sure it matches how a hospital actually works. Everything else this summer builds on that one proven system.</w:t>
      </w:r>
    </w:p>
    <w:p>
      <w:pPr>
        <w:spacing w:after="140" w:line="276"/>
      </w:pPr>
      <w:r>
        <w:rPr>
          <w:b/>
          <w:bCs/>
          <w:color w:val="2A7A6E"/>
        </w:rPr>
        <w:t xml:space="preserve">July</w:t>
      </w:r>
      <w:r>
        <w:t xml:space="preserve"> is for deploying it in the real hospital, training staff, and hardening it under real use. </w:t>
      </w:r>
      <w:r>
        <w:rPr>
          <w:b/>
          <w:bCs/>
          <w:color w:val="2A7A6E"/>
        </w:rPr>
        <w:t xml:space="preserve">August</w:t>
      </w:r>
      <w:r>
        <w:t xml:space="preserve"> is for expanding — more departments and levels, marketing the proof, and raising the funding to scale into the fall.</w:t>
      </w:r>
    </w:p>
    <w:p>
      <w:pPr>
        <w:pStyle w:val="Heading1"/>
      </w:pPr>
      <w:r>
        <w:t xml:space="preserve">The Team &amp; Where Each Person Leads</w:t>
      </w:r>
    </w:p>
    <w:p>
      <w:pPr>
        <w:spacing w:after="140" w:line="276"/>
      </w:pPr>
      <w:r>
        <w:t xml:space="preserve">Eight people, clear lanes, one deadline. Toye keeps the whole thing on schedule; everyone else owns a workstream and supports the June crunch.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60"/>
        <w:gridCol w:w="4740"/>
      </w:tblGrid>
      <w:tr>
        <w:trPr>
          <w:tblHeader/>
        </w:trPr>
        <w:tc>
          <w:tcPr>
            <w:tcW w:type="dxa" w:w="2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24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7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Summer focus</w:t>
            </w:r>
          </w:p>
        </w:tc>
      </w:tr>
      <w:tr>
        <w:tc>
          <w:tcPr>
            <w:tcW w:type="dxa" w:w="2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Teny Makuach</w:t>
            </w:r>
          </w:p>
        </w:tc>
        <w:tc>
          <w:tcPr>
            <w:tcW w:type="dxa" w:w="24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All-rounded / Founder</w:t>
            </w:r>
          </w:p>
        </w:tc>
        <w:tc>
          <w:tcPr>
            <w:tcW w:type="dxa" w:w="47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Product vision and final calls; fills gaps across engineering, design, clinical, and ops; owns the hospital relationship and stakeholder/funder conversations alongside Ekow.</w:t>
            </w:r>
          </w:p>
        </w:tc>
      </w:tr>
      <w:tr>
        <w:tc>
          <w:tcPr>
            <w:tcW w:type="dxa" w:w="2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Toye Adebayo</w:t>
            </w:r>
          </w:p>
        </w:tc>
        <w:tc>
          <w:tcPr>
            <w:tcW w:type="dxa" w:w="24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7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Runs the sprint board, standups, and timeline; protects the 30-June scope; unblocks the team and owns cross-functional handoffs (design → eng → clinical sign-off).</w:t>
            </w:r>
          </w:p>
        </w:tc>
      </w:tr>
      <w:tr>
        <w:tc>
          <w:tcPr>
            <w:tcW w:type="dxa" w:w="2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Allen Wang</w:t>
            </w:r>
          </w:p>
        </w:tc>
        <w:tc>
          <w:tcPr>
            <w:tcW w:type="dxa" w:w="24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47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Refreshes the logo and brand first, then redesigns the platform UX/UI module by module and builds the shared design system. Design is the long pole — Allen sets the pace.</w:t>
            </w:r>
          </w:p>
        </w:tc>
      </w:tr>
      <w:tr>
        <w:tc>
          <w:tcPr>
            <w:tcW w:type="dxa" w:w="2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Isaac Kyalo</w:t>
            </w:r>
          </w:p>
        </w:tc>
        <w:tc>
          <w:tcPr>
            <w:tcW w:type="dxa" w:w="24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47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Owns architecture, the build plan, code review, offline/sync reliability, and deployment to the hospital. Splits the patient-flow modules with Mark.</w:t>
            </w:r>
          </w:p>
        </w:tc>
      </w:tr>
      <w:tr>
        <w:tc>
          <w:tcPr>
            <w:tcW w:type="dxa" w:w="2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Mark Duso</w:t>
            </w:r>
          </w:p>
        </w:tc>
        <w:tc>
          <w:tcPr>
            <w:tcW w:type="dxa" w:w="24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Software Engineer</w:t>
            </w:r>
          </w:p>
        </w:tc>
        <w:tc>
          <w:tcPr>
            <w:tcW w:type="dxa" w:w="47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Implements the redesigned patient-flow modules, wires them end to end, writes tests, and fixes what UAT surfaces.</w:t>
            </w:r>
          </w:p>
        </w:tc>
      </w:tr>
      <w:tr>
        <w:tc>
          <w:tcPr>
            <w:tcW w:type="dxa" w:w="2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Chinonye Hycent</w:t>
            </w:r>
          </w:p>
        </w:tc>
        <w:tc>
          <w:tcPr>
            <w:tcW w:type="dxa" w:w="24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Clinical Research</w:t>
            </w:r>
          </w:p>
        </w:tc>
        <w:tc>
          <w:tcPr>
            <w:tcW w:type="dxa" w:w="47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Defines the golden patient flow with real clinicians; validates clinical content (triage, ICD-11, drug lists, protocols); runs user-acceptance testing and clinical sign-off.</w:t>
            </w:r>
          </w:p>
        </w:tc>
      </w:tr>
      <w:tr>
        <w:tc>
          <w:tcPr>
            <w:tcW w:type="dxa" w:w="2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Ekow Williams</w:t>
            </w:r>
          </w:p>
        </w:tc>
        <w:tc>
          <w:tcPr>
            <w:tcW w:type="dxa" w:w="24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Community, Partnerships &amp; Fundraising</w:t>
            </w:r>
          </w:p>
        </w:tc>
        <w:tc>
          <w:tcPr>
            <w:tcW w:type="dxa" w:w="47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Secures the pilot hospital and its MoU; builds provider/NGO relationships; runs the funding pipeline (grants and donors) to resource July–August and the fall.</w:t>
            </w:r>
          </w:p>
        </w:tc>
      </w:tr>
      <w:tr>
        <w:tc>
          <w:tcPr>
            <w:tcW w:type="dxa" w:w="2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Diing Lual</w:t>
            </w:r>
          </w:p>
        </w:tc>
        <w:tc>
          <w:tcPr>
            <w:tcW w:type="dxa" w:w="24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Marketing &amp; Outreach</w:t>
            </w:r>
          </w:p>
        </w:tc>
        <w:tc>
          <w:tcPr>
            <w:tcW w:type="dxa" w:w="474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Launches the refreshed brand publicly; builds the content engine and channels; turns the hospital go-live into proof — stories, demos, and the website.</w:t>
            </w:r>
          </w:p>
        </w:tc>
      </w:tr>
    </w:tbl>
    <w:p>
      <w:pPr>
        <w:pBdr>
          <w:left w:val="single" w:color="2A7A6E" w:sz="18" w:space="4"/>
        </w:pBdr>
        <w:shd w:fill="DCEFEA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The June Deliverable  </w:t>
      </w:r>
    </w:p>
    <w:p>
      <w:pPr>
        <w:pStyle w:val="Heading1"/>
      </w:pPr>
      <w:r>
        <w:t xml:space="preserve">What “Done” Means: One Hospital, Front Desk to Dispensing</w:t>
      </w:r>
    </w:p>
    <w:p>
      <w:pPr>
        <w:spacing w:after="140" w:line="276"/>
      </w:pPr>
      <w:r>
        <w:t xml:space="preserve">“Finished” is not a feature list — it is a patient walking the full journey without leaving the system or falling back to paper. This is the golden flow we are shipping. Each step already exists as a module in the platform; June is about redesigning, connecting, and hardening them into one seamless hospital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runs it</w:t>
            </w:r>
          </w:p>
        </w:tc>
        <w:tc>
          <w:tcPr>
            <w:tcW w:type="dxa" w:w="48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happens in TamamHealth</w:t>
            </w:r>
          </w:p>
        </w:tc>
      </w:tr>
      <w:t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1. Registration</w:t>
            </w:r>
          </w:p>
        </w:tc>
        <w:tc>
          <w:tcPr>
            <w:tcW w:type="dxa" w:w="23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Front-desk clerk</w:t>
            </w:r>
          </w:p>
        </w:tc>
        <w:tc>
          <w:tcPr>
            <w:tcW w:type="dxa" w:w="48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Register or find the patient (Master Patient Index), capture demographics, photo/QR ID, and insurance — no national ID required.</w:t>
            </w:r>
          </w:p>
        </w:tc>
      </w:tr>
      <w:t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2. Triage</w:t>
            </w:r>
          </w:p>
        </w:tc>
        <w:tc>
          <w:tcPr>
            <w:tcW w:type="dxa" w:w="23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Nurse</w:t>
            </w:r>
          </w:p>
        </w:tc>
        <w:tc>
          <w:tcPr>
            <w:tcW w:type="dxa" w:w="48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Record vitals, chief complaint, and priority; queue the patient for the right clinician.</w:t>
            </w:r>
          </w:p>
        </w:tc>
      </w:tr>
      <w:t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3. Consultation</w:t>
            </w:r>
          </w:p>
        </w:tc>
        <w:tc>
          <w:tcPr>
            <w:tcW w:type="dxa" w:w="23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Doctor / clinician</w:t>
            </w:r>
          </w:p>
        </w:tc>
        <w:tc>
          <w:tcPr>
            <w:tcW w:type="dxa" w:w="48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Clinical note (SBAR), AI-assisted diagnosis with ICD-11 coding, problem list, and orders for labs and medication.</w:t>
            </w:r>
          </w:p>
        </w:tc>
      </w:tr>
      <w:t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4. Diagnostics</w:t>
            </w:r>
          </w:p>
        </w:tc>
        <w:tc>
          <w:tcPr>
            <w:tcW w:type="dxa" w:w="23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Lab technician</w:t>
            </w:r>
          </w:p>
        </w:tc>
        <w:tc>
          <w:tcPr>
            <w:tcW w:type="dxa" w:w="48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Receive lab orders, enter results, and return them to the patient record for the clinician to review.</w:t>
            </w:r>
          </w:p>
        </w:tc>
      </w:tr>
      <w:t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5. Pharmacy / dispensing</w:t>
            </w:r>
          </w:p>
        </w:tc>
        <w:tc>
          <w:tcPr>
            <w:tcW w:type="dxa" w:w="23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Pharmacist</w:t>
            </w:r>
          </w:p>
        </w:tc>
        <w:tc>
          <w:tcPr>
            <w:tcW w:type="dxa" w:w="48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See the prescription, run the drug-interaction check, dispense, and update stock.</w:t>
            </w:r>
          </w:p>
        </w:tc>
      </w:tr>
      <w:t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6. Billing &amp; payment</w:t>
            </w:r>
          </w:p>
        </w:tc>
        <w:tc>
          <w:tcPr>
            <w:tcW w:type="dxa" w:w="23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Cashier / billing</w:t>
            </w:r>
          </w:p>
        </w:tc>
        <w:tc>
          <w:tcPr>
            <w:tcW w:type="dxa" w:w="48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Apply charges, check eligibility, take payment, and issue a receipt.</w:t>
            </w:r>
          </w:p>
        </w:tc>
      </w:tr>
      <w:tr>
        <w:tc>
          <w:tcPr>
            <w:tcW w:type="dxa" w:w="22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7. Records &amp; discharge</w:t>
            </w:r>
          </w:p>
        </w:tc>
        <w:tc>
          <w:tcPr>
            <w:tcW w:type="dxa" w:w="23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Clinician / clerk</w:t>
            </w:r>
          </w:p>
        </w:tc>
        <w:tc>
          <w:tcPr>
            <w:tcW w:type="dxa" w:w="48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Visit summary, referral if needed, follow-up booking, and patient-portal access — all synced when connectivity returns.</w:t>
            </w:r>
          </w:p>
        </w:tc>
      </w:tr>
    </w:tbl>
    <w:p>
      <w:pPr>
        <w:spacing w:after="140" w:line="276"/>
      </w:pPr>
      <w:r>
        <w:rPr>
          <w:b/>
          <w:bCs/>
          <w:color w:val="1A3A3A"/>
        </w:rPr>
        <w:t xml:space="preserve">Non-negotiable through every step: </w:t>
      </w:r>
      <w:r>
        <w:t xml:space="preserve">it works </w:t>
      </w:r>
      <w:r>
        <w:rPr>
          <w:b/>
          <w:bCs/>
        </w:rPr>
        <w:t xml:space="preserve">offline</w:t>
      </w:r>
      <w:r>
        <w:t xml:space="preserve">, every entry is </w:t>
      </w:r>
      <w:r>
        <w:rPr>
          <w:b/>
          <w:bCs/>
        </w:rPr>
        <w:t xml:space="preserve">saved and syncs reliably</w:t>
      </w:r>
      <w:r>
        <w:t xml:space="preserve">, and </w:t>
      </w:r>
      <w:r>
        <w:rPr>
          <w:b/>
          <w:bCs/>
        </w:rPr>
        <w:t xml:space="preserve">privacy and access controls</w:t>
      </w:r>
      <w:r>
        <w:t xml:space="preserve"> hold at each role.</w:t>
      </w:r>
    </w:p>
    <w:p>
      <w:pPr>
        <w:pBdr>
          <w:left w:val="single" w:color="2A7A6E" w:sz="18" w:space="4"/>
        </w:pBdr>
        <w:shd w:fill="DCE6EF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Workstreams  </w:t>
      </w:r>
    </w:p>
    <w:p>
      <w:pPr>
        <w:pStyle w:val="Heading1"/>
      </w:pPr>
      <w:r>
        <w:t xml:space="preserve">How the Work Splits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Design — Allen (the long pole)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1A3A3A"/>
        </w:rPr>
        <w:t xml:space="preserve">Week 1: </w:t>
      </w:r>
      <w:r>
        <w:t xml:space="preserve">Logo and brand refresh — finalize the wordmark, heart mark, color tokens, and type, and the app icon.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1A3A3A"/>
        </w:rPr>
        <w:t xml:space="preserve">Weeks 1–3: </w:t>
      </w:r>
      <w:r>
        <w:t xml:space="preserve">Redesign the seven flow screens in priority order (registration → triage → consultation → lab → pharmacy → billing → discharge) and build the shared component library so engineering reuses, not rebuilds.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1A3A3A"/>
        </w:rPr>
        <w:t xml:space="preserve">Continuous: </w:t>
      </w:r>
      <w:r>
        <w:t xml:space="preserve">Daily handoff to Isaac and Mark; accessibility (WCAG AA), large tap targets, icon-driven patterns for low-literacy staff.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Engineering — Isaac (lead) + Mark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1A3A3A"/>
        </w:rPr>
        <w:t xml:space="preserve">Isaac: </w:t>
      </w:r>
      <w:r>
        <w:t xml:space="preserve">Architecture and sequencing, code review, offline/sync conflict handling, hospital configuration and deployment, technical sign-off.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1A3A3A"/>
        </w:rPr>
        <w:t xml:space="preserve">Mark: </w:t>
      </w:r>
      <w:r>
        <w:t xml:space="preserve">Implement the redesigned modules against the new component library, wire the flow end to end, write tests, fix UAT bugs.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1A3A3A"/>
        </w:rPr>
        <w:t xml:space="preserve">Both: </w:t>
      </w:r>
      <w:r>
        <w:t xml:space="preserve">Keep the demo/staging stack green so clinical and partners can review at any time.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Clinical Research — Chinonye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Sit with real clinicians to validate the golden flow against how the target hospital actually operates.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Confirm clinical content: triage rules, ICD-11 sets, drug list and interactions, lab catalogue, and consult templates.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Own user-acceptance testing in Week 4 and the clinical go/no-go sign-off.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Partnerships &amp; Fundraising — Ekow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Lock the pilot hospital and a signed MoU early — engineering needs the real target to configure against.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Build the provider, NGO, and Ministry relationships that make July deployment smooth.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Run the funding pipeline (grants + donors) so July–August and the fall are resourced.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Marketing &amp; Outreach — Diing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Roll out the refreshed brand publicly and stand up the channels (Instagram, TikTok, YouTube, LinkedIn).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Build the content engine; document the build and the go-live as proof, not hype.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Polish the website around the new brand and the hospital case study.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Project Management — Toye  /  Founder — Teny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1A3A3A"/>
        </w:rPr>
        <w:t xml:space="preserve">Toye: </w:t>
      </w:r>
      <w:r>
        <w:t xml:space="preserve">Sprint board, daily standups, weekly demo, scope control, and the single source of truth on status and blockers.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color w:val="1A3A3A"/>
        </w:rPr>
        <w:t xml:space="preserve">Teny: </w:t>
      </w:r>
      <w:r>
        <w:t xml:space="preserve">Floats to wherever the crunch is — code, design QA, clinical, content, or the hospital relationship — and makes the product calls.</w:t>
      </w:r>
    </w:p>
    <w:p>
      <w:pPr>
        <w:pBdr>
          <w:left w:val="single" w:color="1B9E77" w:sz="18" w:space="4"/>
        </w:pBdr>
        <w:shd w:fill="E7EFE6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June — The Build Sprint  </w:t>
      </w:r>
    </w:p>
    <w:p>
      <w:pPr>
        <w:pStyle w:val="Heading1"/>
      </w:pPr>
      <w:r>
        <w:t xml:space="preserve">June, Week by Week (2–30 June)</w:t>
      </w:r>
    </w:p>
    <w:p>
      <w:pPr>
        <w:spacing w:after="140" w:line="276"/>
      </w:pPr>
      <w:r>
        <w:t xml:space="preserve">Four one-week sprints. Each ends with a working demo of everything built so far. The flow is built in the order a patient walks it, so there is always an end-to-end path to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4400"/>
      </w:tblGrid>
      <w:tr>
        <w:trPr>
          <w:tblHeader/>
        </w:trPr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drives</w:t>
            </w:r>
          </w:p>
        </w:tc>
      </w:tr>
      <w:tr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Wk 1 · 2–8 Jun</w:t>
            </w:r>
          </w:p>
        </w:tc>
        <w:tc>
          <w:tcPr>
            <w:tcW w:type="dxa" w:w="3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Foundations: logo + brand refresh; design system kickoff; lock the pilot hospital; audit existing modules; configure the hospital; design registration + triage.</w:t>
            </w:r>
          </w:p>
        </w:tc>
        <w:tc>
          <w:tcPr>
            <w:tcW w:type="dxa" w:w="4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Allen (brand/design), Ekow (hospital), Isaac (config/audit), Chinonye (flow definition)</w:t>
            </w:r>
          </w:p>
        </w:tc>
      </w:tr>
      <w:tr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Wk 2 · 9–15 Jun</w:t>
            </w:r>
          </w:p>
        </w:tc>
        <w:tc>
          <w:tcPr>
            <w:tcW w:type="dxa" w:w="3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Build the front of the flow: registration → triage → consultation redesigned and working end to end on staging.</w:t>
            </w:r>
          </w:p>
        </w:tc>
        <w:tc>
          <w:tcPr>
            <w:tcW w:type="dxa" w:w="4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Allen (consultation/lab design), Mark + Isaac (build), Chinonye (content)</w:t>
            </w:r>
          </w:p>
        </w:tc>
      </w:tr>
      <w:tr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Wk 3 · 16–22 Jun</w:t>
            </w:r>
          </w:p>
        </w:tc>
        <w:tc>
          <w:tcPr>
            <w:tcW w:type="dxa" w:w="3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Build the back of the flow: labs → pharmacy/dispensing → billing; connect the whole journey; offline + sync hardening.</w:t>
            </w:r>
          </w:p>
        </w:tc>
        <w:tc>
          <w:tcPr>
            <w:tcW w:type="dxa" w:w="4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Mark + Isaac (build), Allen (billing/discharge design), Toye (integration tracking)</w:t>
            </w:r>
          </w:p>
        </w:tc>
      </w:tr>
      <w:tr>
        <w:tc>
          <w:tcPr>
            <w:tcW w:type="dxa" w:w="16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Wk 4 · 23–30 Jun</w:t>
            </w:r>
          </w:p>
        </w:tc>
        <w:tc>
          <w:tcPr>
            <w:tcW w:type="dxa" w:w="33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A7A6E"/>
                <w:sz w:val="19"/>
                <w:szCs w:val="19"/>
              </w:rPr>
              <w:t xml:space="preserve">Lock it: full end-to-end UAT with clinicians, bug-fix, accessibility + performance pass, deploy to the hospital, clinical go/no-go.</w:t>
            </w:r>
          </w:p>
        </w:tc>
        <w:tc>
          <w:tcPr>
            <w:tcW w:type="dxa" w:w="44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Chinonye (UAT/sign-off), Isaac (deploy), Mark (fixes), Diing (capture go-live)</w:t>
            </w:r>
          </w:p>
        </w:tc>
      </w:tr>
    </w:tbl>
    <w:p>
      <w:pPr>
        <w:spacing w:after="140" w:line="276"/>
      </w:pPr>
      <w:r>
        <w:rPr>
          <w:b/>
          <w:bCs/>
          <w:color w:val="1A3A3A"/>
        </w:rPr>
        <w:t xml:space="preserve">Scope discipline: </w:t>
      </w:r>
      <w:r>
        <w:t xml:space="preserve">if something is not on the front-desk-to-dispensing path, it waits for July. Toye guards this line.</w:t>
      </w:r>
    </w:p>
    <w:p>
      <w:pPr>
        <w:pBdr>
          <w:left w:val="single" w:color="E4A84B" w:sz="18" w:space="4"/>
        </w:pBdr>
        <w:shd w:fill="F4E4C2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July — Deploy &amp; Prove  </w:t>
      </w:r>
    </w:p>
    <w:p>
      <w:pPr>
        <w:pStyle w:val="Heading1"/>
      </w:pPr>
      <w:r>
        <w:t xml:space="preserve">July: Make It Real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Deploy in the hospital for daily use; train front-desk, nursing, clinical, lab, pharmacy, and billing staff.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Run a support loop: watch real usage, fix friction fast, harden offline reliability and sync under real load.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Turn the patient app and web portal on for this hospital's patients (records, results, reminders).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Marketing: publish the first hospital story and staff/patient testimonials; Ekow advances the funding conversations with live proof.</w:t>
      </w:r>
    </w:p>
    <w:p>
      <w:pPr>
        <w:pBdr>
          <w:left w:val="single" w:color="C44536" w:sz="18" w:space="4"/>
        </w:pBdr>
        <w:shd w:fill="F3D9CF" w:val="clear"/>
        <w:spacing w:after="140" w:before="340"/>
      </w:pPr>
      <w:r>
        <w:rPr>
          <w:b/>
          <w:bCs/>
          <w:color w:val="1A3A3A"/>
          <w:sz w:val="22"/>
          <w:szCs w:val="22"/>
        </w:rPr>
        <w:t xml:space="preserve">  August — Expand &amp; Raise  </w:t>
      </w:r>
    </w:p>
    <w:p>
      <w:pPr>
        <w:pStyle w:val="Heading1"/>
      </w:pPr>
      <w:r>
        <w:t xml:space="preserve">August: Grow on Proof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Extend beyond the core flow: more departments, referrals, maternal/child, surveillance, and DHIS2 reporting for this hospital.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Line up the next site(s) and lower-level facilities (PHCU / Boma) to show the five-level vision in action.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Convert the proof into funding and partnerships; publish the case study; plan the fall rollout.</w:t>
      </w:r>
    </w:p>
    <w:p>
      <w:pPr>
        <w:pStyle w:val="Heading1"/>
      </w:pPr>
      <w:r>
        <w:t xml:space="preserve">Definition of Done — the June Product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A patient can be taken from registration to dispensing and discharge entirely in TamamHealth, with no paper fallback.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Every staff role along the flow has a redesigned screen that works offline and shows clear sync status.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Data entered offline syncs reliably and survives conflicts; nothing is lost.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Role-based access and privacy hold at each step; refreshed brand applied throughout.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Clinical research has signed off, and the system is deployed on the hospital's devices.</w:t>
      </w:r>
    </w:p>
    <w:p>
      <w:pPr>
        <w:pStyle w:val="Heading1"/>
      </w:pPr>
      <w:r>
        <w:t xml:space="preserve">Success Metrics</w:t>
      </w:r>
    </w:p>
    <w:p>
      <w:pPr>
        <w:spacing w:after="140" w:line="276"/>
      </w:pPr>
      <w:r>
        <w:t xml:space="preserve">June: the golden flow demoably works end to end; clinical sign-off achieved; deployed to one hospital. Across the summer, watch: patients taken fully through the flow in-system; share of visits captured without paper; offline entries successfully synced; staff trained per role; time per step vs. the old paper process; bugs open vs. closed; brand/UX coverage across screens; marketing reach and demo requests; funding pipeline advanced; and qualitative trust feedback from real staff and patients.</w:t>
      </w:r>
    </w:p>
    <w:p>
      <w:pPr>
        <w:pStyle w:val="Heading1"/>
      </w:pPr>
      <w:r>
        <w:t xml:space="preserve">Risks, Dependencies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/ dependency</w:t>
            </w:r>
          </w:p>
        </w:tc>
        <w:tc>
          <w:tcPr>
            <w:tcW w:type="dxa" w:w="62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1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Design is the long pole and gates engineering</w:t>
            </w:r>
          </w:p>
        </w:tc>
        <w:tc>
          <w:tcPr>
            <w:tcW w:type="dxa" w:w="62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Allen prioritizes flow screens in patient-journey order; ship screen-by-screen so eng is never idle; Teny helps with design QA.</w:t>
            </w:r>
          </w:p>
        </w:tc>
      </w:tr>
      <w:tr>
        <w:tc>
          <w:tcPr>
            <w:tcW w:type="dxa" w:w="31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Pilot hospital not locked early</w:t>
            </w:r>
          </w:p>
        </w:tc>
        <w:tc>
          <w:tcPr>
            <w:tcW w:type="dxa" w:w="62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Ekow + Teny close the hospital and MoU in Week 1 — engineering must configure against the real target.</w:t>
            </w:r>
          </w:p>
        </w:tc>
      </w:tr>
      <w:tr>
        <w:tc>
          <w:tcPr>
            <w:tcW w:type="dxa" w:w="31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Scope creep past the core flow</w:t>
            </w:r>
          </w:p>
        </w:tc>
        <w:tc>
          <w:tcPr>
            <w:tcW w:type="dxa" w:w="62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Toye enforces the front-desk-to-dispensing line; anything else is a July item.</w:t>
            </w:r>
          </w:p>
        </w:tc>
      </w:tr>
      <w:tr>
        <w:tc>
          <w:tcPr>
            <w:tcW w:type="dxa" w:w="31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Offline/sync edge cases surface late</w:t>
            </w:r>
          </w:p>
        </w:tc>
        <w:tc>
          <w:tcPr>
            <w:tcW w:type="dxa" w:w="62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Isaac builds and tests offline from Week 1, not at the end; Week 4 includes a dedicated hardening pass.</w:t>
            </w:r>
          </w:p>
        </w:tc>
      </w:tr>
      <w:tr>
        <w:tc>
          <w:tcPr>
            <w:tcW w:type="dxa" w:w="310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3A3A"/>
                <w:sz w:val="19"/>
                <w:szCs w:val="19"/>
              </w:rPr>
              <w:t xml:space="preserve">Clinical mismatch with real workflow</w:t>
            </w:r>
          </w:p>
        </w:tc>
        <w:tc>
          <w:tcPr>
            <w:tcW w:type="dxa" w:w="62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3A3A"/>
                <w:sz w:val="19"/>
                <w:szCs w:val="19"/>
              </w:rPr>
              <w:t xml:space="preserve">Chinonye validates with clinicians from Week 1 and owns Week-4 UAT and sign-off.</w:t>
            </w:r>
          </w:p>
        </w:tc>
      </w:tr>
    </w:tbl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Decisions needed up front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Which hospital, and which level (county / state / teaching) — this sets the configuration and the staff roles in scope.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Which devices the hospital will use (shared tablets, phones) — drives the redesign and testing targets.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t xml:space="preserve">Confirm the exact roles to support at go-live (front desk, nurse, doctor, lab, pharmacy, billing, admin).</w:t>
      </w:r>
    </w:p>
    <w:p>
      <w:pPr>
        <w:pStyle w:val="Heading1"/>
      </w:pPr>
      <w:r>
        <w:t xml:space="preserve">Cadence &amp; Tools</w:t>
      </w:r>
    </w:p>
    <w:p>
      <w:pPr>
        <w:spacing w:after="140" w:line="276"/>
      </w:pPr>
      <w:r>
        <w:t xml:space="preserve">Daily standup (15 min) and a weekly Friday demo of the working flow. Toye runs the board; design → engineering → clinical handoffs are tracked there. Engineering works in Git/GitHub with code review and CI; design lives in Figma with continuous handoff. For the full technology stack, see the companion </w:t>
      </w:r>
      <w:r>
        <w:rPr>
          <w:i/>
          <w:iCs/>
        </w:rPr>
        <w:t xml:space="preserve">“TamamHealth — Tools &amp; Software”</w:t>
      </w:r>
      <w:r>
        <w:t xml:space="preserve"> document.</w:t>
      </w:r>
    </w:p>
    <w:p>
      <w:pPr>
        <w:spacing w:after="140" w:line="276"/>
      </w:pPr>
      <w:r>
        <w:rPr>
          <w:i/>
          <w:iCs/>
          <w:color w:val="5B6B6A"/>
        </w:rPr>
        <w:t xml:space="preserve">This is a working plan. The 30-June goal and the front-desk-to-dispensing scope are fixed; how we get there is open to the team's judgment as we learn.</w:t>
      </w:r>
    </w:p>
    <w:p>
      <w:pPr>
        <w:spacing w:before="240"/>
        <w:jc w:val="center"/>
      </w:pPr>
      <w:hyperlink w:history="1" r:id="rIdf-rvleuo90gg7su438n7c">
        <w:r>
          <w:rPr>
            <w:color w:val="2A7A6E"/>
            <w:sz w:val="18"/>
            <w:szCs w:val="18"/>
          </w:rPr>
          <w:t xml:space="preserve">www.tamamhealth.com</w:t>
        </w:r>
      </w:hyperlink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DE" w:sz="6" w:space="4"/>
      </w:pBdr>
      <w:tabs>
        <w:tab w:val="right" w:pos="9026"/>
      </w:tabs>
    </w:pPr>
    <w:r>
      <w:rPr>
        <w:color w:val="5B6B6A"/>
        <w:sz w:val="15"/>
        <w:szCs w:val="15"/>
      </w:rPr>
      <w:t xml:space="preserve">TamamHealth — Summer 2026 Full Team Plan</w:t>
    </w:r>
    <w:r>
      <w:rPr>
        <w:color w:val="5B6B6A"/>
        <w:sz w:val="15"/>
        <w:szCs w:val="15"/>
      </w:rPr>
      <w:t xml:space="preserve">	Page </w:t>
    </w:r>
    <w:r>
      <w:rPr>
        <w:color w:val="5B6B6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/>
    </w:pPr>
    <w:r>
      <w:rPr>
        <w:b/>
        <w:bCs/>
        <w:color w:val="1A3A3A"/>
        <w:sz w:val="22"/>
        <w:szCs w:val="22"/>
      </w:rPr>
      <w:t xml:space="preserve">TAM</w:t>
    </w:r>
    <w:r>
      <w:rPr>
        <w:b/>
        <w:bCs/>
        <w:color w:val="1B9E77"/>
        <w:sz w:val="22"/>
        <w:szCs w:val="22"/>
      </w:rPr>
      <w:t xml:space="preserve">♥</w:t>
    </w:r>
    <w:r>
      <w:rPr>
        <w:b/>
        <w:bCs/>
        <w:color w:val="1A3A3A"/>
        <w:sz w:val="22"/>
        <w:szCs w:val="22"/>
      </w:rPr>
      <w:t xml:space="preserve">M </w:t>
    </w:r>
    <w:r>
      <w:rPr>
        <w:color w:val="2A7A6E"/>
        <w:spacing w:val="40"/>
        <w:sz w:val="16"/>
        <w:szCs w:val="16"/>
      </w:rPr>
      <w:t xml:space="preserve">HEALTH</w:t>
    </w:r>
    <w:r>
      <w:rPr>
        <w:color w:val="5B6B6A"/>
        <w:sz w:val="16"/>
        <w:szCs w:val="16"/>
      </w:rPr>
      <w:t xml:space="preserve">	www.tamamhealth.com</w:t>
    </w:r>
  </w:p>
  <w:p>
    <w:pPr>
      <w:pBdr>
        <w:bottom w:val="single" w:color="D8E0DE" w:sz="6" w:space="1"/>
      </w:pBdr>
      <w:spacing w:after="8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A7A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A3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rFonts w:ascii="Arial" w:cs="Arial" w:eastAsia="Arial" w:hAnsi="Arial"/>
      <w:b/>
      <w:bCs/>
      <w:color w:val="1A3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A3A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-rvleuo90gg7su438n7c" Type="http://schemas.openxmlformats.org/officeDocument/2006/relationships/hyperlink" Target="https://www.tamamhealth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TamamHealth — Summer 2026 Full Team Plan</dc:title>
  <dc:creator>TamamHealth</dc:creator>
  <cp:lastModifiedBy>Un-named</cp:lastModifiedBy>
  <cp:revision>1</cp:revision>
  <dcterms:created xsi:type="dcterms:W3CDTF">2026-06-03T01:38:54.096Z</dcterms:created>
  <dcterms:modified xsi:type="dcterms:W3CDTF">2026-06-03T01:38:54.096Z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