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20"/>
        <w:gridCol w:w="8692"/>
      </w:tblGrid>
      <w:tr>
        <w:tc>
          <w:tcPr>
            <w:tcW w:type="dxa" w:w="1820"/>
            <w:tcBorders>
              <w:top w:val="dashed" w:color="2563EB" w:sz="6"/>
              <w:left w:val="dashed" w:color="2563EB" w:sz="6"/>
              <w:bottom w:val="dashed" w:color="2563EB" w:sz="6"/>
              <w:right w:val="dashed" w:color="2563EB" w:sz="6"/>
            </w:tcBorders>
            <w:shd w:fill="EAF1FB" w:val="clear"/>
            <w:tcMar>
              <w:top w:type="dxa" w:w="220"/>
              <w:left w:type="dxa" w:w="80"/>
              <w:bottom w:type="dxa" w:w="2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5"/>
                <w:szCs w:val="15"/>
              </w:rPr>
              <w:t xml:space="preserve">[ COMPANY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5"/>
                <w:szCs w:val="15"/>
              </w:rPr>
              <w:t xml:space="preserve">LOGO ]</w:t>
            </w:r>
          </w:p>
        </w:tc>
        <w:tc>
          <w:tcPr>
            <w:tcW w:type="dxa" w:w="869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20"/>
              <w:bottom w:type="dxa" w:w="60"/>
              <w:right w:type="dxa" w:w="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3284E"/>
                <w:sz w:val="40"/>
                <w:szCs w:val="40"/>
              </w:rPr>
              <w:t xml:space="preserve">TamamHealth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B6472"/>
                <w:sz w:val="19"/>
                <w:szCs w:val="19"/>
              </w:rPr>
              <w:t xml:space="preserve">Offline-first electronic health records for South Sudan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pacing w:val="14"/>
                <w:sz w:val="15"/>
                <w:szCs w:val="15"/>
              </w:rPr>
              <w:t xml:space="preserve">INVESTOR BRIEF  ·  JUNE 2026     </w:t>
            </w:r>
            <w:r>
              <w:rPr>
                <w:rFonts w:ascii="Arial" w:cs="Arial" w:eastAsia="Arial" w:hAnsi="Arial"/>
                <w:b/>
                <w:bCs/>
                <w:color w:val="13284E"/>
                <w:sz w:val="15"/>
                <w:szCs w:val="15"/>
              </w:rPr>
              <w:t xml:space="preserve">Web: [ yourdomain.com ]</w:t>
            </w:r>
          </w:p>
        </w:tc>
      </w:tr>
    </w:tbl>
    <w:p>
      <w:pPr>
        <w:pBdr>
          <w:bottom w:val="single" w:color="2563EB" w:sz="14" w:space="1"/>
        </w:pBdr>
        <w:spacing w:after="12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30"/>
      </w:pPr>
      <w:r>
        <w:rPr>
          <w:rFonts w:ascii="Arial" w:cs="Arial" w:eastAsia="Arial" w:hAnsi="Arial"/>
          <w:b/>
          <w:bCs/>
          <w:color w:val="13284E"/>
          <w:sz w:val="19"/>
          <w:szCs w:val="19"/>
        </w:rPr>
        <w:t xml:space="preserve">The opportunity:  </w:t>
      </w:r>
      <w:r>
        <w:rPr>
          <w:rFonts w:ascii="Arial" w:cs="Arial" w:eastAsia="Arial" w:hAnsi="Arial"/>
          <w:color w:val="2B3340"/>
          <w:sz w:val="19"/>
          <w:szCs w:val="19"/>
        </w:rPr>
        <w:t xml:space="preserve">South Sudan's health system loses most of its data before it ever reaches a decision-maker. TamamHealth is a digital medical-record platform built for that reality — it runs fully offline on low-cost hardware, is simple enough for frontline staff, and syncs to national reporting systems the moment a connection appears.</w:t>
      </w:r>
    </w:p>
    <w:tbl>
      <w:tblPr>
        <w:tblW w:type="dxa" w:w="1051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196"/>
        <w:gridCol w:w="120"/>
        <w:gridCol w:w="5196"/>
      </w:tblGrid>
      <w:tr>
        <w:tc>
          <w:tcPr>
            <w:tcW w:type="dxa" w:w="5196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8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13284E"/>
                <w:spacing w:val="18"/>
                <w:sz w:val="17"/>
                <w:szCs w:val="17"/>
              </w:rPr>
              <w:t xml:space="preserve">THE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67% of health facilities never report to the national DHIS2 system — existing tools are too complex.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Under one-third of facilities report at all, leaving the Ministry of Health blind to outbreaks and outcomes.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No national ID, frequent power and connectivity gaps, and high staff turnover break conventional cloud EHRs.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Paper records are lost, duplicated, and impossible to aggregate.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5196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4F8F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563EB"/>
                <w:spacing w:val="18"/>
                <w:sz w:val="17"/>
                <w:szCs w:val="17"/>
              </w:rPr>
              <w:t xml:space="preserve">OUR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Offline-first by design — every clinic keeps a full local record; data syncs automatically when online.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Icon-driven, multi-language workflows usable with minimal training.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Complete patient journey: registration, triage, consultation, labs, pharmacy, referrals, billing.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Built-in DHIS2 export and CRVS birth/death registration — compliant reporting with zero extra effort.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13284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2"/>
                <w:sz w:val="15"/>
                <w:szCs w:val="15"/>
              </w:rPr>
              <w:t xml:space="preserve">PRODUCT STATUS</w:t>
            </w:r>
          </w:p>
        </w:tc>
        <w:tc>
          <w:tcPr>
            <w:tcW w:type="dxa" w:w="3504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13284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2"/>
                <w:sz w:val="15"/>
                <w:szCs w:val="15"/>
              </w:rPr>
              <w:t xml:space="preserve">COVERAGE</w:t>
            </w:r>
          </w:p>
        </w:tc>
        <w:tc>
          <w:tcPr>
            <w:tcW w:type="dxa" w:w="3504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13284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2"/>
                <w:sz w:val="15"/>
                <w:szCs w:val="15"/>
              </w:rPr>
              <w:t xml:space="preserve">BUSINESS MODEL</w:t>
            </w:r>
          </w:p>
        </w:tc>
      </w:tr>
      <w:tr>
        <w:tc>
          <w:tcPr>
            <w:tcW w:type="dxa" w:w="3504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25+ clinical &amp; administrative modules built.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In pre-deployment security hardening.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Test-covered, production-grade codebase.</w:t>
            </w:r>
          </w:p>
        </w:tc>
        <w:tc>
          <w:tcPr>
            <w:tcW w:type="dxa" w:w="3504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Clinical, maternal &amp; child health, pharmacy &amp; labs.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Disease surveillance + CRVS vital registration.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Multi-facility, multi-organization tenancy.</w:t>
            </w:r>
          </w:p>
        </w:tc>
        <w:tc>
          <w:tcPr>
            <w:tcW w:type="dxa" w:w="3504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Per-facility software license (tiered).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Tiers: Basic · Professional · Enterprise.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B3340"/>
                <w:sz w:val="17"/>
                <w:szCs w:val="17"/>
              </w:rPr>
              <w:t xml:space="preserve">Implementation &amp; support services.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1051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6"/>
                <w:sz w:val="17"/>
                <w:szCs w:val="17"/>
              </w:rPr>
              <w:t xml:space="preserve">THE ASK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Raising [ $ amount ] to fund: </w:t>
            </w:r>
            <w:r>
              <w:rPr>
                <w:rFonts w:ascii="Arial" w:cs="Arial" w:eastAsia="Arial" w:hAnsi="Arial"/>
                <w:color w:val="EAF1FB"/>
                <w:sz w:val="18"/>
                <w:szCs w:val="18"/>
              </w:rPr>
              <w:t xml:space="preserve">(1) pilot deployments across [ # ] facilities, (2) MoH / DHIS2 integration &amp; certification, and (3) field-support and training capacity. Use of funds and milestones detailed on request.</w:t>
            </w:r>
          </w:p>
        </w:tc>
      </w:tr>
    </w:tbl>
    <w:p>
      <w:pPr>
        <w:pBdr>
          <w:top w:val="single" w:color="C9D6E5" w:sz="6" w:space="6"/>
        </w:pBdr>
        <w:spacing w:before="150"/>
        <w:jc w:val="center"/>
      </w:pPr>
      <w:r>
        <w:rPr>
          <w:rFonts w:ascii="Arial" w:cs="Arial" w:eastAsia="Arial" w:hAnsi="Arial"/>
          <w:b/>
          <w:bCs/>
          <w:color w:val="13284E"/>
          <w:sz w:val="16"/>
          <w:szCs w:val="16"/>
        </w:rPr>
        <w:t xml:space="preserve">TamamHealth</w:t>
      </w:r>
      <w:r>
        <w:rPr>
          <w:rFonts w:ascii="Arial" w:cs="Arial" w:eastAsia="Arial" w:hAnsi="Arial"/>
          <w:color w:val="5B6472"/>
          <w:sz w:val="16"/>
          <w:szCs w:val="16"/>
        </w:rPr>
        <w:t xml:space="preserve">      Web: [ yourdomain.com ]      Email: [ hello@yourdomain.com ]      Location: [ Juba, South Sudan ]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20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2026-06-17T17:57:16.474Z</dcterms:created>
  <dcterms:modified xsi:type="dcterms:W3CDTF">2026-06-17T17:57:16.474Z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