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156A"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MROH2B dN/dS Analysis Pipeline — Gallus gallus 47-Copy Gene Family</w:t>
      </w:r>
    </w:p>
    <w:p w14:paraId="01FA08F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Overview</w:t>
      </w:r>
    </w:p>
    <w:p w14:paraId="7D8B8866" w14:textId="477A8C5E"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This pipeline reconstructs coding sequences from 47 MROH2B gene copies in</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*Gallus gallus* (GRCg7b / bGalGal1.mat.broiler.primary.20181003) and performs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dN/dS (ω) analysis using PAML codeml site models to measure selection pressure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across the gene family.</w:t>
      </w:r>
    </w:p>
    <w:p w14:paraId="51F67F26" w14:textId="0081C64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The pipeline handles a key biological complication: some retrogene copies have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**neofunctionalized** — the original single ORF has split into 2–3 separate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protein-coding genes at the same locus, annotated as MROH1, MROH2A, and/or</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MROH2B. These are concatenated back into a single "virtual gene" in canonical</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protein-position order before alignment.</w:t>
      </w:r>
    </w:p>
    <w:p w14:paraId="48F34010" w14:textId="0D9F944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E8C4F41" w14:textId="3E08AB35"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Input Files</w:t>
      </w:r>
    </w:p>
    <w:p w14:paraId="77C95ED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File | Description |</w:t>
      </w:r>
    </w:p>
    <w:p w14:paraId="0347F2A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A34283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`MROH2B tBLASTn Gallus gallus mat_broiler.txt` | 1,115 FASTA sequences: tBLASTn (protein vs genome) exon-fragment hits across all 47 copies |</w:t>
      </w:r>
    </w:p>
    <w:p w14:paraId="3DF7870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`MROH2B exon 41 mer V70EEPJ8016-Alignment.txt` | BLASTn tabular: 47 locus anchors defined by a conserved 41-mer probe from a 3'-proximal exon |</w:t>
      </w:r>
    </w:p>
    <w:p w14:paraId="5C03AEB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`MROH2B mRNA XM_040653385.1.fa` | RefSeq canonical mRNA (3,770 nt, 31 exons) |</w:t>
      </w:r>
    </w:p>
    <w:p w14:paraId="1451C16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`MROH2B protein XP_040509319.1.fa` | Canonical MROH2B protein (1,122 aa) — used as coordinate reference |</w:t>
      </w:r>
    </w:p>
    <w:p w14:paraId="4B4CAE0D" w14:textId="6D9CEAC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`Chicken MROH2B protein sequences/` | 62 annotated protein FASTA files for 61 protein-coding genes (53 MROH2B, 6 MROH2A, 2 MROH1) derived from these loci; XR_005843686.1 excluded (ncRNA) |</w:t>
      </w:r>
    </w:p>
    <w:p w14:paraId="315DCA00" w14:textId="37E8BB3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0C410AE3" w14:textId="76626F9C"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Genome Distribution of 47 Loci</w:t>
      </w:r>
    </w:p>
    <w:p w14:paraId="364B5AFE"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Chromosome | Loci | Annotation | Notes |</w:t>
      </w:r>
    </w:p>
    <w:p w14:paraId="03EE826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00DE29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NC_052572.1 (chr41) | 4 | Canonical + near-canonical | LOC041–044; high intron retention expected |</w:t>
      </w:r>
    </w:p>
    <w:p w14:paraId="5FB9A82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NC_052532.1 (chr1) | 40 | Retrogene array | Intron-poor, varying CDS coverage |</w:t>
      </w:r>
    </w:p>
    <w:p w14:paraId="70747A9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NW_024096063.1 | 2 | Scaffold copies | Included |</w:t>
      </w:r>
    </w:p>
    <w:p w14:paraId="339A22F2" w14:textId="7B96DBE9"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NW_024096074.1 | 1 | Scaffold copy | Included |</w:t>
      </w:r>
    </w:p>
    <w:p w14:paraId="702F3E28" w14:textId="657F6338"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AD1CFC4" w14:textId="3960BCF1"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Biological Findings</w:t>
      </w:r>
    </w:p>
    <w:p w14:paraId="0A1806B9" w14:textId="4F3D3A6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Neofunctionalized Loci</w:t>
      </w:r>
    </w:p>
    <w:p w14:paraId="6B542138" w14:textId="4F0A5934"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Four loci contain multiple distinct protein-coding genes covering non-overlapping</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regions of the original MROH2B ORF. These are treated by concatenating sub-gene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protein and CDS sequences in canonical-coordinate order to reconstruct a single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"virtual ancestral ORF" per locus:</w:t>
      </w:r>
    </w:p>
    <w:p w14:paraId="158B588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Locus | Genes (in canonical order) | Combined length |</w:t>
      </w:r>
    </w:p>
    <w:p w14:paraId="1DD1192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9BDBCC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LOC001 | MROH2B (813 aa) + MROH1 (210 aa) | 1,023 aa |</w:t>
      </w:r>
    </w:p>
    <w:p w14:paraId="7F0054E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LOC021 | MROH2B + MROH1 (partially overlapping) | 471 aa (&lt; 50% coverage; excluded) |</w:t>
      </w:r>
    </w:p>
    <w:p w14:paraId="4AC5A1FE"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LOC026 | MROH1 + MROH2B | ~460 aa |</w:t>
      </w:r>
    </w:p>
    <w:p w14:paraId="1AE46E2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LOC041 | MROH2A (226 aa) + MROH2A (212 aa) + MROH2B (321 aa) | ~759 aa |</w:t>
      </w:r>
    </w:p>
    <w:p w14:paraId="4862C90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C1E5A3A" w14:textId="5B0D117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CDS Reconstruction Results (Step 1)</w:t>
      </w:r>
    </w:p>
    <w:p w14:paraId="3F983899" w14:textId="6F28848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**Zero internal stop codons** were found in any of the 47 loci (previous tBLASTn</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approach produced false stop codons; resolved by protein-guided frame selection).</w:t>
      </w:r>
    </w:p>
    <w:p w14:paraId="3421963C" w14:textId="77777777" w:rsidR="00837B29"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Status | Count | Description |</w:t>
      </w:r>
    </w:p>
    <w:p w14:paraId="5CE176A8" w14:textId="0E82346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091FA8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annotated (single gene) | 10 | Protein available; single gene per locus |</w:t>
      </w:r>
    </w:p>
    <w:p w14:paraId="0B44CB5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annotated (neofunctionalized) | 4 | 2–3 genes per locus; concatenated |</w:t>
      </w:r>
    </w:p>
    <w:p w14:paraId="34C8768E" w14:textId="078D44F8"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unannotated (canonical-guided) | 33 | No annotation; CDS guided by canonical protein |</w:t>
      </w:r>
    </w:p>
    <w:p w14:paraId="224F7EAA" w14:textId="025C8AB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**Final PAML dataset: 40 loci** with ≥50% canonical coverage (LOC021 excluded</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at 41.9% coverage after concatenation).</w:t>
      </w:r>
    </w:p>
    <w:p w14:paraId="464E5F3F" w14:textId="33420E1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Alignment Quality (Step 2 — NW / MAFFT)</w:t>
      </w:r>
    </w:p>
    <w:p w14:paraId="47A8CB4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- 40 sequences × 1,122 canonical amino acid columns</w:t>
      </w:r>
    </w:p>
    <w:p w14:paraId="318A4E8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Mean pairwise identity: ~81.7%</w:t>
      </w:r>
    </w:p>
    <w:p w14:paraId="21F2BF8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PAML-usable codons (all 40 seqs): ~50 (4.5%) — cleandata=1 is conservative</w:t>
      </w:r>
    </w:p>
    <w:p w14:paraId="78AA398A"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Usable in ≥95% of sequences: ~293 codons</w:t>
      </w:r>
    </w:p>
    <w:p w14:paraId="64F46249" w14:textId="0823FF2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Usable in ≥75% of sequences: ~567 codons</w:t>
      </w:r>
    </w:p>
    <w:p w14:paraId="4C402933" w14:textId="680111E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2D9DCCF" w14:textId="0C18995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Pipeline Steps</w:t>
      </w:r>
    </w:p>
    <w:p w14:paraId="040E01C5" w14:textId="26C08BC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Prerequisites</w:t>
      </w:r>
    </w:p>
    <w:p w14:paraId="2866827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7FA8B76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cd MROH_sequences/MROH2B_analysis/05_dNdS</w:t>
      </w:r>
    </w:p>
    <w:p w14:paraId="17A9FCE5" w14:textId="43C043D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10BCBA9C" w14:textId="41F6649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Required tools: `python3` (stdlib + numpy), `mafft`, `iqtree2`, `codeml` (PAML)</w:t>
      </w:r>
    </w:p>
    <w:p w14:paraId="334FB71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142F744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Install via conda (recommended):</w:t>
      </w:r>
    </w:p>
    <w:p w14:paraId="7B8B89F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conda install -c bioconda mafft iqtree paml</w:t>
      </w:r>
    </w:p>
    <w:p w14:paraId="3339F82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Or via Homebrew (macOS):</w:t>
      </w:r>
    </w:p>
    <w:p w14:paraId="51F25F1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brew install mafft iqtree</w:t>
      </w:r>
    </w:p>
    <w:p w14:paraId="27A8C4DE" w14:textId="247CFEF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68B30A2" w14:textId="6A4F3AD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6EE915CF" w14:textId="7C90A7B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Step 1 — Protein-guided CDS reconstruction (~2–3 min)</w:t>
      </w:r>
    </w:p>
    <w:p w14:paraId="7EF6928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5460D15C"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python3 scripts/01_protein_guided_reconstruction.py</w:t>
      </w:r>
    </w:p>
    <w:p w14:paraId="13E7CDC1" w14:textId="547EE30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C5AB45B" w14:textId="630E3E0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**What it does:**</w:t>
      </w:r>
    </w:p>
    <w:p w14:paraId="1EC5E6B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1. Loads 47 locus anchors from the 41-mer BLASTn results</w:t>
      </w:r>
    </w:p>
    <w:p w14:paraId="794A32EE" w14:textId="3F2042D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2. Assigns 1,115 tBLASTn hit fragments to loci (12 kb window for retrogene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copies; 200 kb for canonical chr41 locus)</w:t>
      </w:r>
    </w:p>
    <w:p w14:paraId="2E90BFE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3. Maps all 61 annotated proteins to loci via k-mer matching</w:t>
      </w:r>
    </w:p>
    <w:p w14:paraId="7D3274A2" w14:textId="547B62E8"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4. For each annotated protein, maps it to canonical-protein coordinates using</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Needleman-Wunsch alignment (BLOSUM62, affine gaps)</w:t>
      </w:r>
    </w:p>
    <w:p w14:paraId="18596148" w14:textId="412083BA"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5. Deduplicates isoforms within each locus (≥70% canonical-range overlap → keep longest); retains distinct gene types (MROH1 vs MROH2A vs MROH2B)</w:t>
      </w:r>
    </w:p>
    <w:p w14:paraId="290027E7" w14:textId="7410A2DC"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6. **Protein-guided CDS reconstruction:** for each tBLASTn hit fragment, tests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all 3 reading frames and selects the frame with best k-mer match against the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target protein; concatenates in-frame nucleotides sorted by protein position</w:t>
      </w:r>
    </w:p>
    <w:p w14:paraId="6BB71845" w14:textId="47DE688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7. For neofunctionalized loci: concatenates all sub-gene CDS sequences in</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canonical-position order</w:t>
      </w:r>
    </w:p>
    <w:p w14:paraId="0F29B082" w14:textId="5CAAE5F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8. For unannotated loci (33/47): uses the canonical protein XP_040509319.1 as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guide for frame selection</w:t>
      </w:r>
    </w:p>
    <w:p w14:paraId="3D65B965" w14:textId="2344543A"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9. Outputs loci with ≥50% canonical coverage to `cds_for_paml.fasta`</w:t>
      </w:r>
    </w:p>
    <w:p w14:paraId="02863E3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**Outputs:**</w:t>
      </w:r>
    </w:p>
    <w:p w14:paraId="730CCA3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CB6C02E"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03_protein_guided/</w:t>
      </w:r>
    </w:p>
    <w:p w14:paraId="19F77C7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cds_for_paml.fasta       40 CDS sequences (one per locus, ≥50% canonical)</w:t>
      </w:r>
    </w:p>
    <w:p w14:paraId="466E3C8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protein_for_paml.fasta   40 protein sequences (translated from above)</w:t>
      </w:r>
    </w:p>
    <w:p w14:paraId="0E146DA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per_locus_cds.fasta      All 47 loci (including &lt;50% coverage ones)</w:t>
      </w:r>
    </w:p>
    <w:p w14:paraId="40BF16A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per_locus_protein.fasta  All 47 loci, protein sequences</w:t>
      </w:r>
    </w:p>
    <w:p w14:paraId="7DD5CC7A"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locus_manifest.tsv       Full per-locus QC table (see columns below)</w:t>
      </w:r>
    </w:p>
    <w:p w14:paraId="70CCEFB0" w14:textId="0F5FEA59"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0114282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**locus_manifest.tsv columns:**</w:t>
      </w:r>
    </w:p>
    <w:p w14:paraId="7D5430C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`locus_id`, `acc`, `strand`, `anchor`, `n_hits`, `n_proteins`, `genes`,</w:t>
      </w:r>
    </w:p>
    <w:p w14:paraId="21DF7A3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`gene_accs`, `source`, `virt_prot_len`, `virt_cds_len`, `canon_cov_pct`,</w:t>
      </w:r>
    </w:p>
    <w:p w14:paraId="2C448BEE" w14:textId="6DAE116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`internal_stops`, `status`</w:t>
      </w:r>
    </w:p>
    <w:p w14:paraId="410B2F48" w14:textId="49DF6C2C"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A959960" w14:textId="1B45AB4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Step 2a — Pure-Python alignment + back-translation (~1 min)</w:t>
      </w:r>
    </w:p>
    <w:p w14:paraId="3829DB2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38C95ADC"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python3 scripts/02_align_and_backtranslate.py</w:t>
      </w:r>
    </w:p>
    <w:p w14:paraId="2839C5BA" w14:textId="5AC88DB8"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18A22B0B" w14:textId="1E8B990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Uses Needleman-Wunsch global alignment (BLOSUM62, affine gap penalties) to</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align each virtual protein against the 1,122 aa canonical, building a</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canonical-coordinate MSA. Then back-translates to codons. Produces PHYLIP format</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for PAML/IQ-TREE. No external tools required.</w:t>
      </w:r>
    </w:p>
    <w:p w14:paraId="205A070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**Outputs in `04_alignment/`:**</w:t>
      </w:r>
    </w:p>
    <w:p w14:paraId="38CBB28A"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98D37AA"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protein_aln.fasta        Protein MSA (1,122 columns, canonical as reference)</w:t>
      </w:r>
    </w:p>
    <w:p w14:paraId="399D654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codon_aln.fasta          Codon MSA (3,366 nt columns)</w:t>
      </w:r>
    </w:p>
    <w:p w14:paraId="66440E1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codon_aln.phy            PHYLIP interleaved format</w:t>
      </w:r>
    </w:p>
    <w:p w14:paraId="5BDC8CD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alignment_stats.tsv      Per-sequence fill statistics</w:t>
      </w:r>
    </w:p>
    <w:p w14:paraId="37153A0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pairwise_identity.tsv    40×40 pairwise identity matrix</w:t>
      </w:r>
    </w:p>
    <w:p w14:paraId="2FBD454D" w14:textId="6C795489"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42682A8" w14:textId="05AD0D2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0C129170" w14:textId="5ADF1F2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Step 2b — MAFFT alignment + back-translation (recommended, ~1–2 min)</w:t>
      </w:r>
    </w:p>
    <w:p w14:paraId="3F621B7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31C3F99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 scripts/02b_mafft_align.sh</w:t>
      </w:r>
    </w:p>
    <w:p w14:paraId="4D518450" w14:textId="3CBA468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B4DDB7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Uses MAFFT (`--auto`) for protein alignment, then back-translates to codons.</w:t>
      </w:r>
    </w:p>
    <w:p w14:paraId="7E7CE6EB" w14:textId="1C9DEC6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Produces higher-quality alignment than the pure-Python NW approach. The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`03_build_tree.sh` script will automatically use the MAFFT outputs when present.</w:t>
      </w:r>
    </w:p>
    <w:p w14:paraId="18B3D2EA"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**Outputs in `04_alignment/`:**</w:t>
      </w:r>
    </w:p>
    <w:p w14:paraId="45AF132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687DB4B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protein_aln_mafft.fasta       MAFFT protein MSA</w:t>
      </w:r>
    </w:p>
    <w:p w14:paraId="398A1D7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codon_aln_mafft.fasta         Codon MSA (back-translated from MAFFT alignment)</w:t>
      </w:r>
    </w:p>
    <w:p w14:paraId="0298D09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codon_aln_mafft.phy           PHYLIP format (used by Steps 3 &amp; 4)</w:t>
      </w:r>
    </w:p>
    <w:p w14:paraId="3B872EC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alignment_stats_mafft.tsv     Per-sequence fill statistics</w:t>
      </w:r>
    </w:p>
    <w:p w14:paraId="5B22D2EF" w14:textId="7182C8F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2768244F" w14:textId="41638EC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B21C45C" w14:textId="23686DCA"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Step 3 — Phylogenetic tree (~5–20 min with IQ-TREE2)</w:t>
      </w:r>
    </w:p>
    <w:p w14:paraId="6976CD3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0DABC85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 scripts/03_build_tree.sh</w:t>
      </w:r>
    </w:p>
    <w:p w14:paraId="12319A2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64A545F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Auto-detects and uses: IQ-TREE 2 → IQ-TREE → FastTree → RAxML-NG.</w:t>
      </w:r>
    </w:p>
    <w:p w14:paraId="3F68FF35" w14:textId="5A1C37B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Automatically selects `codon_aln_mafft.phy` if Step 2b was run, otherwise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falls back to `codon_aln.phy`. You can also pass an explicit alignment:</w:t>
      </w:r>
    </w:p>
    <w:p w14:paraId="3A1364A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150930B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 scripts/03_build_tree.sh 04_alignment/codon_aln_mafft.phy</w:t>
      </w:r>
    </w:p>
    <w:p w14:paraId="64C9A885" w14:textId="0791A699"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w:t>
      </w:r>
    </w:p>
    <w:p w14:paraId="2752D7C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**IQ-TREE2 settings:** GTR+G4 model, 1,000 ultrafast bootstrap replicates,</w:t>
      </w:r>
    </w:p>
    <w:p w14:paraId="0ECA8111" w14:textId="53139F7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BNNI tree optimization. Bootstrap values are stripped from the final tree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for PAML compatibility.</w:t>
      </w:r>
    </w:p>
    <w:p w14:paraId="09C626F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**Outputs in `05_tree/`** (directory is named `04_tree` but created as `05_tree`):</w:t>
      </w:r>
    </w:p>
    <w:p w14:paraId="11D2B27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B166BE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MROH2B_codon.treefile    ML tree with bootstrap support</w:t>
      </w:r>
    </w:p>
    <w:p w14:paraId="06367ED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MROH2B_codon.iqtree      Full IQ-TREE2 report</w:t>
      </w:r>
    </w:p>
    <w:p w14:paraId="73ACFCF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MROH2B_paml.nwk          Bootstrap-stripped Newick tree (input for Step 4)</w:t>
      </w:r>
    </w:p>
    <w:p w14:paraId="4E7130B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iqtree.log               IQ-TREE2 log</w:t>
      </w:r>
    </w:p>
    <w:p w14:paraId="676619DE"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2FB477E"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0C6B3D3" w14:textId="32DA5FA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1014245" w14:textId="7E94F41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Step 4 — PAML codeml site models (~10–60 min)</w:t>
      </w:r>
    </w:p>
    <w:p w14:paraId="685833B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```zsh</w:t>
      </w:r>
    </w:p>
    <w:p w14:paraId="1AC608B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python3 scripts/04_run_paml.py</w:t>
      </w:r>
    </w:p>
    <w:p w14:paraId="03D04A10" w14:textId="33660A4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3A2FF5D" w14:textId="4E250A0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Runs five codeml site models and performs likelihood ratio tests. Requires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`codeml` in PATH (`conda install -c bioconda paml`). If codeml is not found,</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writes control files only so you can run manually.</w:t>
      </w:r>
    </w:p>
    <w:p w14:paraId="2FED480F" w14:textId="7DFF22B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**Models:**</w:t>
      </w:r>
    </w:p>
    <w:p w14:paraId="3CF222B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Model | NSsites | Description | Role |</w:t>
      </w:r>
    </w:p>
    <w:p w14:paraId="302ABA5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23AAE9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M0 | 0 | Single ω for all sites | Background ω estimate |</w:t>
      </w:r>
    </w:p>
    <w:p w14:paraId="50487F5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M1a | 1 | Nearly neutral (ω₀&lt;1, ω₁=1) | Null for positive selection |</w:t>
      </w:r>
    </w:p>
    <w:p w14:paraId="0849239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M2a | 2 | Positive selection (adds ω₂&gt;1 class) | Alternative |</w:t>
      </w:r>
    </w:p>
    <w:p w14:paraId="78E61CAE"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M7 | 7 | Beta distribution of ω, 0&lt;ω&lt;1 | Null (more flexible) |</w:t>
      </w:r>
    </w:p>
    <w:p w14:paraId="2EE7497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M8 | 8 | Beta + ω&gt;1 class | Alternative (preferred test) |</w:t>
      </w:r>
    </w:p>
    <w:p w14:paraId="79F9C5EC"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7E2AE65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**Likelihood ratio tests:**</w:t>
      </w:r>
    </w:p>
    <w:p w14:paraId="4ED2ADB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LRT1: M2a vs M1a  (2ΔlnL ~ χ²(2)) — detects positive selection</w:t>
      </w:r>
    </w:p>
    <w:p w14:paraId="0C3A3ED8" w14:textId="5178077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LRT2: M8 vs M7   (2ΔlnL ~ χ²(2)) — more powerful; preferred test</w:t>
      </w:r>
    </w:p>
    <w:p w14:paraId="7F25E349" w14:textId="23CDBBF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**Bayesian Empirical Bayes (BEB):** M2a and M8 report sites with posterior</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probability &gt;0.95 of belonging to the ω&gt;1 class.</w:t>
      </w:r>
    </w:p>
    <w:p w14:paraId="6B8D6BD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**Settings:** CodonFreq=2 (F3x4), cleandata=1 (removes sites with gaps in any</w:t>
      </w:r>
    </w:p>
    <w:p w14:paraId="5E965230" w14:textId="26B1A869"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sequence), model=0 (site models, no branch partitions).</w:t>
      </w:r>
    </w:p>
    <w:p w14:paraId="47DBE53C"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**Outputs in `05_paml/`:**</w:t>
      </w:r>
    </w:p>
    <w:p w14:paraId="59F61AE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173875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M0/codeml_out.txt</w:t>
      </w:r>
    </w:p>
    <w:p w14:paraId="581B992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M1a/codeml_out.txt</w:t>
      </w:r>
    </w:p>
    <w:p w14:paraId="35D0304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M2a/codeml_out.txt</w:t>
      </w:r>
    </w:p>
    <w:p w14:paraId="0ED836C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M7/codeml_out.txt</w:t>
      </w:r>
    </w:p>
    <w:p w14:paraId="17BB6D1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M8/codeml_out.txt</w:t>
      </w:r>
    </w:p>
    <w:p w14:paraId="0C5475D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paml_results_summary.tsv   Model comparison (lnL, np, ω, κ, AIC)</w:t>
      </w:r>
    </w:p>
    <w:p w14:paraId="1F3A010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LRT_summary.txt            LRT statistics, p-values, BEB sites</w:t>
      </w:r>
    </w:p>
    <w:p w14:paraId="02213845" w14:textId="139C90B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58A87D53" w14:textId="0896934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79161D12" w14:textId="78687D5E"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PAML Results</w:t>
      </w:r>
    </w:p>
    <w:p w14:paraId="4AF531E1" w14:textId="5B9E648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Model Parameters and Likelihood Ratio Tests</w:t>
      </w:r>
    </w:p>
    <w:p w14:paraId="3B87618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Model | lnL | np | ω | κ |</w:t>
      </w:r>
    </w:p>
    <w:p w14:paraId="53B44065"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451734D0"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M0 (one-ratio) | −1302.594 | 79 | **0.483** | 2.603 |</w:t>
      </w:r>
    </w:p>
    <w:p w14:paraId="2651EC6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M1a (nearly neutral) | −1286.916 | 80 | — | 2.576 |</w:t>
      </w:r>
    </w:p>
    <w:p w14:paraId="2FE6E0E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M2a (positive selection) | −1273.909 | 82 | **9.855** (ω₂ class) | 2.764 |</w:t>
      </w:r>
    </w:p>
    <w:p w14:paraId="474F655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M7 (beta) | −1288.798 | 80 | 0.912 (mean) | 2.602 |</w:t>
      </w:r>
    </w:p>
    <w:p w14:paraId="4BF0CAB9"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M8 (beta + ω&gt;1) | −1273.241 | 82 | **8.758** (ω₂ class) | 2.813 |</w:t>
      </w:r>
    </w:p>
    <w:p w14:paraId="6F9DF38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995219F"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xml:space="preserve">**LRT1 (M2a vs M1a):** 2ΔlnL = 26.015, df = 2, p &lt; 0.0001 </w:t>
      </w:r>
      <w:r w:rsidRPr="00A71CE4">
        <w:rPr>
          <w:rFonts w:ascii="Segoe UI Symbol" w:eastAsia="Times New Roman" w:hAnsi="Segoe UI Symbol" w:cs="Segoe UI Symbol"/>
          <w:b/>
          <w:bCs/>
          <w:kern w:val="0"/>
          <w14:ligatures w14:val="none"/>
        </w:rPr>
        <w:t>✱✱</w:t>
      </w:r>
      <w:r w:rsidRPr="00A71CE4">
        <w:rPr>
          <w:rFonts w:ascii="Times New Roman" w:eastAsia="Times New Roman" w:hAnsi="Times New Roman" w:cs="Times New Roman"/>
          <w:b/>
          <w:bCs/>
          <w:kern w:val="0"/>
          <w14:ligatures w14:val="none"/>
        </w:rPr>
        <w:t xml:space="preserve"> **SIGNIFICANT**</w:t>
      </w:r>
    </w:p>
    <w:p w14:paraId="0937897C"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xml:space="preserve">**LRT2 (M8 vs M7):** 2ΔlnL = 31.114, df = 2, p &lt; 0.0001 </w:t>
      </w:r>
      <w:r w:rsidRPr="00A71CE4">
        <w:rPr>
          <w:rFonts w:ascii="Segoe UI Symbol" w:eastAsia="Times New Roman" w:hAnsi="Segoe UI Symbol" w:cs="Segoe UI Symbol"/>
          <w:b/>
          <w:bCs/>
          <w:kern w:val="0"/>
          <w14:ligatures w14:val="none"/>
        </w:rPr>
        <w:t>✱✱</w:t>
      </w:r>
      <w:r w:rsidRPr="00A71CE4">
        <w:rPr>
          <w:rFonts w:ascii="Times New Roman" w:eastAsia="Times New Roman" w:hAnsi="Times New Roman" w:cs="Times New Roman"/>
          <w:b/>
          <w:bCs/>
          <w:kern w:val="0"/>
          <w14:ligatures w14:val="none"/>
        </w:rPr>
        <w:t xml:space="preserve"> **SIGNIFICANT**</w:t>
      </w:r>
    </w:p>
    <w:p w14:paraId="32A220C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AF6B354" w14:textId="78969F46"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The global M0 ω of 0.483 indicates moderate purifying selection across the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family as a whole. The highly significant LRTs show that a subset of sites is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under strong positive selection (ω ≈ 9–10), consistent with neofunctionalization</w:t>
      </w:r>
    </w:p>
    <w:p w14:paraId="250E0D04" w14:textId="45693A3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of retained gene copies.</w:t>
      </w:r>
    </w:p>
    <w:p w14:paraId="17243CA3" w14:textId="70EA23B8"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Bayesian Empirical Bayes (BEB) Positively Selected Sites</w:t>
      </w:r>
    </w:p>
    <w:p w14:paraId="2E30C54A" w14:textId="6169335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Both M2a and M8 identify the same two sites with posterior probability &gt;0.99:</w:t>
      </w:r>
    </w:p>
    <w:p w14:paraId="200D636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BEB site (compressed) | Residue | M2a pp | M8 pp |</w:t>
      </w:r>
    </w:p>
    <w:p w14:paraId="3CAA3C42"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69D6766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34 | S (Ser) | 1.000 ** | 1.000 ** |</w:t>
      </w:r>
    </w:p>
    <w:p w14:paraId="63896A1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44 | E (Glu) | 0.996 ** | 0.999 ** |</w:t>
      </w:r>
    </w:p>
    <w:p w14:paraId="29B7ED4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DB50778" w14:textId="438C1B5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&gt; **Important — BEB site numbering:** With `cleandata=1`, PAML removes any</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alignment column containing a gap in any of the 40 sequences, retaining 71</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fully clean codon sites. BEB site numbers (34, 44) refer to positions within this compressed 71-site alignment, **not** raw alignment column numbers.</w:t>
      </w:r>
    </w:p>
    <w:p w14:paraId="4811B877" w14:textId="7102E50C"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 Mapping BEB Sites to Canonical Chicken MROH2B Coordinates</w:t>
      </w:r>
    </w:p>
    <w:p w14:paraId="4CCF0C39" w14:textId="390B55B4"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The PAML-compressed sites were traced back through the full alignment to</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determine their true positions in the canonical chicken reference protein</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(XP_040509319.1, 1,122 aa):</w:t>
      </w:r>
    </w:p>
    <w:p w14:paraId="3E14D76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BEB site | Residue | Raw alignment column | LOC001 protein position | **Canonical chicken position** |</w:t>
      </w:r>
    </w:p>
    <w:p w14:paraId="4098451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2C9F3F7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34 | S | col 660 (of 1,251) | 196 | **574** |</w:t>
      </w:r>
    </w:p>
    <w:p w14:paraId="7451EC2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44 | E | col 756 (of 1,251) | 225 | **623** |</w:t>
      </w:r>
    </w:p>
    <w:p w14:paraId="05DE6C8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6E7C4CF" w14:textId="537C458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Both sites fall in the mid-to-C-terminal HEAT repeat domain, not in the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N-terminal regulatory region. Canonical position 574 is Ser (in LOC001) / Thr</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(in the canonical reference); canonical position 623 is Glu in both.</w:t>
      </w:r>
    </w:p>
    <w:p w14:paraId="21383322" w14:textId="618370C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Mapping to Human MROH Family Proteins (BLASTp)</w:t>
      </w:r>
    </w:p>
    <w:p w14:paraId="05C486A0" w14:textId="36488FE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The canonical chicken MROH2B protein (XP_040509319.1) was queried against</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human RefSeq (BLASTp, `refseq_select_prot`, RID V9EJ3J1F014). Four hits were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returned. Approximate human residue positions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corresponding to chicken canonical</w:t>
      </w:r>
    </w:p>
    <w:p w14:paraId="02430A68" w14:textId="4D3A819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574 and 623 were estimated by linear interpolation across each hit's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query/subject coordinate range (±20 aa uncertainty):</w:t>
      </w:r>
    </w:p>
    <w:p w14:paraId="60F2D82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F5B15A1"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Human gene | Accession | % identity | Query range | Subject range | e-value | Chicken 574 → | Chicken 623 → |</w:t>
      </w:r>
    </w:p>
    <w:p w14:paraId="44599A94"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3C8BF87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MROH2B | NP_775760.3 | 26.7% | 51–1121 | 29–1092 | 3.1×10⁻¹⁰⁷ | **~549** | **~597** |</w:t>
      </w:r>
    </w:p>
    <w:p w14:paraId="60C862EB"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MROH1 | NP_001381568.1 | 27.0% | 30–1070 | 73–1116 | 1.2×10⁻⁹³ | **~619** | **~668** |</w:t>
      </w:r>
    </w:p>
    <w:p w14:paraId="0287C238"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MROH2A | NP_115826.3 | 25.4% | 52–1119 | 62–1135 | 2.0×10⁻⁷³ | **~587** | **~636** |</w:t>
      </w:r>
    </w:p>
    <w:p w14:paraId="2D32809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MROH5 | NP_997297.2 | 21.1% | 592–1120 | 240–819 | 2.4×10⁻¹¹ | outside hit | **~274** |</w:t>
      </w:r>
    </w:p>
    <w:p w14:paraId="057BD4B6"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2DBF267" w14:textId="12A73B88"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MROH5's query range begins at residue 592, so chicken canonical position 574</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falls outside this hit and cannot be mapped. All four MROH family members show</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conservation of HEAT repeat structure across these positions, though the low</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sequence identity (21–27%) limits functional inference.</w:t>
      </w:r>
    </w:p>
    <w:p w14:paraId="62F07AC8" w14:textId="34A389E1"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Note: N-Terminal Phospho-Tyr (Human Position 34)</w:t>
      </w:r>
    </w:p>
    <w:p w14:paraId="13D5CCA6" w14:textId="28340A9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A previously reported phosphorylation site (phospho-Tyr) at human MROH2B</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position 34 is entirely **distinct** from the BEB positively selected sites.</w:t>
      </w:r>
    </w:p>
    <w:p w14:paraId="5A3BC5B3" w14:textId="5D0FA3F4"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The human–chicken BLASTp alignment does not begin until chicken residue 51</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(human residue 29), so human position 34 corresponds to approximately **chicken</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canonical position 56**. The two BEB sites (chicken 574 and 623) are located</w:t>
      </w:r>
    </w:p>
    <w:p w14:paraId="421C5CBD"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~500 residues downstream of this N-terminal regulatory region.</w:t>
      </w:r>
    </w:p>
    <w:p w14:paraId="6D6B6DF1" w14:textId="6E99785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MROH2B is also known as SPIF (Sperm PKA-Interacting Factor; Stanger et al.,</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2016, *FASEB J.*, PMID 27105888). The Spif-L isoform contains a PKA</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phosphorylation motif (RRxS/T) near the N-terminus that is absent in the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shorter Spif-S isoform. This N-terminal region is not implicated by the BEB</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analysis; the positively selected sites are mid-protein and likely lie within</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or between HEAT repeats whose specific functional assignments are not yet</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characterized.</w:t>
      </w:r>
    </w:p>
    <w:p w14:paraId="4F3B3D3A" w14:textId="10A9F7E0"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w:t>
      </w:r>
    </w:p>
    <w:p w14:paraId="18612AF3" w14:textId="6396F941"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Interpreting Results</w:t>
      </w:r>
    </w:p>
    <w:p w14:paraId="3576343C" w14:textId="510FEA0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The 47 MROH2B copies span a range from near-canonical to heavily truncated,</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reflecting the retrogene proliferation history. The codon model ω should be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interpreted in light of this:</w:t>
      </w:r>
    </w:p>
    <w:p w14:paraId="362EFC0F" w14:textId="0F12684A"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**ω &lt; 1 globally (M0):** Purifying selection — gene function is being</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maintained across the family</w:t>
      </w:r>
    </w:p>
    <w:p w14:paraId="43888BE3"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**ω ≈ 0.5–0.9:** Moderate purifying selection; many copies may be functional</w:t>
      </w:r>
    </w:p>
    <w:p w14:paraId="7B1DBD0A" w14:textId="7AE01302"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**ω &gt; 1 globally:** Relaxed/absent purifying selection; copies are</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pseudogenizing; positive selection is also possible</w:t>
      </w:r>
    </w:p>
    <w:p w14:paraId="7F239919" w14:textId="7C9C9FC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**Significant LRT1 or LRT2 + BEB sites:** A subset of amino acid sites has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experienced positive (diversifying) selection</w:t>
      </w:r>
    </w:p>
    <w:p w14:paraId="63E68776" w14:textId="0E18C89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Given the neofunctionalization events and the diversity of coverage levels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(33%–98% of canonical), the cleandata=1 PAML run will focus on well-covered</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columns. If usable sites are too few, consider using cleandata=0 or filtering</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the 40-sequence set to better-covered loci only.</w:t>
      </w:r>
    </w:p>
    <w:p w14:paraId="5B8FB098" w14:textId="67D3600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lastRenderedPageBreak/>
        <w:t>---</w:t>
      </w:r>
    </w:p>
    <w:p w14:paraId="09180497" w14:textId="3317E853"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 Troubleshooting</w:t>
      </w:r>
    </w:p>
    <w:p w14:paraId="12471EC2" w14:textId="10AD0A4B"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**"Too few usable codons" in PAML:** The current dataset has ~50 codons</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present in all 40 sequences (cleandata=1). This is sufficient but conservative.</w:t>
      </w:r>
    </w:p>
    <w:p w14:paraId="59DDEE8E" w14:textId="346E4E7D"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Options: (1) use `cleandata=0` in codeml control files; (2) restrict to</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loci with ≥70% canonical coverage; (3) examine `alignment_stats_mafft.tsv`</w:t>
      </w:r>
      <w:r w:rsidR="00837B29"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to identify and optionally remove very sparse sequences.</w:t>
      </w:r>
    </w:p>
    <w:p w14:paraId="3215A4D7" w14:textId="77777777"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**MAFFT not found:** Install via `brew install mafft` or</w:t>
      </w:r>
    </w:p>
    <w:p w14:paraId="5022F4E2" w14:textId="06C5D0E1"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`conda install -c bioconda mafft`. Step 2a (pure-Python NW) is a valid fallback.</w:t>
      </w:r>
    </w:p>
    <w:p w14:paraId="321ABD8A" w14:textId="4493287F" w:rsidR="00066CC8" w:rsidRPr="00A71CE4" w:rsidRDefault="00066CC8" w:rsidP="00066CC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A71CE4">
        <w:rPr>
          <w:rFonts w:ascii="Times New Roman" w:eastAsia="Times New Roman" w:hAnsi="Times New Roman" w:cs="Times New Roman"/>
          <w:b/>
          <w:bCs/>
          <w:kern w:val="0"/>
          <w14:ligatures w14:val="none"/>
        </w:rPr>
        <w:t>**codeml not found:** Install via `conda install -c bioconda paml`. Step 4</w:t>
      </w:r>
      <w:r w:rsidR="009E2EA4"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will write `.ctl` control files that you can run manually with</w:t>
      </w:r>
      <w:r w:rsidR="009E2EA4"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`codeml M0.ctl` etc.</w:t>
      </w:r>
    </w:p>
    <w:p w14:paraId="3BC86F17" w14:textId="77777777" w:rsidR="009E2EA4" w:rsidRDefault="00066CC8" w:rsidP="00066C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1CE4">
        <w:rPr>
          <w:rFonts w:ascii="Times New Roman" w:eastAsia="Times New Roman" w:hAnsi="Times New Roman" w:cs="Times New Roman"/>
          <w:b/>
          <w:bCs/>
          <w:kern w:val="0"/>
          <w14:ligatures w14:val="none"/>
        </w:rPr>
        <w:t>**IQ-TREE fails on PHYLIP:** Ensure the `.phy` file was produced by this</w:t>
      </w:r>
      <w:r w:rsidR="009E2EA4"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pipeline (PHYLIP interleaved, sequence names ≤30 chars). Alternatively pass</w:t>
      </w:r>
      <w:r w:rsidR="009E2EA4" w:rsidRPr="00A71CE4">
        <w:rPr>
          <w:rFonts w:ascii="Times New Roman" w:eastAsia="Times New Roman" w:hAnsi="Times New Roman" w:cs="Times New Roman"/>
          <w:b/>
          <w:bCs/>
          <w:kern w:val="0"/>
          <w14:ligatures w14:val="none"/>
        </w:rPr>
        <w:t xml:space="preserve"> </w:t>
      </w:r>
      <w:r w:rsidRPr="00A71CE4">
        <w:rPr>
          <w:rFonts w:ascii="Times New Roman" w:eastAsia="Times New Roman" w:hAnsi="Times New Roman" w:cs="Times New Roman"/>
          <w:b/>
          <w:bCs/>
          <w:kern w:val="0"/>
          <w14:ligatures w14:val="none"/>
        </w:rPr>
        <w:t>the `.fasta` file directly: `iqtree2 -s codon_aln_mafft.fasta ...`</w:t>
      </w:r>
      <w:r w:rsidR="00530973" w:rsidRPr="00A71CE4">
        <w:rPr>
          <w:rFonts w:ascii="Times New Roman" w:eastAsia="Times New Roman" w:hAnsi="Times New Roman" w:cs="Times New Roman"/>
          <w:b/>
          <w:bCs/>
          <w:kern w:val="0"/>
          <w14:ligatures w14:val="none"/>
        </w:rPr>
        <w:t>MROH2B dN/dS</w:t>
      </w:r>
      <w:r w:rsidR="00530973" w:rsidRPr="00530973">
        <w:rPr>
          <w:rFonts w:ascii="Times New Roman" w:eastAsia="Times New Roman" w:hAnsi="Times New Roman" w:cs="Times New Roman"/>
          <w:b/>
          <w:bCs/>
          <w:kern w:val="0"/>
          <w:sz w:val="36"/>
          <w:szCs w:val="36"/>
          <w14:ligatures w14:val="none"/>
        </w:rPr>
        <w:t xml:space="preserve"> </w:t>
      </w:r>
    </w:p>
    <w:p w14:paraId="1877A464" w14:textId="45DC9EE4" w:rsidR="00530973" w:rsidRPr="00530973" w:rsidRDefault="00530973" w:rsidP="00066C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0973">
        <w:rPr>
          <w:rFonts w:ascii="Times New Roman" w:eastAsia="Times New Roman" w:hAnsi="Times New Roman" w:cs="Times New Roman"/>
          <w:b/>
          <w:bCs/>
          <w:kern w:val="0"/>
          <w:sz w:val="36"/>
          <w:szCs w:val="36"/>
          <w14:ligatures w14:val="none"/>
        </w:rPr>
        <w:t>Pipeline — Summary</w:t>
      </w:r>
    </w:p>
    <w:p w14:paraId="40EA4946" w14:textId="77777777" w:rsidR="00530973" w:rsidRPr="00530973" w:rsidRDefault="00530973" w:rsidP="00530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0973">
        <w:rPr>
          <w:rFonts w:ascii="Times New Roman" w:eastAsia="Times New Roman" w:hAnsi="Times New Roman" w:cs="Times New Roman"/>
          <w:b/>
          <w:bCs/>
          <w:kern w:val="0"/>
          <w:sz w:val="27"/>
          <w:szCs w:val="27"/>
          <w14:ligatures w14:val="none"/>
        </w:rPr>
        <w:t>Biological Question</w:t>
      </w:r>
    </w:p>
    <w:p w14:paraId="7709DE10"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MROH2B has proliferated across the chicken genome (</w:t>
      </w:r>
      <w:r w:rsidRPr="00530973">
        <w:rPr>
          <w:rFonts w:ascii="Times New Roman" w:eastAsia="Times New Roman" w:hAnsi="Times New Roman" w:cs="Times New Roman"/>
          <w:i/>
          <w:iCs/>
          <w:kern w:val="0"/>
          <w14:ligatures w14:val="none"/>
        </w:rPr>
        <w:t>Gallus gallus</w:t>
      </w:r>
      <w:r w:rsidRPr="00530973">
        <w:rPr>
          <w:rFonts w:ascii="Times New Roman" w:eastAsia="Times New Roman" w:hAnsi="Times New Roman" w:cs="Times New Roman"/>
          <w:kern w:val="0"/>
          <w14:ligatures w14:val="none"/>
        </w:rPr>
        <w:t xml:space="preserve"> GRCg7b / bGalGal1) through retrotransposition, producing 47 genomic copies. The goal was to determine whether these copies are under positive, neutral, or purifying selection using PAML codeml site models — and to identify specific amino acid sites driving that signal.</w:t>
      </w:r>
    </w:p>
    <w:p w14:paraId="509911A2" w14:textId="77777777" w:rsidR="00530973" w:rsidRPr="00530973" w:rsidRDefault="00E26E50" w:rsidP="00530973">
      <w:pPr>
        <w:spacing w:after="0" w:line="240" w:lineRule="auto"/>
        <w:rPr>
          <w:rFonts w:ascii="Times New Roman" w:eastAsia="Times New Roman" w:hAnsi="Times New Roman" w:cs="Times New Roman"/>
          <w:kern w:val="0"/>
          <w14:ligatures w14:val="none"/>
        </w:rPr>
      </w:pPr>
      <w:r>
        <w:rPr>
          <w:noProof/>
        </w:rPr>
      </w:r>
      <w:r>
        <w:pict w14:anchorId="3EEC1D06">
          <v:rect id="Horizontal Line 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465D6E" w14:textId="77777777" w:rsidR="00530973" w:rsidRPr="00530973" w:rsidRDefault="00530973" w:rsidP="00530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0973">
        <w:rPr>
          <w:rFonts w:ascii="Times New Roman" w:eastAsia="Times New Roman" w:hAnsi="Times New Roman" w:cs="Times New Roman"/>
          <w:b/>
          <w:bCs/>
          <w:kern w:val="0"/>
          <w:sz w:val="27"/>
          <w:szCs w:val="27"/>
          <w14:ligatures w14:val="none"/>
        </w:rPr>
        <w:t>Input Files</w:t>
      </w:r>
    </w:p>
    <w:p w14:paraId="757AF5D0"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 xml:space="preserve">1. tBLASTn hits — </w:t>
      </w:r>
      <w:r w:rsidRPr="00530973">
        <w:rPr>
          <w:rFonts w:ascii="Courier New" w:eastAsia="Times New Roman" w:hAnsi="Courier New" w:cs="Courier New"/>
          <w:b/>
          <w:bCs/>
          <w:kern w:val="0"/>
          <w:sz w:val="20"/>
          <w:szCs w:val="20"/>
          <w14:ligatures w14:val="none"/>
        </w:rPr>
        <w:t>MROH2B tBLASTn Gallus gallus mat_broiler.txt</w:t>
      </w:r>
      <w:r w:rsidRPr="00530973">
        <w:rPr>
          <w:rFonts w:ascii="Times New Roman" w:eastAsia="Times New Roman" w:hAnsi="Times New Roman" w:cs="Times New Roman"/>
          <w:kern w:val="0"/>
          <w14:ligatures w14:val="none"/>
        </w:rPr>
        <w:t xml:space="preserve"> The canonical MROH2B protein (XP_040509319.1, 1,122 aa) was used as a query in tBLASTn against the whole </w:t>
      </w:r>
      <w:r w:rsidRPr="00530973">
        <w:rPr>
          <w:rFonts w:ascii="Times New Roman" w:eastAsia="Times New Roman" w:hAnsi="Times New Roman" w:cs="Times New Roman"/>
          <w:i/>
          <w:iCs/>
          <w:kern w:val="0"/>
          <w14:ligatures w14:val="none"/>
        </w:rPr>
        <w:t>Gallus gallus</w:t>
      </w:r>
      <w:r w:rsidRPr="00530973">
        <w:rPr>
          <w:rFonts w:ascii="Times New Roman" w:eastAsia="Times New Roman" w:hAnsi="Times New Roman" w:cs="Times New Roman"/>
          <w:kern w:val="0"/>
          <w14:ligatures w14:val="none"/>
        </w:rPr>
        <w:t xml:space="preserve"> genome assembly. This returned 1,115 exon-fragment hits distributed across all 47 copies. Each hit is a short nucleotide fragment (a single exon or partial exon) with a FASTA header encoding its genomic coordinates and strand. These fragments are the raw material for CDS reconstruction at each locus.</w:t>
      </w:r>
    </w:p>
    <w:p w14:paraId="093516E4"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 xml:space="preserve">2. BLASTn 41-mer probe hits — </w:t>
      </w:r>
      <w:r w:rsidRPr="00530973">
        <w:rPr>
          <w:rFonts w:ascii="Courier New" w:eastAsia="Times New Roman" w:hAnsi="Courier New" w:cs="Courier New"/>
          <w:b/>
          <w:bCs/>
          <w:kern w:val="0"/>
          <w:sz w:val="20"/>
          <w:szCs w:val="20"/>
          <w14:ligatures w14:val="none"/>
        </w:rPr>
        <w:t>MROH2B exon 41 mer V70EEPJ8016-Alignment.txt</w:t>
      </w:r>
      <w:r w:rsidRPr="00530973">
        <w:rPr>
          <w:rFonts w:ascii="Times New Roman" w:eastAsia="Times New Roman" w:hAnsi="Times New Roman" w:cs="Times New Roman"/>
          <w:kern w:val="0"/>
          <w14:ligatures w14:val="none"/>
        </w:rPr>
        <w:t xml:space="preserve"> A conserved 41-nucleotide probe from a 3'-proximal exon of MROH2B was BLASTn'd against the genome in tabular format. This returned exactly 47 hits, one per locus, providing a precise </w:t>
      </w:r>
      <w:r w:rsidRPr="00530973">
        <w:rPr>
          <w:rFonts w:ascii="Times New Roman" w:eastAsia="Times New Roman" w:hAnsi="Times New Roman" w:cs="Times New Roman"/>
          <w:kern w:val="0"/>
          <w14:ligatures w14:val="none"/>
        </w:rPr>
        <w:lastRenderedPageBreak/>
        <w:t>anchor coordinate for each copy. These anchors define the centre of the search window used to assign tBLASTn fragments to loci (12 kb window for retrogene copies on chr1 and scaffolds; 200 kb for the canonical locus on chr41 to accommodate introns).</w:t>
      </w:r>
    </w:p>
    <w:p w14:paraId="54BBD2B6"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 xml:space="preserve">3. Annotated protein sequences — </w:t>
      </w:r>
      <w:r w:rsidRPr="00530973">
        <w:rPr>
          <w:rFonts w:ascii="Courier New" w:eastAsia="Times New Roman" w:hAnsi="Courier New" w:cs="Courier New"/>
          <w:b/>
          <w:bCs/>
          <w:kern w:val="0"/>
          <w:sz w:val="20"/>
          <w:szCs w:val="20"/>
          <w14:ligatures w14:val="none"/>
        </w:rPr>
        <w:t>Chicken MROH2B protein sequences/</w:t>
      </w:r>
      <w:r w:rsidRPr="00530973">
        <w:rPr>
          <w:rFonts w:ascii="Times New Roman" w:eastAsia="Times New Roman" w:hAnsi="Times New Roman" w:cs="Times New Roman"/>
          <w:b/>
          <w:bCs/>
          <w:kern w:val="0"/>
          <w14:ligatures w14:val="none"/>
        </w:rPr>
        <w:t xml:space="preserve"> folder</w:t>
      </w:r>
      <w:r w:rsidRPr="00530973">
        <w:rPr>
          <w:rFonts w:ascii="Times New Roman" w:eastAsia="Times New Roman" w:hAnsi="Times New Roman" w:cs="Times New Roman"/>
          <w:kern w:val="0"/>
          <w14:ligatures w14:val="none"/>
        </w:rPr>
        <w:t xml:space="preserve"> 62 protein FASTA files downloaded from NCBI, covering 61 protein-coding gene models derived from MROH2B loci: 53 annotated as MROH2B, 6 as MROH2A, and 2 as MROH1. One XR_ accession (ncRNA) was excluded. These are used as ground-truth protein sequences to guide CDS reconstruction at the 14 annotated loci, and to identify neofunctionalized loci where a single ancestral ORF has split into multiple smaller annotated genes.</w:t>
      </w:r>
    </w:p>
    <w:p w14:paraId="448F7E90" w14:textId="77777777" w:rsidR="00530973" w:rsidRPr="00530973" w:rsidRDefault="00E26E50" w:rsidP="00530973">
      <w:pPr>
        <w:spacing w:after="0" w:line="240" w:lineRule="auto"/>
        <w:rPr>
          <w:rFonts w:ascii="Times New Roman" w:eastAsia="Times New Roman" w:hAnsi="Times New Roman" w:cs="Times New Roman"/>
          <w:kern w:val="0"/>
          <w14:ligatures w14:val="none"/>
        </w:rPr>
      </w:pPr>
      <w:r>
        <w:rPr>
          <w:noProof/>
        </w:rPr>
      </w:r>
      <w:r>
        <w:pict w14:anchorId="0AFB133D">
          <v:rect id="Horizontal Line 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F72A1C" w14:textId="77777777" w:rsidR="00530973" w:rsidRPr="00530973" w:rsidRDefault="00530973" w:rsidP="00530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0973">
        <w:rPr>
          <w:rFonts w:ascii="Times New Roman" w:eastAsia="Times New Roman" w:hAnsi="Times New Roman" w:cs="Times New Roman"/>
          <w:b/>
          <w:bCs/>
          <w:kern w:val="0"/>
          <w:sz w:val="27"/>
          <w:szCs w:val="27"/>
          <w14:ligatures w14:val="none"/>
        </w:rPr>
        <w:t>The Neofunctionalization Problem and Solution</w:t>
      </w:r>
    </w:p>
    <w:p w14:paraId="58175F2B"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The complication:</w:t>
      </w:r>
      <w:r w:rsidRPr="00530973">
        <w:rPr>
          <w:rFonts w:ascii="Times New Roman" w:eastAsia="Times New Roman" w:hAnsi="Times New Roman" w:cs="Times New Roman"/>
          <w:kern w:val="0"/>
          <w14:ligatures w14:val="none"/>
        </w:rPr>
        <w:t xml:space="preserve"> At 4 of the 47 loci, the retrogene copy has not remained as a single gene. Instead, the original ORF has split into 2–3 separate protein-coding genes that are individually annotated under different gene symbols — MROH1, MROH2A, or MROH2B — each covering a non-overlapping region of the ancestral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5969"/>
        <w:gridCol w:w="1782"/>
      </w:tblGrid>
      <w:tr w:rsidR="00530973" w:rsidRPr="00530973" w14:paraId="637EDBA5" w14:textId="77777777">
        <w:trPr>
          <w:tblHeader/>
          <w:tblCellSpacing w:w="15" w:type="dxa"/>
        </w:trPr>
        <w:tc>
          <w:tcPr>
            <w:tcW w:w="0" w:type="auto"/>
            <w:vAlign w:val="center"/>
            <w:hideMark/>
          </w:tcPr>
          <w:p w14:paraId="13AADD26"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Locus</w:t>
            </w:r>
          </w:p>
        </w:tc>
        <w:tc>
          <w:tcPr>
            <w:tcW w:w="0" w:type="auto"/>
            <w:vAlign w:val="center"/>
            <w:hideMark/>
          </w:tcPr>
          <w:p w14:paraId="1CF2BD32"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Annotated genes (in canonical order)</w:t>
            </w:r>
          </w:p>
        </w:tc>
        <w:tc>
          <w:tcPr>
            <w:tcW w:w="0" w:type="auto"/>
            <w:vAlign w:val="center"/>
            <w:hideMark/>
          </w:tcPr>
          <w:p w14:paraId="2750D818"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Canon. coverage</w:t>
            </w:r>
          </w:p>
        </w:tc>
      </w:tr>
      <w:tr w:rsidR="00530973" w:rsidRPr="00530973" w14:paraId="45A9EC04" w14:textId="77777777">
        <w:trPr>
          <w:tblCellSpacing w:w="15" w:type="dxa"/>
        </w:trPr>
        <w:tc>
          <w:tcPr>
            <w:tcW w:w="0" w:type="auto"/>
            <w:vAlign w:val="center"/>
            <w:hideMark/>
          </w:tcPr>
          <w:p w14:paraId="14BD3B5C"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LOC001</w:t>
            </w:r>
          </w:p>
        </w:tc>
        <w:tc>
          <w:tcPr>
            <w:tcW w:w="0" w:type="auto"/>
            <w:vAlign w:val="center"/>
            <w:hideMark/>
          </w:tcPr>
          <w:p w14:paraId="3A9AF9E9"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MROH2B (XP_040511821.1) + MROH1 (XP_040508977.1)</w:t>
            </w:r>
          </w:p>
        </w:tc>
        <w:tc>
          <w:tcPr>
            <w:tcW w:w="0" w:type="auto"/>
            <w:vAlign w:val="center"/>
            <w:hideMark/>
          </w:tcPr>
          <w:p w14:paraId="6672300A"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72.5%</w:t>
            </w:r>
          </w:p>
        </w:tc>
      </w:tr>
      <w:tr w:rsidR="00530973" w:rsidRPr="00530973" w14:paraId="03454E98" w14:textId="77777777">
        <w:trPr>
          <w:tblCellSpacing w:w="15" w:type="dxa"/>
        </w:trPr>
        <w:tc>
          <w:tcPr>
            <w:tcW w:w="0" w:type="auto"/>
            <w:vAlign w:val="center"/>
            <w:hideMark/>
          </w:tcPr>
          <w:p w14:paraId="22D01D03"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LOC021</w:t>
            </w:r>
          </w:p>
        </w:tc>
        <w:tc>
          <w:tcPr>
            <w:tcW w:w="0" w:type="auto"/>
            <w:vAlign w:val="center"/>
            <w:hideMark/>
          </w:tcPr>
          <w:p w14:paraId="24F5C17A"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MROH2B + MROH2B (two non-overlapping fragments)</w:t>
            </w:r>
          </w:p>
        </w:tc>
        <w:tc>
          <w:tcPr>
            <w:tcW w:w="0" w:type="auto"/>
            <w:vAlign w:val="center"/>
            <w:hideMark/>
          </w:tcPr>
          <w:p w14:paraId="030C2071"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47.3%</w:t>
            </w:r>
          </w:p>
        </w:tc>
      </w:tr>
      <w:tr w:rsidR="00530973" w:rsidRPr="00530973" w14:paraId="48B82626" w14:textId="77777777">
        <w:trPr>
          <w:tblCellSpacing w:w="15" w:type="dxa"/>
        </w:trPr>
        <w:tc>
          <w:tcPr>
            <w:tcW w:w="0" w:type="auto"/>
            <w:vAlign w:val="center"/>
            <w:hideMark/>
          </w:tcPr>
          <w:p w14:paraId="14E4D1E6"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LOC026</w:t>
            </w:r>
          </w:p>
        </w:tc>
        <w:tc>
          <w:tcPr>
            <w:tcW w:w="0" w:type="auto"/>
            <w:vAlign w:val="center"/>
            <w:hideMark/>
          </w:tcPr>
          <w:p w14:paraId="29552344"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MROH2B + MROH2B</w:t>
            </w:r>
          </w:p>
        </w:tc>
        <w:tc>
          <w:tcPr>
            <w:tcW w:w="0" w:type="auto"/>
            <w:vAlign w:val="center"/>
            <w:hideMark/>
          </w:tcPr>
          <w:p w14:paraId="4236BB31"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53.3%</w:t>
            </w:r>
          </w:p>
        </w:tc>
      </w:tr>
      <w:tr w:rsidR="00530973" w:rsidRPr="00530973" w14:paraId="031CEE51" w14:textId="77777777">
        <w:trPr>
          <w:tblCellSpacing w:w="15" w:type="dxa"/>
        </w:trPr>
        <w:tc>
          <w:tcPr>
            <w:tcW w:w="0" w:type="auto"/>
            <w:vAlign w:val="center"/>
            <w:hideMark/>
          </w:tcPr>
          <w:p w14:paraId="5B9C4BC8"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LOC041</w:t>
            </w:r>
          </w:p>
        </w:tc>
        <w:tc>
          <w:tcPr>
            <w:tcW w:w="0" w:type="auto"/>
            <w:vAlign w:val="center"/>
            <w:hideMark/>
          </w:tcPr>
          <w:p w14:paraId="1614188B"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MROH2A + MROH2A + MROH2B</w:t>
            </w:r>
          </w:p>
        </w:tc>
        <w:tc>
          <w:tcPr>
            <w:tcW w:w="0" w:type="auto"/>
            <w:vAlign w:val="center"/>
            <w:hideMark/>
          </w:tcPr>
          <w:p w14:paraId="1BFE3AA8"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55.3%</w:t>
            </w:r>
          </w:p>
        </w:tc>
      </w:tr>
    </w:tbl>
    <w:p w14:paraId="07EF3E25"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The solution — per-locus concatenation:</w:t>
      </w:r>
      <w:r w:rsidRPr="00530973">
        <w:rPr>
          <w:rFonts w:ascii="Times New Roman" w:eastAsia="Times New Roman" w:hAnsi="Times New Roman" w:cs="Times New Roman"/>
          <w:kern w:val="0"/>
          <w14:ligatures w14:val="none"/>
        </w:rPr>
        <w:t xml:space="preserve"> Each sub-gene protein is first mapped to canonical-protein coordinates using Needleman-Wunsch alignment (BLOSUM62) against XP_040509319.1. The sub-genes are then sorted by their canonical start position and concatenated — protein sequences first, then the matching CDS — to reconstruct a single "virtual ancestral ORF" per locus. This treats the neofunctionalized locus as a single evolutionary unit equivalent to one full-length copy, preserving comparability across all 47 loci. Isoforms of the same gene type with ≥70% overlapping canonical coverage are collapsed to the longest, so only genuinely non-overlapping sub-genes are concatenated.</w:t>
      </w:r>
    </w:p>
    <w:p w14:paraId="002FC513" w14:textId="77777777" w:rsidR="00530973" w:rsidRPr="00530973" w:rsidRDefault="00E26E50" w:rsidP="00530973">
      <w:pPr>
        <w:spacing w:after="0" w:line="240" w:lineRule="auto"/>
        <w:rPr>
          <w:rFonts w:ascii="Times New Roman" w:eastAsia="Times New Roman" w:hAnsi="Times New Roman" w:cs="Times New Roman"/>
          <w:kern w:val="0"/>
          <w14:ligatures w14:val="none"/>
        </w:rPr>
      </w:pPr>
      <w:r>
        <w:rPr>
          <w:noProof/>
        </w:rPr>
      </w:r>
      <w:r>
        <w:pict w14:anchorId="66D49E0A">
          <v:rect id="Horizontal Line 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A813C7" w14:textId="77777777" w:rsidR="00530973" w:rsidRPr="00530973" w:rsidRDefault="00530973" w:rsidP="00530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0973">
        <w:rPr>
          <w:rFonts w:ascii="Times New Roman" w:eastAsia="Times New Roman" w:hAnsi="Times New Roman" w:cs="Times New Roman"/>
          <w:b/>
          <w:bCs/>
          <w:kern w:val="0"/>
          <w:sz w:val="27"/>
          <w:szCs w:val="27"/>
          <w14:ligatures w14:val="none"/>
        </w:rPr>
        <w:t>CDS Reconstruction Strategy</w:t>
      </w:r>
    </w:p>
    <w:p w14:paraId="220B987C"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 xml:space="preserve">For each locus, the tBLASTn exon fragments are reconstructed into a continuous CDS using </w:t>
      </w:r>
      <w:r w:rsidRPr="00530973">
        <w:rPr>
          <w:rFonts w:ascii="Times New Roman" w:eastAsia="Times New Roman" w:hAnsi="Times New Roman" w:cs="Times New Roman"/>
          <w:b/>
          <w:bCs/>
          <w:kern w:val="0"/>
          <w14:ligatures w14:val="none"/>
        </w:rPr>
        <w:t>protein-guided frame selection</w:t>
      </w:r>
      <w:r w:rsidRPr="00530973">
        <w:rPr>
          <w:rFonts w:ascii="Times New Roman" w:eastAsia="Times New Roman" w:hAnsi="Times New Roman" w:cs="Times New Roman"/>
          <w:kern w:val="0"/>
          <w14:ligatures w14:val="none"/>
        </w:rPr>
        <w:t>:</w:t>
      </w:r>
    </w:p>
    <w:p w14:paraId="31E58A31" w14:textId="77777777" w:rsidR="00530973" w:rsidRPr="00530973" w:rsidRDefault="00530973" w:rsidP="005309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For each tBLASTn fragment, all three reading frames are translated</w:t>
      </w:r>
    </w:p>
    <w:p w14:paraId="4DF335AB" w14:textId="77777777" w:rsidR="00530973" w:rsidRPr="00530973" w:rsidRDefault="00530973" w:rsidP="005309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The frame whose translation has the best k-mer match (k=5) against the target protein is selected</w:t>
      </w:r>
    </w:p>
    <w:p w14:paraId="065EBFFC" w14:textId="77777777" w:rsidR="00530973" w:rsidRPr="00530973" w:rsidRDefault="00530973" w:rsidP="005309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lastRenderedPageBreak/>
        <w:t>The in-frame nucleotides are extracted and sorted by protein position</w:t>
      </w:r>
    </w:p>
    <w:p w14:paraId="7BF7D85F" w14:textId="77777777" w:rsidR="00530973" w:rsidRPr="00530973" w:rsidRDefault="00530973" w:rsidP="005309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Fragments are concatenated to produce the locus CDS</w:t>
      </w:r>
    </w:p>
    <w:p w14:paraId="6E34ACB2"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 xml:space="preserve">For the </w:t>
      </w:r>
      <w:r w:rsidRPr="00530973">
        <w:rPr>
          <w:rFonts w:ascii="Times New Roman" w:eastAsia="Times New Roman" w:hAnsi="Times New Roman" w:cs="Times New Roman"/>
          <w:b/>
          <w:bCs/>
          <w:kern w:val="0"/>
          <w14:ligatures w14:val="none"/>
        </w:rPr>
        <w:t>14 annotated loci</w:t>
      </w:r>
      <w:r w:rsidRPr="00530973">
        <w:rPr>
          <w:rFonts w:ascii="Times New Roman" w:eastAsia="Times New Roman" w:hAnsi="Times New Roman" w:cs="Times New Roman"/>
          <w:kern w:val="0"/>
          <w14:ligatures w14:val="none"/>
        </w:rPr>
        <w:t xml:space="preserve">, the guide protein is the annotated (or concatenated virtual) protein. For the </w:t>
      </w:r>
      <w:r w:rsidRPr="00530973">
        <w:rPr>
          <w:rFonts w:ascii="Times New Roman" w:eastAsia="Times New Roman" w:hAnsi="Times New Roman" w:cs="Times New Roman"/>
          <w:b/>
          <w:bCs/>
          <w:kern w:val="0"/>
          <w14:ligatures w14:val="none"/>
        </w:rPr>
        <w:t>33 unannotated loci</w:t>
      </w:r>
      <w:r w:rsidRPr="00530973">
        <w:rPr>
          <w:rFonts w:ascii="Times New Roman" w:eastAsia="Times New Roman" w:hAnsi="Times New Roman" w:cs="Times New Roman"/>
          <w:kern w:val="0"/>
          <w14:ligatures w14:val="none"/>
        </w:rPr>
        <w:t xml:space="preserve">, the canonical protein XP_040509319.1 serves as the guide. This approach eliminates false stop codons that arise from frame errors — the previous tBLASTn-only approach produced numerous false stops; the protein-guided approach gave </w:t>
      </w:r>
      <w:r w:rsidRPr="00530973">
        <w:rPr>
          <w:rFonts w:ascii="Times New Roman" w:eastAsia="Times New Roman" w:hAnsi="Times New Roman" w:cs="Times New Roman"/>
          <w:b/>
          <w:bCs/>
          <w:kern w:val="0"/>
          <w14:ligatures w14:val="none"/>
        </w:rPr>
        <w:t>zero internal stop codons</w:t>
      </w:r>
      <w:r w:rsidRPr="00530973">
        <w:rPr>
          <w:rFonts w:ascii="Times New Roman" w:eastAsia="Times New Roman" w:hAnsi="Times New Roman" w:cs="Times New Roman"/>
          <w:kern w:val="0"/>
          <w14:ligatures w14:val="none"/>
        </w:rPr>
        <w:t xml:space="preserve"> across all 47 loci.</w:t>
      </w:r>
    </w:p>
    <w:p w14:paraId="75D20FFD" w14:textId="77777777" w:rsidR="00530973" w:rsidRPr="00530973" w:rsidRDefault="00E26E50" w:rsidP="00530973">
      <w:pPr>
        <w:spacing w:after="0" w:line="240" w:lineRule="auto"/>
        <w:rPr>
          <w:rFonts w:ascii="Times New Roman" w:eastAsia="Times New Roman" w:hAnsi="Times New Roman" w:cs="Times New Roman"/>
          <w:kern w:val="0"/>
          <w14:ligatures w14:val="none"/>
        </w:rPr>
      </w:pPr>
      <w:r>
        <w:rPr>
          <w:noProof/>
        </w:rPr>
      </w:r>
      <w:r>
        <w:pict w14:anchorId="3CD46A67">
          <v:rect id="Horizontal Line 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BC4956" w14:textId="77777777" w:rsidR="00530973" w:rsidRPr="00530973" w:rsidRDefault="00530973" w:rsidP="00530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0973">
        <w:rPr>
          <w:rFonts w:ascii="Times New Roman" w:eastAsia="Times New Roman" w:hAnsi="Times New Roman" w:cs="Times New Roman"/>
          <w:b/>
          <w:bCs/>
          <w:kern w:val="0"/>
          <w:sz w:val="27"/>
          <w:szCs w:val="27"/>
          <w14:ligatures w14:val="none"/>
        </w:rPr>
        <w:t>Alignment and Tree</w:t>
      </w:r>
    </w:p>
    <w:p w14:paraId="5056156C"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 xml:space="preserve">Loci with ≥50% canonical coverage were retained, giving </w:t>
      </w:r>
      <w:r w:rsidRPr="00530973">
        <w:rPr>
          <w:rFonts w:ascii="Times New Roman" w:eastAsia="Times New Roman" w:hAnsi="Times New Roman" w:cs="Times New Roman"/>
          <w:b/>
          <w:bCs/>
          <w:kern w:val="0"/>
          <w14:ligatures w14:val="none"/>
        </w:rPr>
        <w:t>40 sequences</w:t>
      </w:r>
      <w:r w:rsidRPr="00530973">
        <w:rPr>
          <w:rFonts w:ascii="Times New Roman" w:eastAsia="Times New Roman" w:hAnsi="Times New Roman" w:cs="Times New Roman"/>
          <w:kern w:val="0"/>
          <w14:ligatures w14:val="none"/>
        </w:rPr>
        <w:t xml:space="preserve"> for PAML. CDS translations were aligned with </w:t>
      </w:r>
      <w:r w:rsidRPr="00530973">
        <w:rPr>
          <w:rFonts w:ascii="Times New Roman" w:eastAsia="Times New Roman" w:hAnsi="Times New Roman" w:cs="Times New Roman"/>
          <w:b/>
          <w:bCs/>
          <w:kern w:val="0"/>
          <w14:ligatures w14:val="none"/>
        </w:rPr>
        <w:t>MAFFT</w:t>
      </w:r>
      <w:r w:rsidRPr="00530973">
        <w:rPr>
          <w:rFonts w:ascii="Times New Roman" w:eastAsia="Times New Roman" w:hAnsi="Times New Roman" w:cs="Times New Roman"/>
          <w:kern w:val="0"/>
          <w14:ligatures w14:val="none"/>
        </w:rPr>
        <w:t xml:space="preserve"> (</w:t>
      </w:r>
      <w:r w:rsidRPr="00530973">
        <w:rPr>
          <w:rFonts w:ascii="Courier New" w:eastAsia="Times New Roman" w:hAnsi="Courier New" w:cs="Courier New"/>
          <w:kern w:val="0"/>
          <w:sz w:val="20"/>
          <w:szCs w:val="20"/>
          <w14:ligatures w14:val="none"/>
        </w:rPr>
        <w:t>--auto</w:t>
      </w:r>
      <w:r w:rsidRPr="00530973">
        <w:rPr>
          <w:rFonts w:ascii="Times New Roman" w:eastAsia="Times New Roman" w:hAnsi="Times New Roman" w:cs="Times New Roman"/>
          <w:kern w:val="0"/>
          <w14:ligatures w14:val="none"/>
        </w:rPr>
        <w:t xml:space="preserve">), then back-translated to a codon alignment (1,251 columns). A ML tree was built with </w:t>
      </w:r>
      <w:r w:rsidRPr="00530973">
        <w:rPr>
          <w:rFonts w:ascii="Times New Roman" w:eastAsia="Times New Roman" w:hAnsi="Times New Roman" w:cs="Times New Roman"/>
          <w:b/>
          <w:bCs/>
          <w:kern w:val="0"/>
          <w14:ligatures w14:val="none"/>
        </w:rPr>
        <w:t>IQ-TREE2</w:t>
      </w:r>
      <w:r w:rsidRPr="00530973">
        <w:rPr>
          <w:rFonts w:ascii="Times New Roman" w:eastAsia="Times New Roman" w:hAnsi="Times New Roman" w:cs="Times New Roman"/>
          <w:kern w:val="0"/>
          <w14:ligatures w14:val="none"/>
        </w:rPr>
        <w:t xml:space="preserve"> (GTR+G4, 1,000 ultrafast bootstrap replicates) and bootstrap values stripped for PAML.</w:t>
      </w:r>
    </w:p>
    <w:p w14:paraId="1180BE62" w14:textId="77777777" w:rsidR="00530973" w:rsidRPr="00530973" w:rsidRDefault="00E26E50" w:rsidP="00530973">
      <w:pPr>
        <w:spacing w:after="0" w:line="240" w:lineRule="auto"/>
        <w:rPr>
          <w:rFonts w:ascii="Times New Roman" w:eastAsia="Times New Roman" w:hAnsi="Times New Roman" w:cs="Times New Roman"/>
          <w:kern w:val="0"/>
          <w14:ligatures w14:val="none"/>
        </w:rPr>
      </w:pPr>
      <w:r>
        <w:rPr>
          <w:noProof/>
        </w:rPr>
      </w:r>
      <w:r>
        <w:pict w14:anchorId="06F80E91">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4F67C3" w14:textId="77777777" w:rsidR="007445A4" w:rsidRDefault="007445A4">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13146988" w14:textId="046D7C8A" w:rsidR="00530973" w:rsidRPr="00530973" w:rsidRDefault="00530973" w:rsidP="005309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0973">
        <w:rPr>
          <w:rFonts w:ascii="Times New Roman" w:eastAsia="Times New Roman" w:hAnsi="Times New Roman" w:cs="Times New Roman"/>
          <w:b/>
          <w:bCs/>
          <w:kern w:val="0"/>
          <w:sz w:val="27"/>
          <w:szCs w:val="27"/>
          <w14:ligatures w14:val="none"/>
        </w:rPr>
        <w:lastRenderedPageBreak/>
        <w:t>PAML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56"/>
        <w:gridCol w:w="327"/>
        <w:gridCol w:w="1820"/>
        <w:gridCol w:w="555"/>
      </w:tblGrid>
      <w:tr w:rsidR="00530973" w:rsidRPr="00530973" w14:paraId="08120C21" w14:textId="77777777">
        <w:trPr>
          <w:tblHeader/>
          <w:tblCellSpacing w:w="15" w:type="dxa"/>
        </w:trPr>
        <w:tc>
          <w:tcPr>
            <w:tcW w:w="0" w:type="auto"/>
            <w:vAlign w:val="center"/>
            <w:hideMark/>
          </w:tcPr>
          <w:p w14:paraId="1121352A"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Model</w:t>
            </w:r>
          </w:p>
        </w:tc>
        <w:tc>
          <w:tcPr>
            <w:tcW w:w="0" w:type="auto"/>
            <w:vAlign w:val="center"/>
            <w:hideMark/>
          </w:tcPr>
          <w:p w14:paraId="42014CEC"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lnL</w:t>
            </w:r>
          </w:p>
        </w:tc>
        <w:tc>
          <w:tcPr>
            <w:tcW w:w="0" w:type="auto"/>
            <w:vAlign w:val="center"/>
            <w:hideMark/>
          </w:tcPr>
          <w:p w14:paraId="46F0CA35"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np</w:t>
            </w:r>
          </w:p>
        </w:tc>
        <w:tc>
          <w:tcPr>
            <w:tcW w:w="0" w:type="auto"/>
            <w:vAlign w:val="center"/>
            <w:hideMark/>
          </w:tcPr>
          <w:p w14:paraId="1E8A303E" w14:textId="5C2578F6" w:rsidR="00530973" w:rsidRPr="00530973" w:rsidRDefault="007445A4" w:rsidP="007445A4">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530973" w:rsidRPr="00530973">
              <w:rPr>
                <w:rFonts w:ascii="Times New Roman" w:eastAsia="Times New Roman" w:hAnsi="Times New Roman" w:cs="Times New Roman"/>
                <w:b/>
                <w:bCs/>
                <w:kern w:val="0"/>
                <w14:ligatures w14:val="none"/>
              </w:rPr>
              <w:t>ω</w:t>
            </w:r>
          </w:p>
        </w:tc>
        <w:tc>
          <w:tcPr>
            <w:tcW w:w="0" w:type="auto"/>
            <w:vAlign w:val="center"/>
            <w:hideMark/>
          </w:tcPr>
          <w:p w14:paraId="36697DF6" w14:textId="77777777" w:rsidR="00530973" w:rsidRPr="00530973" w:rsidRDefault="00530973" w:rsidP="00530973">
            <w:pPr>
              <w:spacing w:after="0" w:line="240" w:lineRule="auto"/>
              <w:jc w:val="center"/>
              <w:rPr>
                <w:rFonts w:ascii="Times New Roman" w:eastAsia="Times New Roman" w:hAnsi="Times New Roman" w:cs="Times New Roman"/>
                <w:b/>
                <w:bCs/>
                <w:kern w:val="0"/>
                <w14:ligatures w14:val="none"/>
              </w:rPr>
            </w:pPr>
            <w:r w:rsidRPr="00530973">
              <w:rPr>
                <w:rFonts w:ascii="Times New Roman" w:eastAsia="Times New Roman" w:hAnsi="Times New Roman" w:cs="Times New Roman"/>
                <w:b/>
                <w:bCs/>
                <w:kern w:val="0"/>
                <w14:ligatures w14:val="none"/>
              </w:rPr>
              <w:t>κ</w:t>
            </w:r>
          </w:p>
        </w:tc>
      </w:tr>
      <w:tr w:rsidR="00530973" w:rsidRPr="00530973" w14:paraId="4D931407" w14:textId="77777777">
        <w:trPr>
          <w:tblCellSpacing w:w="15" w:type="dxa"/>
        </w:trPr>
        <w:tc>
          <w:tcPr>
            <w:tcW w:w="0" w:type="auto"/>
            <w:vAlign w:val="center"/>
            <w:hideMark/>
          </w:tcPr>
          <w:p w14:paraId="37680596"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M0</w:t>
            </w:r>
          </w:p>
        </w:tc>
        <w:tc>
          <w:tcPr>
            <w:tcW w:w="0" w:type="auto"/>
            <w:vAlign w:val="center"/>
            <w:hideMark/>
          </w:tcPr>
          <w:p w14:paraId="2CAB1CCA"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−1302.6</w:t>
            </w:r>
          </w:p>
        </w:tc>
        <w:tc>
          <w:tcPr>
            <w:tcW w:w="0" w:type="auto"/>
            <w:vAlign w:val="center"/>
            <w:hideMark/>
          </w:tcPr>
          <w:p w14:paraId="3B7C4E4B"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79</w:t>
            </w:r>
          </w:p>
        </w:tc>
        <w:tc>
          <w:tcPr>
            <w:tcW w:w="0" w:type="auto"/>
            <w:vAlign w:val="center"/>
            <w:hideMark/>
          </w:tcPr>
          <w:p w14:paraId="2AD47614" w14:textId="1CD49BEC"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0.483</w:t>
            </w:r>
          </w:p>
        </w:tc>
        <w:tc>
          <w:tcPr>
            <w:tcW w:w="0" w:type="auto"/>
            <w:vAlign w:val="center"/>
            <w:hideMark/>
          </w:tcPr>
          <w:p w14:paraId="33C2A725" w14:textId="236E6409"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2.60</w:t>
            </w:r>
          </w:p>
        </w:tc>
      </w:tr>
      <w:tr w:rsidR="00530973" w:rsidRPr="00530973" w14:paraId="1BDFA701" w14:textId="77777777">
        <w:trPr>
          <w:tblCellSpacing w:w="15" w:type="dxa"/>
        </w:trPr>
        <w:tc>
          <w:tcPr>
            <w:tcW w:w="0" w:type="auto"/>
            <w:vAlign w:val="center"/>
            <w:hideMark/>
          </w:tcPr>
          <w:p w14:paraId="1E74255D"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M1a</w:t>
            </w:r>
          </w:p>
        </w:tc>
        <w:tc>
          <w:tcPr>
            <w:tcW w:w="0" w:type="auto"/>
            <w:vAlign w:val="center"/>
            <w:hideMark/>
          </w:tcPr>
          <w:p w14:paraId="68CA2BF0"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−1286.9</w:t>
            </w:r>
          </w:p>
        </w:tc>
        <w:tc>
          <w:tcPr>
            <w:tcW w:w="0" w:type="auto"/>
            <w:vAlign w:val="center"/>
            <w:hideMark/>
          </w:tcPr>
          <w:p w14:paraId="2F047725"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80</w:t>
            </w:r>
          </w:p>
        </w:tc>
        <w:tc>
          <w:tcPr>
            <w:tcW w:w="0" w:type="auto"/>
            <w:vAlign w:val="center"/>
            <w:hideMark/>
          </w:tcPr>
          <w:p w14:paraId="595BA1ED" w14:textId="1BEE5ED7"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w:t>
            </w:r>
          </w:p>
        </w:tc>
        <w:tc>
          <w:tcPr>
            <w:tcW w:w="0" w:type="auto"/>
            <w:vAlign w:val="center"/>
            <w:hideMark/>
          </w:tcPr>
          <w:p w14:paraId="2B5FF8FC" w14:textId="30829681"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2.58</w:t>
            </w:r>
          </w:p>
        </w:tc>
      </w:tr>
      <w:tr w:rsidR="00530973" w:rsidRPr="00530973" w14:paraId="6A7DCB59" w14:textId="77777777">
        <w:trPr>
          <w:tblCellSpacing w:w="15" w:type="dxa"/>
        </w:trPr>
        <w:tc>
          <w:tcPr>
            <w:tcW w:w="0" w:type="auto"/>
            <w:vAlign w:val="center"/>
            <w:hideMark/>
          </w:tcPr>
          <w:p w14:paraId="6E168177"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M2a</w:t>
            </w:r>
          </w:p>
        </w:tc>
        <w:tc>
          <w:tcPr>
            <w:tcW w:w="0" w:type="auto"/>
            <w:vAlign w:val="center"/>
            <w:hideMark/>
          </w:tcPr>
          <w:p w14:paraId="7071A398"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−1273.9</w:t>
            </w:r>
          </w:p>
        </w:tc>
        <w:tc>
          <w:tcPr>
            <w:tcW w:w="0" w:type="auto"/>
            <w:vAlign w:val="center"/>
            <w:hideMark/>
          </w:tcPr>
          <w:p w14:paraId="529DF7AD"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82</w:t>
            </w:r>
          </w:p>
        </w:tc>
        <w:tc>
          <w:tcPr>
            <w:tcW w:w="0" w:type="auto"/>
            <w:vAlign w:val="center"/>
            <w:hideMark/>
          </w:tcPr>
          <w:p w14:paraId="113392A0" w14:textId="5BA7D83A"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9.86 (ω&gt;1 class)</w:t>
            </w:r>
          </w:p>
        </w:tc>
        <w:tc>
          <w:tcPr>
            <w:tcW w:w="0" w:type="auto"/>
            <w:vAlign w:val="center"/>
            <w:hideMark/>
          </w:tcPr>
          <w:p w14:paraId="028CB163" w14:textId="511F1557"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2.76</w:t>
            </w:r>
          </w:p>
        </w:tc>
      </w:tr>
      <w:tr w:rsidR="00530973" w:rsidRPr="00530973" w14:paraId="0FF0F8B5" w14:textId="77777777">
        <w:trPr>
          <w:tblCellSpacing w:w="15" w:type="dxa"/>
        </w:trPr>
        <w:tc>
          <w:tcPr>
            <w:tcW w:w="0" w:type="auto"/>
            <w:vAlign w:val="center"/>
            <w:hideMark/>
          </w:tcPr>
          <w:p w14:paraId="76EF11DD"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M7</w:t>
            </w:r>
          </w:p>
        </w:tc>
        <w:tc>
          <w:tcPr>
            <w:tcW w:w="0" w:type="auto"/>
            <w:vAlign w:val="center"/>
            <w:hideMark/>
          </w:tcPr>
          <w:p w14:paraId="4C8D37C8"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−1288.8</w:t>
            </w:r>
          </w:p>
        </w:tc>
        <w:tc>
          <w:tcPr>
            <w:tcW w:w="0" w:type="auto"/>
            <w:vAlign w:val="center"/>
            <w:hideMark/>
          </w:tcPr>
          <w:p w14:paraId="60A1CE18"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80</w:t>
            </w:r>
          </w:p>
        </w:tc>
        <w:tc>
          <w:tcPr>
            <w:tcW w:w="0" w:type="auto"/>
            <w:vAlign w:val="center"/>
            <w:hideMark/>
          </w:tcPr>
          <w:p w14:paraId="3A6C51C6" w14:textId="5E36FB51"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w:t>
            </w:r>
          </w:p>
        </w:tc>
        <w:tc>
          <w:tcPr>
            <w:tcW w:w="0" w:type="auto"/>
            <w:vAlign w:val="center"/>
            <w:hideMark/>
          </w:tcPr>
          <w:p w14:paraId="6889F7B6" w14:textId="3F3546FF"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2.60</w:t>
            </w:r>
          </w:p>
        </w:tc>
      </w:tr>
      <w:tr w:rsidR="00530973" w:rsidRPr="00530973" w14:paraId="48B6777E" w14:textId="77777777">
        <w:trPr>
          <w:tblCellSpacing w:w="15" w:type="dxa"/>
        </w:trPr>
        <w:tc>
          <w:tcPr>
            <w:tcW w:w="0" w:type="auto"/>
            <w:vAlign w:val="center"/>
            <w:hideMark/>
          </w:tcPr>
          <w:p w14:paraId="2A81E756"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M8</w:t>
            </w:r>
          </w:p>
        </w:tc>
        <w:tc>
          <w:tcPr>
            <w:tcW w:w="0" w:type="auto"/>
            <w:vAlign w:val="center"/>
            <w:hideMark/>
          </w:tcPr>
          <w:p w14:paraId="54948ED4"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−1273.2</w:t>
            </w:r>
          </w:p>
        </w:tc>
        <w:tc>
          <w:tcPr>
            <w:tcW w:w="0" w:type="auto"/>
            <w:vAlign w:val="center"/>
            <w:hideMark/>
          </w:tcPr>
          <w:p w14:paraId="62384AE2" w14:textId="77777777" w:rsidR="00530973" w:rsidRPr="00530973" w:rsidRDefault="00530973" w:rsidP="00530973">
            <w:pPr>
              <w:spacing w:after="0"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82</w:t>
            </w:r>
          </w:p>
        </w:tc>
        <w:tc>
          <w:tcPr>
            <w:tcW w:w="0" w:type="auto"/>
            <w:vAlign w:val="center"/>
            <w:hideMark/>
          </w:tcPr>
          <w:p w14:paraId="249DA136" w14:textId="72D70DB1"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8.76 (ω&gt;1 class)</w:t>
            </w:r>
          </w:p>
        </w:tc>
        <w:tc>
          <w:tcPr>
            <w:tcW w:w="0" w:type="auto"/>
            <w:vAlign w:val="center"/>
            <w:hideMark/>
          </w:tcPr>
          <w:p w14:paraId="4E3E57AD" w14:textId="79F17CAD" w:rsidR="00530973" w:rsidRPr="00530973" w:rsidRDefault="007445A4" w:rsidP="005309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530973" w:rsidRPr="00530973">
              <w:rPr>
                <w:rFonts w:ascii="Times New Roman" w:eastAsia="Times New Roman" w:hAnsi="Times New Roman" w:cs="Times New Roman"/>
                <w:kern w:val="0"/>
                <w14:ligatures w14:val="none"/>
              </w:rPr>
              <w:t>2.81</w:t>
            </w:r>
          </w:p>
        </w:tc>
      </w:tr>
    </w:tbl>
    <w:p w14:paraId="473CFF49" w14:textId="77777777" w:rsidR="007445A4"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LRT1 (M2a vs M1a):</w:t>
      </w:r>
      <w:r w:rsidRPr="00530973">
        <w:rPr>
          <w:rFonts w:ascii="Times New Roman" w:eastAsia="Times New Roman" w:hAnsi="Times New Roman" w:cs="Times New Roman"/>
          <w:kern w:val="0"/>
          <w14:ligatures w14:val="none"/>
        </w:rPr>
        <w:t xml:space="preserve"> 2Δl = 26.0, p ≈ 0.000 — </w:t>
      </w:r>
      <w:r w:rsidRPr="00530973">
        <w:rPr>
          <w:rFonts w:ascii="Times New Roman" w:eastAsia="Times New Roman" w:hAnsi="Times New Roman" w:cs="Times New Roman"/>
          <w:b/>
          <w:bCs/>
          <w:kern w:val="0"/>
          <w14:ligatures w14:val="none"/>
        </w:rPr>
        <w:t>significant</w:t>
      </w:r>
      <w:r w:rsidRPr="00530973">
        <w:rPr>
          <w:rFonts w:ascii="Times New Roman" w:eastAsia="Times New Roman" w:hAnsi="Times New Roman" w:cs="Times New Roman"/>
          <w:kern w:val="0"/>
          <w14:ligatures w14:val="none"/>
        </w:rPr>
        <w:t xml:space="preserve"> </w:t>
      </w:r>
    </w:p>
    <w:p w14:paraId="1B12E8FA" w14:textId="4048E319"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LRT2 (M8 vs M7):</w:t>
      </w:r>
      <w:r w:rsidRPr="00530973">
        <w:rPr>
          <w:rFonts w:ascii="Times New Roman" w:eastAsia="Times New Roman" w:hAnsi="Times New Roman" w:cs="Times New Roman"/>
          <w:kern w:val="0"/>
          <w14:ligatures w14:val="none"/>
        </w:rPr>
        <w:t xml:space="preserve"> 2Δl = 31.1, p ≈ 0.000 — </w:t>
      </w:r>
      <w:r w:rsidRPr="00530973">
        <w:rPr>
          <w:rFonts w:ascii="Times New Roman" w:eastAsia="Times New Roman" w:hAnsi="Times New Roman" w:cs="Times New Roman"/>
          <w:b/>
          <w:bCs/>
          <w:kern w:val="0"/>
          <w14:ligatures w14:val="none"/>
        </w:rPr>
        <w:t>significant</w:t>
      </w:r>
    </w:p>
    <w:p w14:paraId="3F808E3F"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BEB positively selected sites (both M2a and M8):</w:t>
      </w:r>
    </w:p>
    <w:p w14:paraId="41DDCF0B" w14:textId="77777777" w:rsidR="00530973" w:rsidRPr="00530973" w:rsidRDefault="00530973" w:rsidP="005309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Site 34 (Serine): pp = 1.000**</w:t>
      </w:r>
      <w:r w:rsidRPr="00530973">
        <w:rPr>
          <w:rFonts w:ascii="Times New Roman" w:eastAsia="Times New Roman" w:hAnsi="Times New Roman" w:cs="Times New Roman"/>
          <w:kern w:val="0"/>
          <w14:ligatures w14:val="none"/>
        </w:rPr>
        <w:t xml:space="preserve"> — certain positive selection</w:t>
      </w:r>
    </w:p>
    <w:p w14:paraId="755CAFC3" w14:textId="77777777" w:rsidR="00530973" w:rsidRPr="00530973" w:rsidRDefault="00530973" w:rsidP="005309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b/>
          <w:bCs/>
          <w:kern w:val="0"/>
          <w14:ligatures w14:val="none"/>
        </w:rPr>
        <w:t>Site 44 (Glutamate): pp = 0.996–0.999**</w:t>
      </w:r>
      <w:r w:rsidRPr="00530973">
        <w:rPr>
          <w:rFonts w:ascii="Times New Roman" w:eastAsia="Times New Roman" w:hAnsi="Times New Roman" w:cs="Times New Roman"/>
          <w:kern w:val="0"/>
          <w14:ligatures w14:val="none"/>
        </w:rPr>
        <w:t xml:space="preserve"> — near-certain positive selection</w:t>
      </w:r>
    </w:p>
    <w:p w14:paraId="7FCFB2B6" w14:textId="77777777" w:rsidR="00530973" w:rsidRPr="00530973" w:rsidRDefault="00530973" w:rsidP="00530973">
      <w:pPr>
        <w:spacing w:before="100" w:beforeAutospacing="1" w:after="100" w:afterAutospacing="1" w:line="240" w:lineRule="auto"/>
        <w:rPr>
          <w:rFonts w:ascii="Times New Roman" w:eastAsia="Times New Roman" w:hAnsi="Times New Roman" w:cs="Times New Roman"/>
          <w:kern w:val="0"/>
          <w14:ligatures w14:val="none"/>
        </w:rPr>
      </w:pPr>
      <w:r w:rsidRPr="00530973">
        <w:rPr>
          <w:rFonts w:ascii="Times New Roman" w:eastAsia="Times New Roman" w:hAnsi="Times New Roman" w:cs="Times New Roman"/>
          <w:kern w:val="0"/>
          <w14:ligatures w14:val="none"/>
        </w:rPr>
        <w:t xml:space="preserve">The M2a site class breakdown is ~69% purifying (ω = 0.21), ~28% neutral (ω = 1.0), ~3% positively selected (ω ≈ 9–10). Site 34S is of particular interest as it falls in the N-terminal region consistent with the documented PKA phosphorylation motif (RRxS) in the human MROH2B/SPIF protein (Stanger et al. 2016, </w:t>
      </w:r>
      <w:r w:rsidRPr="00530973">
        <w:rPr>
          <w:rFonts w:ascii="Times New Roman" w:eastAsia="Times New Roman" w:hAnsi="Times New Roman" w:cs="Times New Roman"/>
          <w:i/>
          <w:iCs/>
          <w:kern w:val="0"/>
          <w14:ligatures w14:val="none"/>
        </w:rPr>
        <w:t>FASEB J.</w:t>
      </w:r>
      <w:r w:rsidRPr="00530973">
        <w:rPr>
          <w:rFonts w:ascii="Times New Roman" w:eastAsia="Times New Roman" w:hAnsi="Times New Roman" w:cs="Times New Roman"/>
          <w:kern w:val="0"/>
          <w14:ligatures w14:val="none"/>
        </w:rPr>
        <w:t>, PMID 27105888), which is present in the full-length isoform but absent in the N-terminally truncated isoform.</w:t>
      </w:r>
    </w:p>
    <w:p w14:paraId="3A293BE8" w14:textId="77777777" w:rsidR="001113FA" w:rsidRDefault="001113FA"/>
    <w:sectPr w:rsidR="00111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F20E2"/>
    <w:multiLevelType w:val="multilevel"/>
    <w:tmpl w:val="DCF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8784C"/>
    <w:multiLevelType w:val="multilevel"/>
    <w:tmpl w:val="8E5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95995">
    <w:abstractNumId w:val="0"/>
  </w:num>
  <w:num w:numId="2" w16cid:durableId="162916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73"/>
    <w:rsid w:val="00024BD4"/>
    <w:rsid w:val="00025595"/>
    <w:rsid w:val="00066CC8"/>
    <w:rsid w:val="000E6112"/>
    <w:rsid w:val="001076E6"/>
    <w:rsid w:val="001113FA"/>
    <w:rsid w:val="001202F8"/>
    <w:rsid w:val="00154C12"/>
    <w:rsid w:val="00164978"/>
    <w:rsid w:val="001C5F76"/>
    <w:rsid w:val="001D53BA"/>
    <w:rsid w:val="00234FD0"/>
    <w:rsid w:val="002513AD"/>
    <w:rsid w:val="002C492D"/>
    <w:rsid w:val="002E0322"/>
    <w:rsid w:val="002E4129"/>
    <w:rsid w:val="00393BD5"/>
    <w:rsid w:val="003F0BEF"/>
    <w:rsid w:val="004109FC"/>
    <w:rsid w:val="0048784D"/>
    <w:rsid w:val="004B1315"/>
    <w:rsid w:val="004B74C6"/>
    <w:rsid w:val="004D104B"/>
    <w:rsid w:val="004D6142"/>
    <w:rsid w:val="005152DD"/>
    <w:rsid w:val="00517938"/>
    <w:rsid w:val="00530973"/>
    <w:rsid w:val="00546F08"/>
    <w:rsid w:val="00547A7C"/>
    <w:rsid w:val="00561386"/>
    <w:rsid w:val="00593BAB"/>
    <w:rsid w:val="005A6A6D"/>
    <w:rsid w:val="005C4D4E"/>
    <w:rsid w:val="005D17CA"/>
    <w:rsid w:val="005D550C"/>
    <w:rsid w:val="005D62CF"/>
    <w:rsid w:val="00623B64"/>
    <w:rsid w:val="006326D8"/>
    <w:rsid w:val="006441DD"/>
    <w:rsid w:val="00646FC1"/>
    <w:rsid w:val="00647CA7"/>
    <w:rsid w:val="006670EB"/>
    <w:rsid w:val="00692C8B"/>
    <w:rsid w:val="006B6E97"/>
    <w:rsid w:val="006E120E"/>
    <w:rsid w:val="006E68A2"/>
    <w:rsid w:val="00712182"/>
    <w:rsid w:val="00715217"/>
    <w:rsid w:val="007445A4"/>
    <w:rsid w:val="00744D67"/>
    <w:rsid w:val="00765EF8"/>
    <w:rsid w:val="00766932"/>
    <w:rsid w:val="007737FC"/>
    <w:rsid w:val="007A2626"/>
    <w:rsid w:val="007F40E7"/>
    <w:rsid w:val="008329D2"/>
    <w:rsid w:val="00835AFB"/>
    <w:rsid w:val="00837B29"/>
    <w:rsid w:val="0084386A"/>
    <w:rsid w:val="008552E2"/>
    <w:rsid w:val="00872688"/>
    <w:rsid w:val="008C5C76"/>
    <w:rsid w:val="008D6469"/>
    <w:rsid w:val="009232C3"/>
    <w:rsid w:val="009329BA"/>
    <w:rsid w:val="00960AAC"/>
    <w:rsid w:val="0097274F"/>
    <w:rsid w:val="00974270"/>
    <w:rsid w:val="00993476"/>
    <w:rsid w:val="009C5029"/>
    <w:rsid w:val="009E2EA4"/>
    <w:rsid w:val="00A21183"/>
    <w:rsid w:val="00A71CE4"/>
    <w:rsid w:val="00A80D4F"/>
    <w:rsid w:val="00A87B50"/>
    <w:rsid w:val="00A938B8"/>
    <w:rsid w:val="00AB228B"/>
    <w:rsid w:val="00AB4138"/>
    <w:rsid w:val="00B637EC"/>
    <w:rsid w:val="00BA636A"/>
    <w:rsid w:val="00BB0EDC"/>
    <w:rsid w:val="00BB763E"/>
    <w:rsid w:val="00BC0EED"/>
    <w:rsid w:val="00BC7806"/>
    <w:rsid w:val="00BC79CD"/>
    <w:rsid w:val="00BE5FAE"/>
    <w:rsid w:val="00C1019F"/>
    <w:rsid w:val="00C34194"/>
    <w:rsid w:val="00C40698"/>
    <w:rsid w:val="00C54274"/>
    <w:rsid w:val="00C57C07"/>
    <w:rsid w:val="00C91EFE"/>
    <w:rsid w:val="00C97750"/>
    <w:rsid w:val="00CD646A"/>
    <w:rsid w:val="00CE4DF7"/>
    <w:rsid w:val="00CF08A1"/>
    <w:rsid w:val="00CF242A"/>
    <w:rsid w:val="00CF7170"/>
    <w:rsid w:val="00D07C29"/>
    <w:rsid w:val="00D10787"/>
    <w:rsid w:val="00D46F37"/>
    <w:rsid w:val="00D55605"/>
    <w:rsid w:val="00D657AA"/>
    <w:rsid w:val="00D95E06"/>
    <w:rsid w:val="00DA63A0"/>
    <w:rsid w:val="00DA7D86"/>
    <w:rsid w:val="00DE3ABD"/>
    <w:rsid w:val="00E12E63"/>
    <w:rsid w:val="00E1790C"/>
    <w:rsid w:val="00E26E50"/>
    <w:rsid w:val="00E42ECA"/>
    <w:rsid w:val="00E54FDC"/>
    <w:rsid w:val="00ED1204"/>
    <w:rsid w:val="00ED5331"/>
    <w:rsid w:val="00EE04F9"/>
    <w:rsid w:val="00EE70D2"/>
    <w:rsid w:val="00F01705"/>
    <w:rsid w:val="00F15446"/>
    <w:rsid w:val="00F408FE"/>
    <w:rsid w:val="00F4537C"/>
    <w:rsid w:val="00F4599B"/>
    <w:rsid w:val="00F60022"/>
    <w:rsid w:val="00F83798"/>
    <w:rsid w:val="00FA7116"/>
    <w:rsid w:val="00FB00D0"/>
    <w:rsid w:val="00FE02F7"/>
    <w:rsid w:val="00FF051A"/>
    <w:rsid w:val="00FF2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041A354"/>
  <w15:chartTrackingRefBased/>
  <w15:docId w15:val="{907008D7-472B-2743-A14E-3B4B3288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973"/>
    <w:rPr>
      <w:rFonts w:eastAsiaTheme="majorEastAsia" w:cstheme="majorBidi"/>
      <w:color w:val="272727" w:themeColor="text1" w:themeTint="D8"/>
    </w:rPr>
  </w:style>
  <w:style w:type="paragraph" w:styleId="Title">
    <w:name w:val="Title"/>
    <w:basedOn w:val="Normal"/>
    <w:next w:val="Normal"/>
    <w:link w:val="TitleChar"/>
    <w:uiPriority w:val="10"/>
    <w:qFormat/>
    <w:rsid w:val="0053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973"/>
    <w:pPr>
      <w:spacing w:before="160"/>
      <w:jc w:val="center"/>
    </w:pPr>
    <w:rPr>
      <w:i/>
      <w:iCs/>
      <w:color w:val="404040" w:themeColor="text1" w:themeTint="BF"/>
    </w:rPr>
  </w:style>
  <w:style w:type="character" w:customStyle="1" w:styleId="QuoteChar">
    <w:name w:val="Quote Char"/>
    <w:basedOn w:val="DefaultParagraphFont"/>
    <w:link w:val="Quote"/>
    <w:uiPriority w:val="29"/>
    <w:rsid w:val="00530973"/>
    <w:rPr>
      <w:i/>
      <w:iCs/>
      <w:color w:val="404040" w:themeColor="text1" w:themeTint="BF"/>
    </w:rPr>
  </w:style>
  <w:style w:type="paragraph" w:styleId="ListParagraph">
    <w:name w:val="List Paragraph"/>
    <w:basedOn w:val="Normal"/>
    <w:uiPriority w:val="34"/>
    <w:qFormat/>
    <w:rsid w:val="00530973"/>
    <w:pPr>
      <w:ind w:left="720"/>
      <w:contextualSpacing/>
    </w:pPr>
  </w:style>
  <w:style w:type="character" w:styleId="IntenseEmphasis">
    <w:name w:val="Intense Emphasis"/>
    <w:basedOn w:val="DefaultParagraphFont"/>
    <w:uiPriority w:val="21"/>
    <w:qFormat/>
    <w:rsid w:val="00530973"/>
    <w:rPr>
      <w:i/>
      <w:iCs/>
      <w:color w:val="0F4761" w:themeColor="accent1" w:themeShade="BF"/>
    </w:rPr>
  </w:style>
  <w:style w:type="paragraph" w:styleId="IntenseQuote">
    <w:name w:val="Intense Quote"/>
    <w:basedOn w:val="Normal"/>
    <w:next w:val="Normal"/>
    <w:link w:val="IntenseQuoteChar"/>
    <w:uiPriority w:val="30"/>
    <w:qFormat/>
    <w:rsid w:val="0053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73"/>
    <w:rPr>
      <w:i/>
      <w:iCs/>
      <w:color w:val="0F4761" w:themeColor="accent1" w:themeShade="BF"/>
    </w:rPr>
  </w:style>
  <w:style w:type="character" w:styleId="IntenseReference">
    <w:name w:val="Intense Reference"/>
    <w:basedOn w:val="DefaultParagraphFont"/>
    <w:uiPriority w:val="32"/>
    <w:qFormat/>
    <w:rsid w:val="00530973"/>
    <w:rPr>
      <w:b/>
      <w:bCs/>
      <w:smallCaps/>
      <w:color w:val="0F4761" w:themeColor="accent1" w:themeShade="BF"/>
      <w:spacing w:val="5"/>
    </w:rPr>
  </w:style>
  <w:style w:type="paragraph" w:customStyle="1" w:styleId="font-claude-response-body">
    <w:name w:val="font-claude-response-body"/>
    <w:basedOn w:val="Normal"/>
    <w:rsid w:val="005309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0973"/>
    <w:rPr>
      <w:i/>
      <w:iCs/>
    </w:rPr>
  </w:style>
  <w:style w:type="character" w:styleId="Strong">
    <w:name w:val="Strong"/>
    <w:basedOn w:val="DefaultParagraphFont"/>
    <w:uiPriority w:val="22"/>
    <w:qFormat/>
    <w:rsid w:val="00530973"/>
    <w:rPr>
      <w:b/>
      <w:bCs/>
    </w:rPr>
  </w:style>
  <w:style w:type="character" w:styleId="HTMLCode">
    <w:name w:val="HTML Code"/>
    <w:basedOn w:val="DefaultParagraphFont"/>
    <w:uiPriority w:val="99"/>
    <w:semiHidden/>
    <w:unhideWhenUsed/>
    <w:rsid w:val="00530973"/>
    <w:rPr>
      <w:rFonts w:ascii="Courier New" w:eastAsia="Times New Roman" w:hAnsi="Courier New" w:cs="Courier New"/>
      <w:sz w:val="20"/>
      <w:szCs w:val="20"/>
    </w:rPr>
  </w:style>
  <w:style w:type="paragraph" w:customStyle="1" w:styleId="whitespace-normal">
    <w:name w:val="whitespace-normal"/>
    <w:basedOn w:val="Normal"/>
    <w:rsid w:val="005309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3165</Words>
  <Characters>17724</Characters>
  <Application>Microsoft Office Word</Application>
  <DocSecurity>0</DocSecurity>
  <Lines>466</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Monaco, Anthony</dc:creator>
  <cp:keywords/>
  <dc:description/>
  <cp:lastModifiedBy>Monaco, Anthony</cp:lastModifiedBy>
  <cp:revision>4</cp:revision>
  <dcterms:created xsi:type="dcterms:W3CDTF">2026-03-14T01:07:00Z</dcterms:created>
  <dcterms:modified xsi:type="dcterms:W3CDTF">2026-03-14T02:02:00Z</dcterms:modified>
</cp:coreProperties>
</file>