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F9E" w:sz="12" w:space="4"/>
        </w:pBdr>
        <w:spacing w:before="0" w:after="200"/>
      </w:pPr>
      <w:r>
        <w:rPr>
          <w:rFonts w:ascii="Arial" w:cs="Arial" w:eastAsia="Arial" w:hAnsi="Arial"/>
          <w:b/>
          <w:bCs/>
          <w:color w:val="1F3864"/>
          <w:sz w:val="48"/>
          <w:szCs w:val="48"/>
        </w:rPr>
        <w:t xml:space="preserve">MROH6 in Zebra Finch (</w:t>
      </w:r>
      <w:r>
        <w:rPr>
          <w:rFonts w:ascii="Arial" w:cs="Arial" w:eastAsia="Arial" w:hAnsi="Arial"/>
          <w:b/>
          <w:bCs/>
          <w:i/>
          <w:iCs/>
          <w:color w:val="1F3864"/>
          <w:sz w:val="48"/>
          <w:szCs w:val="48"/>
        </w:rPr>
        <w:t xml:space="preserve">Taeniopygia guttata</w:t>
      </w:r>
      <w:r>
        <w:rPr>
          <w:rFonts w:ascii="Arial" w:cs="Arial" w:eastAsia="Arial" w:hAnsi="Arial"/>
          <w:b/>
          <w:bCs/>
          <w:color w:val="1F3864"/>
          <w:sz w:val="48"/>
          <w:szCs w:val="48"/>
        </w:rPr>
        <w:t xml:space="preserve">)</w:t>
      </w:r>
    </w:p>
    <w:p>
      <w:pPr>
        <w:spacing w:before="80" w:after="80"/>
      </w:pPr>
      <w:r>
        <w:rPr>
          <w:rFonts w:ascii="Arial" w:cs="Arial" w:eastAsia="Arial" w:hAnsi="Arial"/>
          <w:i/>
          <w:iCs/>
          <w:color w:val="555555"/>
          <w:sz w:val="26"/>
          <w:szCs w:val="26"/>
        </w:rPr>
        <w:t xml:space="preserve">Evolutionary Analysis of a Multi-Copy Tandem Gene Array: Positive Selection, Gene Conversion, and RNA-Mediated Diversification</w:t>
      </w:r>
    </w:p>
    <w:p>
      <w:pPr>
        <w:spacing w:before="60" w:after="300"/>
      </w:pPr>
      <w:r>
        <w:rPr>
          <w:rFonts w:ascii="Arial" w:cs="Arial" w:eastAsia="Arial" w:hAnsi="Arial"/>
          <w:color w:val="888888"/>
          <w:sz w:val="20"/>
          <w:szCs w:val="20"/>
        </w:rPr>
        <w:t xml:space="preserve">Prepared for colleague review  |  March 2026</w:t>
      </w:r>
    </w:p>
    <w:p>
      <w:pPr>
        <w:pStyle w:val="Heading1"/>
        <w:spacing w:before="320" w:after="160"/>
      </w:pPr>
      <w:r>
        <w:rPr>
          <w:rFonts w:ascii="Arial" w:cs="Arial" w:eastAsia="Arial" w:hAnsi="Arial"/>
          <w:b/>
          <w:bCs/>
          <w:color w:val="1F3864"/>
          <w:sz w:val="32"/>
          <w:szCs w:val="32"/>
        </w:rPr>
        <w:t xml:space="preserve">1. Overview and Biological Background</w:t>
      </w:r>
    </w:p>
    <w:p>
      <w:pPr>
        <w:spacing w:before="80" w:after="80"/>
      </w:pPr>
      <w:r>
        <w:rPr>
          <w:rFonts w:ascii="Arial" w:cs="Arial" w:eastAsia="Arial" w:hAnsi="Arial"/>
          <w:sz w:val="22"/>
          <w:szCs w:val="22"/>
        </w:rPr>
        <w:t xml:space="preserve">MROH6 (Maestro Heat-like Repeat-containing protein 6) is a member of the MROH gene family, characterised by multiple tandem heat repeat motifs. In the zebra finch (Taeniopygia guttata), MROH6 exists as a highly expanded multi-copy tandem array located predominantly on microchromosomes and in sub-telomeric regions. The analysis described here characterises evolutionary rates, selection pressures, gene conversion dynamics, and the likely mechanistic basis for copy diversification across ~61 reconstructed loci.</w:t>
      </w:r>
    </w:p>
    <w:p>
      <w:pPr>
        <w:spacing w:before="80" w:after="0"/>
      </w:pPr>
    </w:p>
    <w:p>
      <w:pPr>
        <w:spacing w:before="80" w:after="80"/>
      </w:pPr>
      <w:r>
        <w:rPr>
          <w:rFonts w:ascii="Arial" w:cs="Arial" w:eastAsia="Arial" w:hAnsi="Arial"/>
          <w:sz w:val="22"/>
          <w:szCs w:val="22"/>
        </w:rPr>
        <w:t xml:space="preserve">Two reference proteins were used for locus reconstruction: XP_030133788.3 and XP_072787743.1. The genomic region of primary interest spans chr NC_133025.1:23,883,994–23,895,286.</w:t>
      </w:r>
    </w:p>
    <w:p>
      <w:pPr>
        <w:pStyle w:val="Heading1"/>
        <w:spacing w:before="320" w:after="160"/>
      </w:pPr>
      <w:r>
        <w:rPr>
          <w:rFonts w:ascii="Arial" w:cs="Arial" w:eastAsia="Arial" w:hAnsi="Arial"/>
          <w:b/>
          <w:bCs/>
          <w:color w:val="1F3864"/>
          <w:sz w:val="32"/>
          <w:szCs w:val="32"/>
        </w:rPr>
        <w:t xml:space="preserve">2. Analysis Pipeline</w:t>
      </w:r>
    </w:p>
    <w:p>
      <w:pPr>
        <w:pStyle w:val="Heading2"/>
        <w:spacing w:before="240" w:after="120"/>
      </w:pPr>
      <w:r>
        <w:rPr>
          <w:rFonts w:ascii="Arial" w:cs="Arial" w:eastAsia="Arial" w:hAnsi="Arial"/>
          <w:b/>
          <w:bCs/>
          <w:color w:val="2E5F9E"/>
          <w:sz w:val="26"/>
          <w:szCs w:val="26"/>
        </w:rPr>
        <w:t xml:space="preserve">2.1 CDS Reconstruction (Step 01)</w:t>
      </w:r>
    </w:p>
    <w:p>
      <w:pPr>
        <w:spacing w:before="80" w:after="80"/>
      </w:pPr>
      <w:r>
        <w:rPr>
          <w:rFonts w:ascii="Arial" w:cs="Arial" w:eastAsia="Arial" w:hAnsi="Arial"/>
          <w:sz w:val="22"/>
          <w:szCs w:val="22"/>
        </w:rPr>
        <w:t xml:space="preserve">Protein-guided CDS reconstruction was performed using a custom script (01_protein_guided_reconstruction.py). tBLASTn results with the reference protein against the zebra finch genome were used to identify MROH6 loci. For each candidate locus, exon boundaries were inferred by alignment of the reference protein to genomic sequence. A minimum PAML coverage threshold of 50% of the reference protein length (MIN_PAML_COV = 0.50) was applied to exclude highly truncated or pseudogenised copies from the selection analysis. This yielded approximately 61 loci passing the threshold.</w:t>
      </w:r>
    </w:p>
    <w:p>
      <w:pPr>
        <w:spacing w:before="60" w:after="0"/>
      </w:pPr>
    </w:p>
    <w:p>
      <w:pPr>
        <w:spacing w:before="80" w:after="80"/>
      </w:pPr>
      <w:r>
        <w:rPr>
          <w:rFonts w:ascii="Arial" w:cs="Arial" w:eastAsia="Arial" w:hAnsi="Arial"/>
          <w:sz w:val="22"/>
          <w:szCs w:val="22"/>
        </w:rPr>
        <w:t xml:space="preserve">Note: An earlier run used MIN_PAML_COV = 0.33, which admitted ~170 loci with excessive gaps into the alignment. All outputs from that run were scrubbed in March 2026 and the analysis was re-run at the 0.50 threshold.</w:t>
      </w:r>
    </w:p>
    <w:p>
      <w:pPr>
        <w:pStyle w:val="Heading2"/>
        <w:spacing w:before="240" w:after="120"/>
      </w:pPr>
      <w:r>
        <w:rPr>
          <w:rFonts w:ascii="Arial" w:cs="Arial" w:eastAsia="Arial" w:hAnsi="Arial"/>
          <w:b/>
          <w:bCs/>
          <w:color w:val="2E5F9E"/>
          <w:sz w:val="26"/>
          <w:szCs w:val="26"/>
        </w:rPr>
        <w:t xml:space="preserve">2.2 Alignment, Phylogeny, and PAML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7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Script</w:t>
            </w:r>
          </w:p>
        </w:tc>
        <w:tc>
          <w:tcPr>
            <w:tcW w:type="dxa" w:w="57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01</w:t>
            </w:r>
          </w:p>
        </w:tc>
        <w:tc>
          <w:tcPr>
            <w:tcW w:type="dxa" w:w="2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01_protein_guided_reconstruction.py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Protein-guided CDS reconstruction; locus manifest; 50% coverage filter</w:t>
            </w:r>
          </w:p>
        </w:tc>
      </w:tr>
      <w:tr>
        <w:tc>
          <w:tcPr>
            <w:tcW w:type="dxa" w:w="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02b</w:t>
            </w:r>
          </w:p>
        </w:tc>
        <w:tc>
          <w:tcPr>
            <w:tcW w:type="dxa" w:w="2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Alignment</w:t>
            </w:r>
          </w:p>
        </w:tc>
        <w:tc>
          <w:tcPr>
            <w:tcW w:type="dxa" w:w="57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MSA of reconstructed CDS loci (MAFFT)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03</w:t>
            </w:r>
          </w:p>
        </w:tc>
        <w:tc>
          <w:tcPr>
            <w:tcW w:type="dxa" w:w="2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PHYLIP conversion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Convert MSA to PHYLIP format for PAML</w:t>
            </w:r>
          </w:p>
        </w:tc>
      </w:tr>
      <w:tr>
        <w:tc>
          <w:tcPr>
            <w:tcW w:type="dxa" w:w="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04</w:t>
            </w:r>
          </w:p>
        </w:tc>
        <w:tc>
          <w:tcPr>
            <w:tcW w:type="dxa" w:w="2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IQ-TREE2</w:t>
            </w:r>
          </w:p>
        </w:tc>
        <w:tc>
          <w:tcPr>
            <w:tcW w:type="dxa" w:w="57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Maximum likelihood phylogenetic tree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05</w:t>
            </w:r>
          </w:p>
        </w:tc>
        <w:tc>
          <w:tcPr>
            <w:tcW w:type="dxa" w:w="2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05_prepare_baseml.py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Prepare codeml run directories; two-pass relabel_tree() to avoid circular rename bug</w:t>
            </w:r>
          </w:p>
        </w:tc>
      </w:tr>
      <w:tr>
        <w:tc>
          <w:tcPr>
            <w:tcW w:type="dxa" w:w="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06</w:t>
            </w:r>
          </w:p>
        </w:tc>
        <w:tc>
          <w:tcPr>
            <w:tcW w:type="dxa" w:w="2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codeml (PAML)</w:t>
            </w:r>
          </w:p>
        </w:tc>
        <w:tc>
          <w:tcPr>
            <w:tcW w:type="dxa" w:w="57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Site models M0, M1a, M2a, M7, M8 (see Section 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07</w:t>
            </w:r>
          </w:p>
        </w:tc>
        <w:tc>
          <w:tcPr>
            <w:tcW w:type="dxa" w:w="2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07_beb_mapping.py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Map BEB posterior probabilities to canonical reference protein positions</w:t>
            </w:r>
          </w:p>
        </w:tc>
      </w:tr>
    </w:tbl>
    <w:p>
      <w:pPr>
        <w:spacing w:before="120" w:after="0"/>
      </w:pPr>
    </w:p>
    <w:p>
      <w:pPr>
        <w:pStyle w:val="Heading1"/>
        <w:spacing w:before="320" w:after="160"/>
      </w:pPr>
      <w:r>
        <w:rPr>
          <w:rFonts w:ascii="Arial" w:cs="Arial" w:eastAsia="Arial" w:hAnsi="Arial"/>
          <w:b/>
          <w:bCs/>
          <w:color w:val="1F3864"/>
          <w:sz w:val="32"/>
          <w:szCs w:val="32"/>
        </w:rPr>
        <w:t xml:space="preserve">3. PAML Site Model Results</w:t>
      </w:r>
    </w:p>
    <w:p>
      <w:pPr>
        <w:spacing w:before="80" w:after="80"/>
      </w:pPr>
      <w:r>
        <w:rPr>
          <w:rFonts w:ascii="Arial" w:cs="Arial" w:eastAsia="Arial" w:hAnsi="Arial"/>
          <w:sz w:val="22"/>
          <w:szCs w:val="22"/>
        </w:rPr>
        <w:t xml:space="preserve">Site model analyses were run using PAML codeml on a trimmed alignment of 104 sequences × 342 codons. The following table summarises log-likelihoods and likelihood ratio tests.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60"/>
        <w:gridCol w:w="1560"/>
        <w:gridCol w:w="2640"/>
      </w:tblGrid>
      <w:tr>
        <w:tc>
          <w:tcPr>
            <w:tcW w:type="dxa" w:w="1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24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ln L</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Parameters</w:t>
            </w:r>
          </w:p>
        </w:tc>
        <w:tc>
          <w:tcPr>
            <w:tcW w:type="dxa" w:w="26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One-ratio (ω constant)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−11,247.59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ω = 0.743</w:t>
            </w:r>
          </w:p>
        </w:tc>
        <w:tc>
          <w:tcPr>
            <w:tcW w:type="dxa" w:w="26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Baseline; kappa = 2.302</w:t>
            </w:r>
          </w:p>
        </w:tc>
      </w:tr>
      <w:tr>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M1a</w:t>
            </w:r>
          </w:p>
        </w:tc>
        <w:tc>
          <w:tcPr>
            <w:tcW w:type="dxa" w:w="24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Nearly neutral</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−10,992.11</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264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p0 + p1 (ω ≤ 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M2a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Positive selection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−10,893.07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26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Adds ω &gt; 1 class</w:t>
            </w:r>
          </w:p>
        </w:tc>
      </w:tr>
      <w:tr>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M7</w:t>
            </w:r>
          </w:p>
        </w:tc>
        <w:tc>
          <w:tcPr>
            <w:tcW w:type="dxa" w:w="24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Beta (neutral)</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−11,016.77</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264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Beta distribution, ω ≤ 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Beta + ω &gt; 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−10,896.28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264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Adds positive selection class</w:t>
            </w:r>
          </w:p>
        </w:tc>
      </w:tr>
    </w:tbl>
    <w:p>
      <w:pPr>
        <w:spacing w:before="80" w:after="0"/>
      </w:pPr>
    </w:p>
    <w:p>
      <w:pPr>
        <w:spacing w:before="80" w:after="80"/>
      </w:pPr>
      <w:r>
        <w:rPr>
          <w:rFonts w:ascii="Arial" w:cs="Arial" w:eastAsia="Arial" w:hAnsi="Arial"/>
          <w:sz w:val="22"/>
          <w:szCs w:val="22"/>
        </w:rPr>
        <w:t xml:space="preserve">Table 1. PAML codeml site model log-likelihoods for 104 MROH6 sequences (342 codons).</w:t>
      </w:r>
    </w:p>
    <w:p>
      <w:pPr>
        <w:spacing w:before="140" w:after="0"/>
      </w:pPr>
    </w:p>
    <w:p>
      <w:pPr>
        <w:pStyle w:val="Heading2"/>
        <w:spacing w:before="240" w:after="120"/>
      </w:pPr>
      <w:r>
        <w:rPr>
          <w:rFonts w:ascii="Arial" w:cs="Arial" w:eastAsia="Arial" w:hAnsi="Arial"/>
          <w:b/>
          <w:bCs/>
          <w:color w:val="2E5F9E"/>
          <w:sz w:val="26"/>
          <w:szCs w:val="26"/>
        </w:rPr>
        <w:t xml:space="preserve">3.1 Likelihood Ratio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Comparison</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2ΔlnL</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df</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p-value</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Verdict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M1a vs M2a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198.08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&lt; 10⁻⁴³</w:t>
            </w:r>
          </w:p>
        </w:tc>
        <w:tc>
          <w:tcPr>
            <w:tcW w:type="dxa" w:w="1560"/>
            <w:tcBorders>
              <w:top w:val="single" w:color="AAAAAA" w:sz="1"/>
              <w:left w:val="single" w:color="AAAAAA" w:sz="1"/>
              <w:bottom w:val="single" w:color="AAAAAA" w:sz="1"/>
              <w:right w:val="single" w:color="AAAAAA" w:sz="1"/>
            </w:tcBorders>
            <w:shd w:fill="E8F5E9"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Significant — positive selection</w:t>
            </w:r>
          </w:p>
        </w:tc>
      </w:tr>
      <w:tr>
        <w:tc>
          <w:tcPr>
            <w:tcW w:type="dxa" w:w="24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M7 vs M8</w:t>
            </w:r>
          </w:p>
        </w:tc>
        <w:tc>
          <w:tcPr>
            <w:tcW w:type="dxa" w:w="18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240.98</w:t>
            </w:r>
          </w:p>
        </w:tc>
        <w:tc>
          <w:tcPr>
            <w:tcW w:type="dxa" w:w="18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w:t>
            </w:r>
          </w:p>
        </w:tc>
        <w:tc>
          <w:tcPr>
            <w:tcW w:type="dxa" w:w="18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&lt; 10⁻⁵²</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Significant — positive selection</w:t>
            </w:r>
          </w:p>
        </w:tc>
      </w:tr>
    </w:tbl>
    <w:p>
      <w:pPr>
        <w:spacing w:before="80" w:after="0"/>
      </w:pPr>
    </w:p>
    <w:p>
      <w:pPr>
        <w:spacing w:before="80" w:after="80"/>
      </w:pPr>
      <w:r>
        <w:rPr>
          <w:rFonts w:ascii="Arial" w:cs="Arial" w:eastAsia="Arial" w:hAnsi="Arial"/>
          <w:sz w:val="22"/>
          <w:szCs w:val="22"/>
        </w:rPr>
        <w:t xml:space="preserve">Both LRTs are strongly significant, indicating that a class of codons with ω &gt; 1 is required to explain the data under both the M1a/M2a and M7/M8 model pairs.</w:t>
      </w:r>
    </w:p>
    <w:p>
      <w:pPr>
        <w:spacing w:before="140" w:after="0"/>
      </w:pPr>
    </w:p>
    <w:p>
      <w:pPr>
        <w:pStyle w:val="Heading1"/>
        <w:spacing w:before="320" w:after="160"/>
      </w:pPr>
      <w:r>
        <w:rPr>
          <w:rFonts w:ascii="Arial" w:cs="Arial" w:eastAsia="Arial" w:hAnsi="Arial"/>
          <w:b/>
          <w:bCs/>
          <w:color w:val="1F3864"/>
          <w:sz w:val="32"/>
          <w:szCs w:val="32"/>
        </w:rPr>
        <w:t xml:space="preserve">4. Positively Selected Sites (BEB Analysis)</w:t>
      </w:r>
    </w:p>
    <w:p>
      <w:pPr>
        <w:spacing w:before="80" w:after="80"/>
      </w:pPr>
      <w:r>
        <w:rPr>
          <w:rFonts w:ascii="Arial" w:cs="Arial" w:eastAsia="Arial" w:hAnsi="Arial"/>
          <w:sz w:val="22"/>
          <w:szCs w:val="22"/>
        </w:rPr>
        <w:t xml:space="preserve">Bayes Empirical Bayes (BEB) analysis under M8 identified 30 unique sites with posterior probability P &gt; 0.95 for ω &gt; 1 (after correcting for duplicated BEB table output from two convergence cycles — only the final complete table was used). Eight sites have P &gt; 0.99.</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Position</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Residue</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 &gt; 0.99</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Position</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Residue</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 &gt; 0.99</w:t>
            </w:r>
          </w:p>
        </w:tc>
      </w:tr>
      <w:tr>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26</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T</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74</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V</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114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A</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138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R</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145</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C</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151</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Y</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159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E</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161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C</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165</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D</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170</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S</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190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F</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200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216</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242</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Q</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245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C</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250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L</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261</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T</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264</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N</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315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V</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326</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328</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340</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C8E6C9"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68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102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
            </w:r>
          </w:p>
        </w:tc>
      </w:tr>
      <w:tr>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119</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180</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220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280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
            </w:r>
          </w:p>
        </w:tc>
      </w:tr>
      <w:tr>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295</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bCs/>
                <w:sz w:val="20"/>
                <w:szCs w:val="20"/>
              </w:rPr>
              <w:t xml:space="preserve">310</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center"/>
            </w:pPr>
            <w:r>
              <w:rPr>
                <w:rFonts w:ascii="Arial" w:cs="Arial" w:eastAsia="Arial" w:hAnsi="Arial"/>
                <w:b w:val="false"/>
                <w:bCs w:val="false"/>
                <w:sz w:val="20"/>
                <w:szCs w:val="20"/>
              </w:rPr>
              <w:t xml:space="preserve"/>
            </w:r>
          </w:p>
        </w:tc>
      </w:tr>
    </w:tbl>
    <w:p>
      <w:pPr>
        <w:spacing w:before="80" w:after="0"/>
      </w:pPr>
    </w:p>
    <w:p>
      <w:pPr>
        <w:spacing w:before="80" w:after="80"/>
      </w:pPr>
      <w:r>
        <w:rPr>
          <w:rFonts w:ascii="Arial" w:cs="Arial" w:eastAsia="Arial" w:hAnsi="Arial"/>
          <w:sz w:val="22"/>
          <w:szCs w:val="22"/>
        </w:rPr>
        <w:t xml:space="preserve">Table 2. BEB-significant positively selected sites (M8, P &gt; 0.95). Green cells indicate P &gt; 0.99. Position refers to canonical reference protein coordinates. Residue is the modal amino acid across MROH6 copies where determinable.</w:t>
      </w:r>
    </w:p>
    <w:p>
      <w:pPr>
        <w:spacing w:before="80" w:after="0"/>
      </w:pPr>
    </w:p>
    <w:p>
      <w:pPr>
        <w:spacing w:before="80" w:after="80"/>
      </w:pPr>
      <w:r>
        <w:rPr>
          <w:rFonts w:ascii="Arial" w:cs="Arial" w:eastAsia="Arial" w:hAnsi="Arial"/>
          <w:sz w:val="22"/>
          <w:szCs w:val="22"/>
        </w:rPr>
        <w:t xml:space="preserve">Of the 30 BEB sites, 28 have a derived (non-reference) majority amino acid across copies, consistent with selective sweep dynamics rather than random polymorphism.</w:t>
      </w:r>
    </w:p>
    <w:p>
      <w:pPr>
        <w:pStyle w:val="Heading1"/>
        <w:spacing w:before="320" w:after="160"/>
      </w:pPr>
      <w:r>
        <w:rPr>
          <w:rFonts w:ascii="Arial" w:cs="Arial" w:eastAsia="Arial" w:hAnsi="Arial"/>
          <w:b/>
          <w:bCs/>
          <w:color w:val="1F3864"/>
          <w:sz w:val="32"/>
          <w:szCs w:val="32"/>
        </w:rPr>
        <w:t xml:space="preserve">5. Absolute dN Rates and Genome Comparison</w:t>
      </w:r>
    </w:p>
    <w:p>
      <w:pPr>
        <w:spacing w:before="80" w:after="80"/>
      </w:pPr>
      <w:r>
        <w:rPr>
          <w:rFonts w:ascii="Arial" w:cs="Arial" w:eastAsia="Arial" w:hAnsi="Arial"/>
          <w:sz w:val="22"/>
          <w:szCs w:val="22"/>
        </w:rPr>
        <w:t xml:space="preserve">To contextualise the degree of nonsynonymous divergence, mean pairwise dN across all MROH6 copy pairs was compared to genome-wide benchmarks for zebra finch.</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192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MROH6</w:t>
            </w:r>
          </w:p>
        </w:tc>
        <w:tc>
          <w:tcPr>
            <w:tcW w:type="dxa" w:w="192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Genome Reference</w:t>
            </w:r>
          </w:p>
        </w:tc>
        <w:tc>
          <w:tcPr>
            <w:tcW w:type="dxa" w:w="192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Fold Difference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Median pairwise dS</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0.291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r>
      <w:tr>
        <w:tc>
          <w:tcPr>
            <w:tcW w:type="dxa" w:w="3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Median pairwise dN</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0.259</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Median pairwise ω (dN/dS)</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0.803</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r>
      <w:tr>
        <w:tc>
          <w:tcPr>
            <w:tcW w:type="dxa" w:w="3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Mean pairwise dN</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0.210</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Expected dN (functional genes, ω = 0.15)</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0.044</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0.044</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w:t>
            </w:r>
          </w:p>
        </w:tc>
      </w:tr>
      <w:tr>
        <w:tc>
          <w:tcPr>
            <w:tcW w:type="dxa" w:w="3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Expected dN (duplicated genes, ω = 0.40)</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0.116</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0.116</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Observed vs functional genome average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0.210</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0.044</w:t>
            </w:r>
          </w:p>
        </w:tc>
        <w:tc>
          <w:tcPr>
            <w:tcW w:type="dxa" w:w="1920"/>
            <w:tcBorders>
              <w:top w:val="single" w:color="AAAAAA" w:sz="1"/>
              <w:left w:val="single" w:color="AAAAAA" w:sz="1"/>
              <w:bottom w:val="single" w:color="AAAAAA" w:sz="1"/>
              <w:right w:val="single" w:color="AAAAAA" w:sz="1"/>
            </w:tcBorders>
            <w:shd w:fill="FFF3E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5.9×</w:t>
            </w:r>
          </w:p>
        </w:tc>
      </w:tr>
      <w:tr>
        <w:tc>
          <w:tcPr>
            <w:tcW w:type="dxa" w:w="3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Observed vs duplicated gene baseline</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0.210</w:t>
            </w:r>
          </w:p>
        </w:tc>
        <w:tc>
          <w:tcPr>
            <w:tcW w:type="dxa" w:w="19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0.116</w:t>
            </w:r>
          </w:p>
        </w:tc>
        <w:tc>
          <w:tcPr>
            <w:tcW w:type="dxa" w:w="1920"/>
            <w:tcBorders>
              <w:top w:val="single" w:color="AAAAAA" w:sz="1"/>
              <w:left w:val="single" w:color="AAAAAA" w:sz="1"/>
              <w:bottom w:val="single" w:color="AAAAAA" w:sz="1"/>
              <w:right w:val="single" w:color="AAAAAA" w:sz="1"/>
            </w:tcBorders>
            <w:shd w:fill="FFE0B2"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2.2×</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Pairs with dS &lt; 0.01 and dN &gt; 0 (polymorphism)</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4.6%</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r>
    </w:tbl>
    <w:p>
      <w:pPr>
        <w:spacing w:before="80" w:after="0"/>
      </w:pPr>
    </w:p>
    <w:p>
      <w:pPr>
        <w:spacing w:before="80" w:after="80"/>
      </w:pPr>
      <w:r>
        <w:rPr>
          <w:rFonts w:ascii="Arial" w:cs="Arial" w:eastAsia="Arial" w:hAnsi="Arial"/>
          <w:sz w:val="22"/>
          <w:szCs w:val="22"/>
        </w:rPr>
        <w:t xml:space="preserve">Table 3. MROH6 pairwise dN, dS, and ω statistics versus genome-wide expectations. Orange rows highlight the key fold-difference comparisons.</w:t>
      </w:r>
    </w:p>
    <w:p>
      <w:pPr>
        <w:spacing w:before="80" w:after="0"/>
      </w:pPr>
    </w:p>
    <w:p>
      <w:pPr>
        <w:spacing w:before="80" w:after="80"/>
      </w:pPr>
      <w:r>
        <w:rPr>
          <w:rFonts w:ascii="Arial" w:cs="Arial" w:eastAsia="Arial" w:hAnsi="Arial"/>
          <w:sz w:val="22"/>
          <w:szCs w:val="22"/>
        </w:rPr>
        <w:t xml:space="preserve">The 5.9× elevation in dN above the functional gene average and 2.2× above the duplicated gene baseline confirms genuinely elevated nonsynonymous divergence, consistent with a mixture of relaxed purifying constraint across pseudogenised copies and genuine positive selection at BEB sites.</w:t>
      </w:r>
    </w:p>
    <w:p>
      <w:pPr>
        <w:pStyle w:val="Heading1"/>
        <w:spacing w:before="320" w:after="160"/>
      </w:pPr>
      <w:r>
        <w:rPr>
          <w:rFonts w:ascii="Arial" w:cs="Arial" w:eastAsia="Arial" w:hAnsi="Arial"/>
          <w:b/>
          <w:bCs/>
          <w:color w:val="1F3864"/>
          <w:sz w:val="32"/>
          <w:szCs w:val="32"/>
        </w:rPr>
        <w:t xml:space="preserve">6. Tests for Polymorphism vs. Positive Selection</w:t>
      </w:r>
    </w:p>
    <w:p>
      <w:pPr>
        <w:spacing w:before="80" w:after="80"/>
      </w:pPr>
      <w:r>
        <w:rPr>
          <w:rFonts w:ascii="Arial" w:cs="Arial" w:eastAsia="Arial" w:hAnsi="Arial"/>
          <w:sz w:val="22"/>
          <w:szCs w:val="22"/>
        </w:rPr>
        <w:t xml:space="preserve">Because MROH6 copies represent paralogs within a single species rather than orthologs across species, it was necessary to assess whether the elevated dN/dS and BEB signals reflect within-species polymorphism at shared ancestral sites rather than true positive selection.</w:t>
      </w:r>
    </w:p>
    <w:p>
      <w:pPr>
        <w:spacing w:before="80" w:after="0"/>
      </w:pPr>
    </w:p>
    <w:p>
      <w:pPr>
        <w:pStyle w:val="Heading2"/>
        <w:spacing w:before="240" w:after="120"/>
      </w:pPr>
      <w:r>
        <w:rPr>
          <w:rFonts w:ascii="Arial" w:cs="Arial" w:eastAsia="Arial" w:hAnsi="Arial"/>
          <w:b/>
          <w:bCs/>
          <w:color w:val="2E5F9E"/>
          <w:sz w:val="26"/>
          <w:szCs w:val="26"/>
        </w:rPr>
        <w:t xml:space="preserve">6.1 Radical vs. Conservative Amino Acid Substitution Test</w:t>
      </w:r>
    </w:p>
    <w:p>
      <w:pPr>
        <w:spacing w:before="80" w:after="80"/>
      </w:pPr>
      <w:r>
        <w:rPr>
          <w:rFonts w:ascii="Arial" w:cs="Arial" w:eastAsia="Arial" w:hAnsi="Arial"/>
          <w:sz w:val="22"/>
          <w:szCs w:val="22"/>
        </w:rPr>
        <w:t xml:space="preserve">A three-class physico-chemical scheme (nonpolar / polar / charged) was used to classify whether each substitution at BEB vs. non-BEB sites was radical (changes class) or conservative (preserves class). Under neutral evolution or polymorphism, radical and conservative substitution rates should be similar.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Radical</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Conservative</w:t>
            </w:r>
          </w:p>
        </w:tc>
        <w:tc>
          <w:tcPr>
            <w:tcW w:type="dxa" w:w="2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χ² (vs. non-BEB)</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BEB sites (P &gt; 0.95)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33%</w:t>
            </w:r>
          </w:p>
        </w:tc>
        <w:tc>
          <w:tcPr>
            <w:tcW w:type="dxa" w:w="2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χ² = 260, p ≈ 10⁻⁵⁸</w:t>
            </w:r>
          </w:p>
        </w:tc>
      </w:tr>
      <w:tr>
        <w:tc>
          <w:tcPr>
            <w:tcW w:type="dxa" w:w="3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Non-BEB sites</w:t>
            </w:r>
          </w:p>
        </w:tc>
        <w:tc>
          <w:tcPr>
            <w:tcW w:type="dxa" w:w="18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48%</w:t>
            </w:r>
          </w:p>
        </w:tc>
        <w:tc>
          <w:tcPr>
            <w:tcW w:type="dxa" w:w="18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52%</w:t>
            </w:r>
          </w:p>
        </w:tc>
        <w:tc>
          <w:tcPr>
            <w:tcW w:type="dxa" w:w="25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r>
    </w:tbl>
    <w:p>
      <w:pPr>
        <w:spacing w:before="80" w:after="0"/>
      </w:pPr>
    </w:p>
    <w:p>
      <w:pPr>
        <w:spacing w:before="80" w:after="80"/>
      </w:pPr>
      <w:r>
        <w:rPr>
          <w:rFonts w:ascii="Arial" w:cs="Arial" w:eastAsia="Arial" w:hAnsi="Arial"/>
          <w:sz w:val="22"/>
          <w:szCs w:val="22"/>
        </w:rPr>
        <w:t xml:space="preserve">The 19-percentage-point excess of radical changes at BEB sites (χ² = 260, p ≈ 10⁻⁵⁸) is independent of dN/dS and constitutes strong independent evidence for positive selection acting on specific functional properties of the protein, not just neutral polymorphism.</w:t>
      </w:r>
    </w:p>
    <w:p>
      <w:pPr>
        <w:spacing w:before="100" w:after="0"/>
      </w:pPr>
    </w:p>
    <w:p>
      <w:pPr>
        <w:pStyle w:val="Heading2"/>
        <w:spacing w:before="240" w:after="120"/>
      </w:pPr>
      <w:r>
        <w:rPr>
          <w:rFonts w:ascii="Arial" w:cs="Arial" w:eastAsia="Arial" w:hAnsi="Arial"/>
          <w:b/>
          <w:bCs/>
          <w:color w:val="2E5F9E"/>
          <w:sz w:val="26"/>
          <w:szCs w:val="26"/>
        </w:rPr>
        <w:t xml:space="preserve">6.2 Synonymous Diversity at BEB vs. Non-BEB Sites</w:t>
      </w:r>
    </w:p>
    <w:p>
      <w:pPr>
        <w:spacing w:before="80" w:after="80"/>
      </w:pPr>
      <w:r>
        <w:rPr>
          <w:rFonts w:ascii="Arial" w:cs="Arial" w:eastAsia="Arial" w:hAnsi="Arial"/>
          <w:sz w:val="22"/>
          <w:szCs w:val="22"/>
        </w:rPr>
        <w:t xml:space="preserve">If BEB sites were driven by polymorphism (high within-species variation), the denominator synonymous diversity should be similar between BEB and non-BEB sites. Instead, BEB sites show 43% lower synonymous diversity than non-BEB sites, meaning ω at BEB sites is likely an underestimate — the true selective signal is stronger than the point estimates suggest.</w:t>
      </w:r>
    </w:p>
    <w:p>
      <w:pPr>
        <w:spacing w:before="100" w:after="0"/>
      </w:pPr>
    </w:p>
    <w:p>
      <w:pPr>
        <w:pStyle w:val="Heading2"/>
        <w:spacing w:before="240" w:after="120"/>
      </w:pPr>
      <w:r>
        <w:rPr>
          <w:rFonts w:ascii="Arial" w:cs="Arial" w:eastAsia="Arial" w:hAnsi="Arial"/>
          <w:b/>
          <w:bCs/>
          <w:color w:val="2E5F9E"/>
          <w:sz w:val="26"/>
          <w:szCs w:val="26"/>
        </w:rPr>
        <w:t xml:space="preserve">6.3 Modal Allele Analysis</w:t>
      </w:r>
    </w:p>
    <w:p>
      <w:pPr>
        <w:spacing w:before="80" w:after="80"/>
      </w:pPr>
      <w:r>
        <w:rPr>
          <w:rFonts w:ascii="Arial" w:cs="Arial" w:eastAsia="Arial" w:hAnsi="Arial"/>
          <w:sz w:val="22"/>
          <w:szCs w:val="22"/>
        </w:rPr>
        <w:t xml:space="preserve">At 28 of 30 BEB sites (93%), the majority amino acid across all copies is a derived (non-reference) state. This is inconsistent with simple polymorphism at an ancestral site (which would show mixed representation) and consistent with a selective sweep having driven a new state to high frequency across the copy array.</w:t>
      </w:r>
    </w:p>
    <w:p>
      <w:pPr>
        <w:spacing w:before="100" w:after="0"/>
      </w:pPr>
    </w:p>
    <w:p>
      <w:pPr>
        <w:pStyle w:val="Heading2"/>
        <w:spacing w:before="240" w:after="120"/>
      </w:pPr>
      <w:r>
        <w:rPr>
          <w:rFonts w:ascii="Arial" w:cs="Arial" w:eastAsia="Arial" w:hAnsi="Arial"/>
          <w:b/>
          <w:bCs/>
          <w:color w:val="2E5F9E"/>
          <w:sz w:val="26"/>
          <w:szCs w:val="26"/>
        </w:rPr>
        <w:t xml:space="preserve">6.4 Structural Architecture</w:t>
      </w:r>
    </w:p>
    <w:p>
      <w:pPr>
        <w:spacing w:before="80" w:after="80"/>
      </w:pPr>
      <w:r>
        <w:rPr>
          <w:rFonts w:ascii="Arial" w:cs="Arial" w:eastAsia="Arial" w:hAnsi="Arial"/>
          <w:sz w:val="22"/>
          <w:szCs w:val="22"/>
        </w:rPr>
        <w:t xml:space="preserve">Three-tier structural analysis of the 61 reconstructed MROH6 loci revealed:</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~60% of copies carry an N-terminal extension (codons 6–96 relative to reference)</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~95% share a conserved central core region</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~55–74% carry a C-terminal extension</w:t>
      </w:r>
    </w:p>
    <w:p>
      <w:pPr>
        <w:spacing w:before="60" w:after="0"/>
      </w:pPr>
    </w:p>
    <w:p>
      <w:pPr>
        <w:spacing w:before="80" w:after="80"/>
      </w:pPr>
      <w:r>
        <w:rPr>
          <w:rFonts w:ascii="Arial" w:cs="Arial" w:eastAsia="Arial" w:hAnsi="Arial"/>
          <w:sz w:val="22"/>
          <w:szCs w:val="22"/>
        </w:rPr>
        <w:t xml:space="preserve">This tiered architecture, with broadly shared core and variable terminal domains, is consistent with selection maintaining the core while allowing diversification of the extensions — a hallmark of positive selection acting on specific functional regions.</w:t>
      </w:r>
    </w:p>
    <w:p>
      <w:pPr>
        <w:pStyle w:val="Heading1"/>
        <w:spacing w:before="320" w:after="160"/>
      </w:pPr>
      <w:r>
        <w:rPr>
          <w:rFonts w:ascii="Arial" w:cs="Arial" w:eastAsia="Arial" w:hAnsi="Arial"/>
          <w:b/>
          <w:bCs/>
          <w:color w:val="1F3864"/>
          <w:sz w:val="32"/>
          <w:szCs w:val="32"/>
        </w:rPr>
        <w:t xml:space="preserve">7. Gene Conversion Analysis (GENECONV-Style Test)</w:t>
      </w:r>
    </w:p>
    <w:p>
      <w:pPr>
        <w:spacing w:before="80" w:after="80"/>
      </w:pPr>
      <w:r>
        <w:rPr>
          <w:rFonts w:ascii="Arial" w:cs="Arial" w:eastAsia="Arial" w:hAnsi="Arial"/>
          <w:sz w:val="22"/>
          <w:szCs w:val="22"/>
        </w:rPr>
        <w:t xml:space="preserve">A Python implementation of the GENECONV approach (Sawyer 1989) was applied to the codon-level alignment (104 sequences × 342 codons). The null distribution for the longest run of consecutive identical codons between any pair was established by permuting variable alignment columns (1,000 permutations).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88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288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Total pairwise comparisons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5,356</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104 sequences; all pairs tested</w:t>
            </w:r>
          </w:p>
        </w:tc>
      </w:tr>
      <w:tr>
        <w:tc>
          <w:tcPr>
            <w:tcW w:type="dxa" w:w="3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99th percentile null (identical codon run)</w:t>
            </w:r>
          </w:p>
        </w:tc>
        <w:tc>
          <w:tcPr>
            <w:tcW w:type="dxa" w:w="28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77 codons</w:t>
            </w:r>
          </w:p>
        </w:tc>
        <w:tc>
          <w:tcPr>
            <w:tcW w:type="dxa" w:w="28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Permutation-based threshold</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99.9th percentile null</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96 codons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Stringent threshold</w:t>
            </w:r>
          </w:p>
        </w:tc>
      </w:tr>
      <w:tr>
        <w:tc>
          <w:tcPr>
            <w:tcW w:type="dxa" w:w="3600"/>
            <w:tcBorders>
              <w:top w:val="single" w:color="AAAAAA" w:sz="1"/>
              <w:left w:val="single" w:color="AAAAAA" w:sz="1"/>
              <w:bottom w:val="single" w:color="AAAAAA" w:sz="1"/>
              <w:right w:val="single" w:color="AAAAAA"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Pairs exceeding 99th pct</w:t>
            </w:r>
          </w:p>
        </w:tc>
        <w:tc>
          <w:tcPr>
            <w:tcW w:type="dxa" w:w="2880"/>
            <w:tcBorders>
              <w:top w:val="single" w:color="AAAAAA" w:sz="1"/>
              <w:left w:val="single" w:color="AAAAAA" w:sz="1"/>
              <w:bottom w:val="single" w:color="AAAAAA" w:sz="1"/>
              <w:right w:val="single" w:color="AAAAAA"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260 (4.9%)</w:t>
            </w:r>
          </w:p>
        </w:tc>
        <w:tc>
          <w:tcPr>
            <w:tcW w:type="dxa" w:w="2880"/>
            <w:tcBorders>
              <w:top w:val="single" w:color="AAAAAA" w:sz="1"/>
              <w:left w:val="single" w:color="AAAAAA" w:sz="1"/>
              <w:bottom w:val="single" w:color="AAAAAA" w:sz="1"/>
              <w:right w:val="single" w:color="AAAAAA"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Expected ~54 by chance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Top clique (9 loci)</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LOC117/121/123/131/134/138/151/157/160</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Highly converted network</w:t>
            </w:r>
          </w:p>
        </w:tc>
      </w:tr>
      <w:tr>
        <w:tc>
          <w:tcPr>
            <w:tcW w:type="dxa" w:w="3600"/>
            <w:tcBorders>
              <w:top w:val="single" w:color="AAAAAA" w:sz="1"/>
              <w:left w:val="single" w:color="AAAAAA" w:sz="1"/>
              <w:bottom w:val="single" w:color="AAAAAA" w:sz="1"/>
              <w:right w:val="single" w:color="AAAAAA"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Max identical codon run (top clique)</w:t>
            </w:r>
          </w:p>
        </w:tc>
        <w:tc>
          <w:tcPr>
            <w:tcW w:type="dxa" w:w="2880"/>
            <w:tcBorders>
              <w:top w:val="single" w:color="AAAAAA" w:sz="1"/>
              <w:left w:val="single" w:color="AAAAAA" w:sz="1"/>
              <w:bottom w:val="single" w:color="AAAAAA" w:sz="1"/>
              <w:right w:val="single" w:color="AAAAAA"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144–203 codons</w:t>
            </w:r>
          </w:p>
        </w:tc>
        <w:tc>
          <w:tcPr>
            <w:tcW w:type="dxa" w:w="2880"/>
            <w:tcBorders>
              <w:top w:val="single" w:color="AAAAAA" w:sz="1"/>
              <w:left w:val="single" w:color="AAAAAA" w:sz="1"/>
              <w:bottom w:val="single" w:color="AAAAAA" w:sz="1"/>
              <w:right w:val="single" w:color="AAAAAA" w:sz="1"/>
            </w:tcBorders>
            <w:shd w:fill="FFE0B2"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42–59% of entire alignment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Median dS in high-dS pairs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0.291</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Confirms these are diverged copies</w:t>
            </w:r>
          </w:p>
        </w:tc>
      </w:tr>
      <w:tr>
        <w:tc>
          <w:tcPr>
            <w:tcW w:type="dxa" w:w="3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Pairs with dS &lt; 0.01 and dN &gt; 0</w:t>
            </w:r>
          </w:p>
        </w:tc>
        <w:tc>
          <w:tcPr>
            <w:tcW w:type="dxa" w:w="28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246 (4.6%)</w:t>
            </w:r>
          </w:p>
        </w:tc>
        <w:tc>
          <w:tcPr>
            <w:tcW w:type="dxa" w:w="28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Very recent divergence / polymorphism</w:t>
            </w:r>
          </w:p>
        </w:tc>
      </w:tr>
    </w:tbl>
    <w:p>
      <w:pPr>
        <w:spacing w:before="80" w:after="0"/>
      </w:pPr>
    </w:p>
    <w:p>
      <w:pPr>
        <w:spacing w:before="80" w:after="80"/>
      </w:pPr>
      <w:r>
        <w:rPr>
          <w:rFonts w:ascii="Arial" w:cs="Arial" w:eastAsia="Arial" w:hAnsi="Arial"/>
          <w:sz w:val="22"/>
          <w:szCs w:val="22"/>
        </w:rPr>
        <w:t xml:space="preserve">Table 4. GENECONV-style test results. Orange rows highlight the most notable findings.</w:t>
      </w:r>
    </w:p>
    <w:p>
      <w:pPr>
        <w:spacing w:before="80" w:after="0"/>
      </w:pPr>
    </w:p>
    <w:p>
      <w:pPr>
        <w:spacing w:before="80" w:after="80"/>
      </w:pPr>
      <w:r>
        <w:rPr>
          <w:rFonts w:ascii="Arial" w:cs="Arial" w:eastAsia="Arial" w:hAnsi="Arial"/>
          <w:sz w:val="22"/>
          <w:szCs w:val="22"/>
        </w:rPr>
        <w:t xml:space="preserve">Gene conversion is unambiguously present. The top conversion clique (9 loci) shares identical codon runs of 144–203 consecutive codons, representing up to 59% of the entire coding alignment. This far exceeds any expectation from mutation pressure alone and indicates active, recent sequence shuffling between MROH6 paralogs.</w:t>
      </w:r>
    </w:p>
    <w:p>
      <w:pPr>
        <w:pStyle w:val="Heading1"/>
        <w:spacing w:before="320" w:after="160"/>
      </w:pPr>
      <w:r>
        <w:rPr>
          <w:rFonts w:ascii="Arial" w:cs="Arial" w:eastAsia="Arial" w:hAnsi="Arial"/>
          <w:b/>
          <w:bCs/>
          <w:color w:val="1F3864"/>
          <w:sz w:val="32"/>
          <w:szCs w:val="32"/>
        </w:rPr>
        <w:t xml:space="preserve">8. Mutation Spectrum and RT-Mediated Mutagenesis Test</w:t>
      </w:r>
    </w:p>
    <w:p>
      <w:pPr>
        <w:spacing w:before="80" w:after="80"/>
      </w:pPr>
      <w:r>
        <w:rPr>
          <w:rFonts w:ascii="Arial" w:cs="Arial" w:eastAsia="Arial" w:hAnsi="Arial"/>
          <w:sz w:val="22"/>
          <w:szCs w:val="22"/>
        </w:rPr>
        <w:t xml:space="preserve">If MROH6 copies were being mutated via reverse transcriptase errors during RNA→cDNA intermediate production (LINE-1 RT or retroviral RT), a strong enrichment of C→T (transition) substitutions would be expected relative to the genome background, due to RT error characteristics and APOBEC3 activity on single-stranded cDNA intermediates.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MROH6</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(RT-mediated)</w:t>
            </w:r>
          </w:p>
        </w:tc>
        <w:tc>
          <w:tcPr>
            <w:tcW w:type="dxa" w:w="23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Bird Genome Average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Ts/Tv at 4-fold degenerate sites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1.59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&gt; 4 (enriched)</w:t>
            </w:r>
          </w:p>
        </w:tc>
        <w:tc>
          <w:tcPr>
            <w:tcW w:type="dxa" w:w="2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~3.5</w:t>
            </w:r>
          </w:p>
        </w:tc>
      </w:tr>
      <w:tr>
        <w:tc>
          <w:tcPr>
            <w:tcW w:type="dxa" w:w="34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PAML M0 kappa (Ts/Tv across all sites)</w:t>
            </w:r>
          </w:p>
        </w:tc>
        <w:tc>
          <w:tcPr>
            <w:tcW w:type="dxa" w:w="18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2.302</w:t>
            </w:r>
          </w:p>
        </w:tc>
        <w:tc>
          <w:tcPr>
            <w:tcW w:type="dxa" w:w="18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&gt; 4</w:t>
            </w:r>
          </w:p>
        </w:tc>
        <w:tc>
          <w:tcPr>
            <w:tcW w:type="dxa" w:w="23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~3–4</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LINE / CR1 elements in coding region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Expected if cis RT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Variable</w:t>
            </w:r>
          </w:p>
        </w:tc>
      </w:tr>
      <w:tr>
        <w:tc>
          <w:tcPr>
            <w:tcW w:type="dxa" w:w="34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LTR/retroviral elements (broader locus)</w:t>
            </w:r>
          </w:p>
        </w:tc>
        <w:tc>
          <w:tcPr>
            <w:tcW w:type="dxa" w:w="18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9 elements / 0.26%</w:t>
            </w:r>
          </w:p>
        </w:tc>
        <w:tc>
          <w:tcPr>
            <w:tcW w:type="dxa" w:w="18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236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r>
    </w:tbl>
    <w:p>
      <w:pPr>
        <w:spacing w:before="80" w:after="0"/>
      </w:pPr>
    </w:p>
    <w:p>
      <w:pPr>
        <w:spacing w:before="80" w:after="80"/>
      </w:pPr>
      <w:r>
        <w:rPr>
          <w:rFonts w:ascii="Arial" w:cs="Arial" w:eastAsia="Arial" w:hAnsi="Arial"/>
          <w:sz w:val="22"/>
          <w:szCs w:val="22"/>
        </w:rPr>
        <w:t xml:space="preserve">Table 5. Mutation spectrum analysis. The observed Ts/Tv at 4-fold degenerate sites (1.59) is substantially below the bird genome average (~3.5) and below what would be expected for RT-mediated mutagenesis.</w:t>
      </w:r>
    </w:p>
    <w:p>
      <w:pPr>
        <w:spacing w:before="80" w:after="0"/>
      </w:pPr>
    </w:p>
    <w:p>
      <w:pPr>
        <w:spacing w:before="80" w:after="80"/>
      </w:pPr>
      <w:r>
        <w:rPr>
          <w:rFonts w:ascii="Arial" w:cs="Arial" w:eastAsia="Arial" w:hAnsi="Arial"/>
          <w:sz w:val="22"/>
          <w:szCs w:val="22"/>
        </w:rPr>
        <w:t xml:space="preserve">The low Ts/Tv is most likely a consequence of gene conversion itself: frequent conversion between copies that differ by transversions dilutes the transition signal that would otherwise dominate a standard point-mutation process. This does not exclude RNA-intermediate involvement; it means that if cDNA intermediates are forming, the mutagenic signature of the RT step is being masked by recombination dynamics.</w:t>
      </w:r>
    </w:p>
    <w:p>
      <w:pPr>
        <w:pStyle w:val="Heading1"/>
        <w:spacing w:before="320" w:after="160"/>
      </w:pPr>
      <w:r>
        <w:rPr>
          <w:rFonts w:ascii="Arial" w:cs="Arial" w:eastAsia="Arial" w:hAnsi="Arial"/>
          <w:b/>
          <w:bCs/>
          <w:color w:val="1F3864"/>
          <w:sz w:val="32"/>
          <w:szCs w:val="32"/>
        </w:rPr>
        <w:t xml:space="preserve">9. RepeatMasker Context</w:t>
      </w:r>
    </w:p>
    <w:p>
      <w:pPr>
        <w:spacing w:before="80" w:after="80"/>
      </w:pPr>
      <w:r>
        <w:rPr>
          <w:rFonts w:ascii="Arial" w:cs="Arial" w:eastAsia="Arial" w:hAnsi="Arial"/>
          <w:sz w:val="22"/>
          <w:szCs w:val="22"/>
        </w:rPr>
        <w:t xml:space="preserve">RepeatMasker was run on 317 MROH6 locus sequences (432 kb total) and on the canonical 10 kb MROH6 genomic region.</w:t>
      </w:r>
    </w:p>
    <w:p>
      <w:pPr>
        <w:spacing w:before="80" w:after="0"/>
      </w:pP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Zero LINE elements (L1, L2, CR1) detected in or near MROH6 coding regions</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Zero LTR elements in the canonical 10 kb MROH6 region</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9 LTR/retroviral elements (1,117 bp, 0.26% of the broader locus) in flanking sequence</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Simple repeats: 3.41% of the broader locus; low-complexity: 0.68%</w:t>
      </w:r>
    </w:p>
    <w:p>
      <w:pPr>
        <w:spacing w:before="80" w:after="0"/>
      </w:pPr>
    </w:p>
    <w:p>
      <w:pPr>
        <w:spacing w:before="80" w:after="80"/>
      </w:pPr>
      <w:r>
        <w:rPr>
          <w:rFonts w:ascii="Arial" w:cs="Arial" w:eastAsia="Arial" w:hAnsi="Arial"/>
          <w:sz w:val="22"/>
          <w:szCs w:val="22"/>
        </w:rPr>
        <w:t xml:space="preserve">The absence of CR1 or LINE elements within the coding region argues against cis retrotransposition of intact MROH6 copies. Importantly, it does not preclude trans LINE-1 RT activity (cellular ORF2 RT can act on any polyadenylated mRNA without being in cis).</w:t>
      </w:r>
    </w:p>
    <w:p>
      <w:pPr>
        <w:spacing w:before="80" w:after="0"/>
      </w:pPr>
    </w:p>
    <w:p>
      <w:pPr>
        <w:spacing w:before="80" w:after="80"/>
      </w:pPr>
      <w:r>
        <w:rPr>
          <w:rFonts w:ascii="Arial" w:cs="Arial" w:eastAsia="Arial" w:hAnsi="Arial"/>
          <w:b/>
          <w:bCs/>
          <w:sz w:val="22"/>
          <w:szCs w:val="22"/>
        </w:rPr>
        <w:t xml:space="preserve">Comparison with MROH2B in chicken: </w:t>
      </w:r>
      <w:r>
        <w:rPr>
          <w:rFonts w:ascii="Arial" w:cs="Arial" w:eastAsia="Arial" w:hAnsi="Arial"/>
          <w:sz w:val="22"/>
          <w:szCs w:val="22"/>
        </w:rPr>
        <w:t xml:space="preserve">CR1 elements are strongly enriched 3′ of each MROH2B copy in Gallus gallus but are absent from the coding sequences and promoters. This architecture suggests CR1 elements in MROH2B serve as transcriptional terminators (defining discrete per-copy transcription units) and as recombination substrates mediating clean unequal crossing-over between tandem copies. MROH6 in zebra finch lacks this CR1 termination architecture, potentially allowing read-through transcription across adjacent copies — a prerequisite for the trans-splicing and chimeric cDNA model discussed in Section 10.</w:t>
      </w:r>
    </w:p>
    <w:p>
      <w:pPr>
        <w:pStyle w:val="Heading1"/>
        <w:spacing w:before="320" w:after="160"/>
      </w:pPr>
      <w:r>
        <w:rPr>
          <w:rFonts w:ascii="Arial" w:cs="Arial" w:eastAsia="Arial" w:hAnsi="Arial"/>
          <w:b/>
          <w:bCs/>
          <w:color w:val="1F3864"/>
          <w:sz w:val="32"/>
          <w:szCs w:val="32"/>
        </w:rPr>
        <w:t xml:space="preserve">10. Integrated Mechanistic Model</w:t>
      </w:r>
    </w:p>
    <w:p>
      <w:pPr>
        <w:spacing w:before="80" w:after="80"/>
      </w:pPr>
      <w:r>
        <w:rPr>
          <w:rFonts w:ascii="Arial" w:cs="Arial" w:eastAsia="Arial" w:hAnsi="Arial"/>
          <w:sz w:val="22"/>
          <w:szCs w:val="22"/>
        </w:rPr>
        <w:t xml:space="preserve">Drawing together all lines of evidence, the following model is proposed for MROH6 copy diversification in zebra finch:</w:t>
      </w:r>
    </w:p>
    <w:p>
      <w:pPr>
        <w:spacing w:before="100" w:after="0"/>
      </w:pPr>
    </w:p>
    <w:p>
      <w:pPr>
        <w:pStyle w:val="Heading2"/>
        <w:spacing w:before="240" w:after="120"/>
      </w:pPr>
      <w:r>
        <w:rPr>
          <w:rFonts w:ascii="Arial" w:cs="Arial" w:eastAsia="Arial" w:hAnsi="Arial"/>
          <w:b/>
          <w:bCs/>
          <w:color w:val="2E5F9E"/>
          <w:sz w:val="26"/>
          <w:szCs w:val="26"/>
        </w:rPr>
        <w:t xml:space="preserve">Step 1 — Tandem expansion by DNA-level mechanisms</w:t>
      </w:r>
    </w:p>
    <w:p>
      <w:pPr>
        <w:spacing w:before="80" w:after="80"/>
      </w:pPr>
      <w:r>
        <w:rPr>
          <w:rFonts w:ascii="Arial" w:cs="Arial" w:eastAsia="Arial" w:hAnsi="Arial"/>
          <w:sz w:val="22"/>
          <w:szCs w:val="22"/>
        </w:rPr>
        <w:t xml:space="preserve">The microchromosome and sub-telomeric location of MROH6 provides a high-recombination environment (bird microchromosomes have 5–10× higher recombination rates per bp than macrochromosomes). Replication slippage and unequal crossing-over in this environment generate copy number expansion, producing a large tandem array of genomic copies retaining intron–exon structure. This accounts for the complete absence of intronless retrocopies — all copies are genomic in origin.</w:t>
      </w:r>
    </w:p>
    <w:p>
      <w:pPr>
        <w:spacing w:before="80" w:after="0"/>
      </w:pPr>
    </w:p>
    <w:p>
      <w:pPr>
        <w:pStyle w:val="Heading2"/>
        <w:spacing w:before="240" w:after="120"/>
      </w:pPr>
      <w:r>
        <w:rPr>
          <w:rFonts w:ascii="Arial" w:cs="Arial" w:eastAsia="Arial" w:hAnsi="Arial"/>
          <w:b/>
          <w:bCs/>
          <w:color w:val="2E5F9E"/>
          <w:sz w:val="26"/>
          <w:szCs w:val="26"/>
        </w:rPr>
        <w:t xml:space="preserve">Step 2 — RNA Pol II read-through and trans-splicing</w:t>
      </w:r>
    </w:p>
    <w:p>
      <w:pPr>
        <w:spacing w:before="80" w:after="80"/>
      </w:pPr>
      <w:r>
        <w:rPr>
          <w:rFonts w:ascii="Arial" w:cs="Arial" w:eastAsia="Arial" w:hAnsi="Arial"/>
          <w:sz w:val="22"/>
          <w:szCs w:val="22"/>
        </w:rPr>
        <w:t xml:space="preserve">Without CR1 elements to terminate transcription at copy boundaries (as is seen in MROH2B), RNA Pol II produces read-through transcripts spanning adjacent MROH6 copies. Chimeric transcripts can be generated by trans-splicing between copies, combining exonic sequence from copy A with exonic sequence from copy B in a single mRNA molecule.</w:t>
      </w:r>
    </w:p>
    <w:p>
      <w:pPr>
        <w:spacing w:before="80" w:after="0"/>
      </w:pPr>
    </w:p>
    <w:p>
      <w:pPr>
        <w:pStyle w:val="Heading2"/>
        <w:spacing w:before="240" w:after="120"/>
      </w:pPr>
      <w:r>
        <w:rPr>
          <w:rFonts w:ascii="Arial" w:cs="Arial" w:eastAsia="Arial" w:hAnsi="Arial"/>
          <w:b/>
          <w:bCs/>
          <w:color w:val="2E5F9E"/>
          <w:sz w:val="26"/>
          <w:szCs w:val="26"/>
        </w:rPr>
        <w:t xml:space="preserve">Step 3 — LINE-1 RT in trans during spermatogenesis</w:t>
      </w:r>
    </w:p>
    <w:p>
      <w:pPr>
        <w:spacing w:before="80" w:after="80"/>
      </w:pPr>
      <w:r>
        <w:rPr>
          <w:rFonts w:ascii="Arial" w:cs="Arial" w:eastAsia="Arial" w:hAnsi="Arial"/>
          <w:sz w:val="22"/>
          <w:szCs w:val="22"/>
        </w:rPr>
        <w:t xml:space="preserve">LINE-1 and retrotransposon RT elements are transcriptionally derepressed during a defined window of spermatogenesis (pachytene spermatocytes) coinciding with peak meiotic recombination. Cellular ORF2-encoded RT can act in trans on any polyadenylated mRNA, including MROH6 transcripts and trans-spliced chimeras, producing cDNA molecules without integration at new loci.</w:t>
      </w:r>
    </w:p>
    <w:p>
      <w:pPr>
        <w:spacing w:before="80" w:after="0"/>
      </w:pPr>
    </w:p>
    <w:p>
      <w:pPr>
        <w:pStyle w:val="Heading2"/>
        <w:spacing w:before="240" w:after="120"/>
      </w:pPr>
      <w:r>
        <w:rPr>
          <w:rFonts w:ascii="Arial" w:cs="Arial" w:eastAsia="Arial" w:hAnsi="Arial"/>
          <w:b/>
          <w:bCs/>
          <w:color w:val="2E5F9E"/>
          <w:sz w:val="26"/>
          <w:szCs w:val="26"/>
        </w:rPr>
        <w:t xml:space="preserve">Step 4 — cDNA-mediated gene conversion (RNA-templated)</w:t>
      </w:r>
    </w:p>
    <w:p>
      <w:pPr>
        <w:spacing w:before="80" w:after="80"/>
      </w:pPr>
      <w:r>
        <w:rPr>
          <w:rFonts w:ascii="Arial" w:cs="Arial" w:eastAsia="Arial" w:hAnsi="Arial"/>
          <w:sz w:val="22"/>
          <w:szCs w:val="22"/>
        </w:rPr>
        <w:t xml:space="preserve">Rather than undergoing TPRT integration (which would produce intronless copies), cDNA molecules invade existing genomic MROH6 copies via strand exchange during meiotic recombination, templating gene conversion of exonic sequences while leaving intron architecture of the recipient genomic copy intact. Chimeric cDNA from trans-spliced transcripts transfers exon sequence between non-adjacent copies in a single conversion event. This produces the mosaic long-identical-codon-block pattern observed in GENECONV analysis.</w:t>
      </w:r>
    </w:p>
    <w:p>
      <w:pPr>
        <w:spacing w:before="80" w:after="0"/>
      </w:pPr>
    </w:p>
    <w:p>
      <w:pPr>
        <w:pStyle w:val="Heading2"/>
        <w:spacing w:before="240" w:after="120"/>
      </w:pPr>
      <w:r>
        <w:rPr>
          <w:rFonts w:ascii="Arial" w:cs="Arial" w:eastAsia="Arial" w:hAnsi="Arial"/>
          <w:b/>
          <w:bCs/>
          <w:color w:val="2E5F9E"/>
          <w:sz w:val="26"/>
          <w:szCs w:val="26"/>
        </w:rPr>
        <w:t xml:space="preserve">Key predictions of the model</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No intronless MROH6 copies — CONFIRMED (none observed)</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Extensive gene conversion between paralogs — CONFIRMED (260 pairs exceed null, max 203-codon identical runs)</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Elevated dN relative to genome average — CONFIRMED (5.9× above functional average)</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No LINE/CR1 elements in coding region (RT acts in trans) — CONFIRMED</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Transition bias suppressed by recombination — CONFIRMED (Ts/Tv = 1.59)</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Genuine positive selection at specific sites, not just polymorphism — CONFIRMED (radical/conservative χ² = 260, p ≈ 10⁻⁵⁸; modal derived alleles at 28/30 BEB sites)</w:t>
      </w:r>
    </w:p>
    <w:p>
      <w:pPr>
        <w:pStyle w:val="Heading1"/>
        <w:spacing w:before="320" w:after="160"/>
      </w:pPr>
      <w:r>
        <w:rPr>
          <w:rFonts w:ascii="Arial" w:cs="Arial" w:eastAsia="Arial" w:hAnsi="Arial"/>
          <w:b/>
          <w:bCs/>
          <w:color w:val="1F3864"/>
          <w:sz w:val="32"/>
          <w:szCs w:val="32"/>
        </w:rPr>
        <w:t xml:space="preserve">11. Germline Context: Spermatogenesis and the piRNA System</w:t>
      </w:r>
    </w:p>
    <w:p>
      <w:pPr>
        <w:spacing w:before="80" w:after="80"/>
      </w:pPr>
      <w:r>
        <w:rPr>
          <w:rFonts w:ascii="Arial" w:cs="Arial" w:eastAsia="Arial" w:hAnsi="Arial"/>
          <w:sz w:val="22"/>
          <w:szCs w:val="22"/>
        </w:rPr>
        <w:t xml:space="preserve">The proposed mechanism depends on a brief window of high RT expression in the male germline. The co-occurrence of elevated LINE-1 RT activity, peak meiotic recombination rate, and the highest DSB density at microchromosome and sub-telomeric positions in spermatocytes creates an ideal environment for the cDNA-mediated gene conversion pathway described above.</w:t>
      </w:r>
    </w:p>
    <w:p>
      <w:pPr>
        <w:spacing w:before="80" w:after="0"/>
      </w:pPr>
    </w:p>
    <w:p>
      <w:pPr>
        <w:spacing w:before="80" w:after="80"/>
      </w:pPr>
      <w:r>
        <w:rPr>
          <w:rFonts w:ascii="Arial" w:cs="Arial" w:eastAsia="Arial" w:hAnsi="Arial"/>
          <w:sz w:val="22"/>
          <w:szCs w:val="22"/>
        </w:rPr>
        <w:t xml:space="preserve">The evolutionary logic of high germline RT expression remains incompletely explained. Current explanations include incomplete piRNA silencing during epigenetic reprogramming, and active genome surveillance via the piRNA ping-pong amplification cycle. MROH6, located in sub-telomeric regions potentially proximal to piRNA clusters on microchromosomes, may be a target or incidental beneficiary of this germline RT activity. Whether MROH6 transcripts are incorporated into piRNA biogenesis pathways is an empirically testable question using available spermatocyte small RNA data.</w:t>
      </w:r>
    </w:p>
    <w:p>
      <w:pPr>
        <w:spacing w:before="80" w:after="0"/>
      </w:pPr>
    </w:p>
    <w:p>
      <w:pPr>
        <w:spacing w:before="80" w:after="80"/>
      </w:pPr>
      <w:r>
        <w:rPr>
          <w:rFonts w:ascii="Arial" w:cs="Arial" w:eastAsia="Arial" w:hAnsi="Arial"/>
          <w:sz w:val="22"/>
          <w:szCs w:val="22"/>
        </w:rPr>
        <w:t xml:space="preserve">The contrast with MROH2B in chicken is informative: the presence of CR1 terminators 3′ of each MROH2B copy prevents read-through transcription, limiting the RNA pool available for trans RT activity. MROH2B thus undergoes cleaner copy-number expansion and individual copy neofunctionalisation, while MROH6 undergoes more mosaic, collectively-directed diversification via cDNA-mediated conversion.</w:t>
      </w:r>
    </w:p>
    <w:p>
      <w:pPr>
        <w:pStyle w:val="Heading1"/>
        <w:spacing w:before="320" w:after="160"/>
      </w:pPr>
      <w:r>
        <w:rPr>
          <w:rFonts w:ascii="Arial" w:cs="Arial" w:eastAsia="Arial" w:hAnsi="Arial"/>
          <w:b/>
          <w:bCs/>
          <w:color w:val="1F3864"/>
          <w:sz w:val="32"/>
          <w:szCs w:val="32"/>
        </w:rPr>
        <w:t xml:space="preserve">12. Summary of Key Analytical Findings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W w:type="dxa" w:w="30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Analysis</w:t>
            </w:r>
          </w:p>
        </w:tc>
        <w:tc>
          <w:tcPr>
            <w:tcW w:type="dxa" w:w="348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w:t>
            </w:r>
          </w:p>
        </w:tc>
        <w:tc>
          <w:tcPr>
            <w:tcW w:type="dxa" w:w="288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Conclusion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LRT M1a vs M2a</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2ΔlnL = 198.1, p &lt; 10⁻⁴³</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Strong positive selection</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LRT M7 vs M8</w:t>
            </w:r>
          </w:p>
        </w:tc>
        <w:tc>
          <w:tcPr>
            <w:tcW w:type="dxa" w:w="34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2ΔlnL = 241.0, p &lt; 10⁻⁵²</w:t>
            </w:r>
          </w:p>
        </w:tc>
        <w:tc>
          <w:tcPr>
            <w:tcW w:type="dxa" w:w="28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Strong positive selection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BEB significant sites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30 sites (P &gt; 0.95); 22 with P &gt; 0.99</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Specific sites under selection</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Radical vs conservative substitution</w:t>
            </w:r>
          </w:p>
        </w:tc>
        <w:tc>
          <w:tcPr>
            <w:tcW w:type="dxa" w:w="34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67% radical at BEB vs 48% elsewhere; p ≈ 10⁻⁵⁸</w:t>
            </w:r>
          </w:p>
        </w:tc>
        <w:tc>
          <w:tcPr>
            <w:tcW w:type="dxa" w:w="28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Independent positive selection signal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Modal allele analysis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28/30 BEB sites have derived majority state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Sweep dynamics, not polymorphism</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dN vs genome average</w:t>
            </w:r>
          </w:p>
        </w:tc>
        <w:tc>
          <w:tcPr>
            <w:tcW w:type="dxa" w:w="34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0.210 observed vs 0.044 expected (functional)</w:t>
            </w:r>
          </w:p>
        </w:tc>
        <w:tc>
          <w:tcPr>
            <w:tcW w:type="dxa" w:w="28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5.9× elevated nonsynonymous rate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dN vs duplicated gene baseline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0.210 observed vs 0.116 expected</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2.2× above relaxed baseline</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GENECONV</w:t>
            </w:r>
          </w:p>
        </w:tc>
        <w:tc>
          <w:tcPr>
            <w:tcW w:type="dxa" w:w="34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260 pairs (4.9%) exceed 99th pct null; max 203-codon runs</w:t>
            </w:r>
          </w:p>
        </w:tc>
        <w:tc>
          <w:tcPr>
            <w:tcW w:type="dxa" w:w="28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Extensive active gene conversion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Ts/Tv (4-fold sites)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1.59 vs genome average ~3.5</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Recombination suppresses transition bias</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LINE/CR1 in coding region</w:t>
            </w:r>
          </w:p>
        </w:tc>
        <w:tc>
          <w:tcPr>
            <w:tcW w:type="dxa" w:w="34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Zero elements detected</w:t>
            </w:r>
          </w:p>
        </w:tc>
        <w:tc>
          <w:tcPr>
            <w:tcW w:type="dxa" w:w="28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 cis RT; trans model required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Intronless retrocopies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None observed</w:t>
            </w:r>
          </w:p>
        </w:tc>
        <w:tc>
          <w:tcPr>
            <w:tcW w:type="dxa" w:w="28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No TPRT integration; genomic-only copies</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Structural architecture</w:t>
            </w:r>
          </w:p>
        </w:tc>
        <w:tc>
          <w:tcPr>
            <w:tcW w:type="dxa" w:w="34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3-tier: N-ext (~60%), core (~95%), C-ext (~55–74%)</w:t>
            </w:r>
          </w:p>
        </w:tc>
        <w:tc>
          <w:tcPr>
            <w:tcW w:type="dxa" w:w="288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Core conserved; termini diversified</w:t>
            </w:r>
          </w:p>
        </w:tc>
      </w:tr>
    </w:tbl>
    <w:p>
      <w:pPr>
        <w:spacing w:before="80" w:after="0"/>
      </w:pPr>
    </w:p>
    <w:p>
      <w:pPr>
        <w:spacing w:before="80" w:after="80"/>
      </w:pPr>
      <w:r>
        <w:rPr>
          <w:rFonts w:ascii="Arial" w:cs="Arial" w:eastAsia="Arial" w:hAnsi="Arial"/>
          <w:sz w:val="22"/>
          <w:szCs w:val="22"/>
        </w:rPr>
        <w:t xml:space="preserve">Table 6. Consolidated summary of analytical findings and their biological interpretation.</w:t>
      </w:r>
    </w:p>
    <w:p>
      <w:pPr>
        <w:pStyle w:val="Heading1"/>
        <w:spacing w:before="320" w:after="160"/>
      </w:pPr>
      <w:r>
        <w:rPr>
          <w:rFonts w:ascii="Arial" w:cs="Arial" w:eastAsia="Arial" w:hAnsi="Arial"/>
          <w:b/>
          <w:bCs/>
          <w:color w:val="1F3864"/>
          <w:sz w:val="32"/>
          <w:szCs w:val="32"/>
        </w:rPr>
        <w:t xml:space="preserve">13. Technical Notes and Caveats</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The alignment (104 seqs × 342 codons) was generated at MIN_PAML_COV = 0.50; lowering this threshold to 0.33 admitted ~170 loci but introduced excessive gap patterns. All results reported here use the 0.50 threshold.</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M8 PAML produced two BEB output tables due to two convergence restarts; only the final (complete) table was used, giving 30 unique sites rather than the 44 or 62 that naive concatenation would suggest.</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4.6% of pairwise comparisons have dS &lt; 0.01 with dN &gt; 0, indicating very recent divergence or within-species polymorphism at these copy pairs. This fraction inflates the median ω (0.803) somewhat; however, the radical/conservative and modal allele tests are independent of ω and confirm genuine selection.</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The GENECONV analysis was implemented in Python with 1,000 permutation replicates of variable alignment columns as the null distribution, since the GENECONV binary could not be obtained. Results are consistent with expectations from Sawyer (1989).</w:t>
      </w:r>
    </w:p>
    <w:p>
      <w:pPr>
        <w:spacing w:before="60" w:after="60"/>
        <w:ind w:left="720" w:hanging="360"/>
      </w:pPr>
      <w:r>
        <w:rPr>
          <w:rFonts w:ascii="Arial" w:cs="Arial" w:eastAsia="Arial" w:hAnsi="Arial"/>
          <w:color w:val="2E5F9E"/>
          <w:sz w:val="22"/>
          <w:szCs w:val="22"/>
        </w:rPr>
        <w:t xml:space="preserve">•  </w:t>
      </w:r>
      <w:r>
        <w:rPr>
          <w:rFonts w:ascii="Arial" w:cs="Arial" w:eastAsia="Arial" w:hAnsi="Arial"/>
          <w:sz w:val="22"/>
          <w:szCs w:val="22"/>
        </w:rPr>
        <w:t xml:space="preserve">The mutation spectrum analysis (Ts/Tv = 1.59) likely reflects gene conversion dynamics masking the underlying point-mutation spectrum rather than a genuine suppression of transitions in the mutational process.</w:t>
      </w:r>
    </w:p>
    <w:p>
      <w:pPr>
        <w:spacing w:before="200" w:after="0"/>
      </w:pPr>
    </w:p>
    <w:p>
      <w:pPr>
        <w:pBdr>
          <w:bottom w:val="single" w:color="2E5F9E" w:sz="6" w:space="1"/>
        </w:pBdr>
        <w:spacing w:before="120" w:after="120"/>
      </w:pPr>
    </w:p>
    <w:p>
      <w:pPr>
        <w:spacing w:before="80" w:after="0"/>
      </w:pPr>
      <w:r>
        <w:rPr>
          <w:rFonts w:ascii="Arial" w:cs="Arial" w:eastAsia="Arial" w:hAnsi="Arial"/>
          <w:i/>
          <w:iCs/>
          <w:color w:val="999999"/>
          <w:sz w:val="18"/>
          <w:szCs w:val="18"/>
        </w:rPr>
        <w:t xml:space="preserve">MROH6 Zebra Finch Analysis  |  Monaco Lab  |  March 2026  |  For colleague review — not for citation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4" w:space="4"/>
      </w:pBdr>
    </w:pPr>
    <w:r>
      <w:rPr>
        <w:rFonts w:ascii="Arial" w:cs="Arial" w:eastAsia="Arial" w:hAnsi="Arial"/>
        <w:color w:val="666666"/>
        <w:sz w:val="18"/>
        <w:szCs w:val="18"/>
      </w:rPr>
      <w:t xml:space="preserve">MROH6 Evolutionary Analysis — Taeniopygia guttata</w:t>
    </w:r>
    <w:r>
      <w:rPr>
        <w:rFonts w:ascii="Arial" w:cs="Arial" w:eastAsia="Arial" w:hAnsi="Arial"/>
        <w:color w:val="AAAAAA"/>
        <w:sz w:val="18"/>
        <w:szCs w:val="18"/>
      </w:rPr>
      <w:t xml:space="preserve">     |     For colleague review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9E"/>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2026-03-16T03:03:05.465Z</dcterms:created>
  <dcterms:modified xsi:type="dcterms:W3CDTF">2026-03-16T03:03:05.465Z</dcterms:modified>
</cp:coreProperties>
</file>

<file path=docProps/custom.xml><?xml version="1.0" encoding="utf-8"?>
<Properties xmlns="http://schemas.openxmlformats.org/officeDocument/2006/custom-properties" xmlns:vt="http://schemas.openxmlformats.org/officeDocument/2006/docPropsVTypes"/>
</file>