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5C8A"/>
          <w:sz w:val="44"/>
          <w:szCs w:val="44"/>
        </w:rPr>
        <w:t xml:space="preserve">INFORME TÉCNICO</w:t>
      </w:r>
    </w:p>
    <w:p>
      <w:pPr>
        <w:spacing w:after="200"/>
        <w:jc w:val="center"/>
      </w:pPr>
      <w:r>
        <w:rPr>
          <w:b/>
          <w:bCs/>
          <w:sz w:val="32"/>
          <w:szCs w:val="32"/>
        </w:rPr>
        <w:t xml:space="preserve">Arquitectura Gráfica y Sistema de Efectos</w:t>
      </w:r>
    </w:p>
    <w:p>
      <w:pPr>
        <w:spacing w:after="600"/>
        <w:jc w:val="center"/>
      </w:pPr>
      <w:r>
        <w:rPr>
          <w:color w:val="666666"/>
          <w:sz w:val="24"/>
          <w:szCs w:val="24"/>
        </w:rPr>
        <w:t xml:space="preserve">Proyecto Vectopen — Editor Vectorial de Alto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Proyecto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Vectopen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Entorno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Godot Engine 4.6 (GDScript + GLSL)</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Plataforma objetivo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Hardware limitado (≤ 4 GB RAM)</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Objetivo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Optimización y estructuración de la pila de efectos en tiempo real para un editor de diseño vectorial</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Fecha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15 de junio de 2026</w:t>
            </w:r>
          </w:p>
        </w:tc>
      </w:tr>
    </w:tbl>
    <w:p>
      <w:r>
        <w:br w:type="page"/>
      </w: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p>
      <w:pPr>
        <w:spacing w:after="160"/>
      </w:pPr>
      <w:r>
        <w:t xml:space="preserve">El núcleo gráfico de Vectopen está diseñado bajo una filosofía de baja huella de memoria y renderizado directo en GPU, con un enfoque comparable en eficiencia al de herramientas de referencia del mercado como Affinity Designer. La arquitectura aísla por completo el lienzo de dibujo vectorial de los efectos complejos de interfaz y capas mediante un búfer de copia intermedio (BackBufferCopy).</w:t>
      </w:r>
    </w:p>
    <w:p>
      <w:pPr>
        <w:spacing w:after="160"/>
      </w:pPr>
      <w:r>
        <w:t xml:space="preserve">El backend gráfico se organiza en tres módulos de post-procesamiento y desarrollo de sombreadores (shaders), controlados mediante un sistema de interruptores booleanos dinámicos gestionados desde GDScript. Esta estrategia, conocida como uniform branching, evita la recompilación de shaders en tiempo real y elimina los micro-congelamientos asociados a la edición interactiva de efectos.</w:t>
      </w:r>
    </w:p>
    <w:p>
      <w:pPr>
        <w:spacing w:after="160"/>
      </w:pPr>
      <w:r>
        <w:t xml:space="preserve">Este informe documenta la arquitectura del lienzo, la modularización del panel de efectos, el sistema de compilación eficiente y una hoja de ruta de próximos pasos. Adicionalmente, se incluye una sección de validación técnica que revisa la corrección de las llamadas a la API de Godot 4.6 utilizadas en la implementación propuesta.</w:t>
      </w:r>
    </w:p>
    <w:p>
      <w:pPr>
        <w:pStyle w:val="Heading1"/>
      </w:pPr>
      <w:r>
        <w:t xml:space="preserve">2. Arquitectura del Lienzo y Optimización (BackBufferCopy)</w:t>
      </w:r>
    </w:p>
    <w:p>
      <w:pPr>
        <w:spacing w:after="160"/>
      </w:pPr>
      <w:r>
        <w:t xml:space="preserve">Para mantener una tasa constante de 60 FPS sin tirones (stuttering) ni retraso visual (lag), el lienzo de Vectopen implementa el nodo BackBufferCopy como gestor de captura intermedio entre la escena vectorial y la interfaz.</w:t>
      </w:r>
    </w:p>
    <w:p>
      <w:pPr>
        <w:pStyle w:val="Heading2"/>
      </w:pPr>
      <w:r>
        <w:t xml:space="preserve">2.1 Flujo de la canalización gráfica</w:t>
      </w:r>
    </w:p>
    <w:p>
      <w:pPr>
        <w:pBdr>
          <w:left w:val="single" w:color="2E5C8A" w:sz="12" w:space="8"/>
        </w:pBdr>
        <w:shd w:fill="F4F4F4" w:val="clear"/>
        <w:spacing w:after="160"/>
      </w:pPr>
      <w:r>
        <w:rPr>
          <w:rFonts w:ascii="Consolas" w:cs="Consolas" w:eastAsia="Consolas" w:hAnsi="Consolas"/>
          <w:sz w:val="18"/>
          <w:szCs w:val="18"/>
        </w:rPr>
        <w:t xml:space="preserve">[ Capa_Vectores (Fondo)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BackBufferCopy (Captura de Pantalla)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Interfaz / Cristal (Shader) ]</w:t>
      </w:r>
    </w:p>
    <w:p>
      <w:pPr>
        <w:spacing w:after="160"/>
      </w:pPr>
      <w:r>
        <w:t xml:space="preserve">El nodo BackBufferCopy toma una textura instantánea del lienzo de dibujo justo antes de que se renderice la interfaz con estilo "cristal" (efecto vidrio esmerilado tipo Apple). Esta textura capturada queda disponible como SCREEN_TEXTURE para los shaders de la interfaz, permitiendo efectos de desenfoque y refracción sobre el contenido del lienzo sin coste adicional de render targets.</w:t>
      </w:r>
    </w:p>
    <w:p>
      <w:pPr>
        <w:pStyle w:val="Heading2"/>
      </w:pPr>
      <w:r>
        <w:t xml:space="preserve">2.2 Mecánica de sincronización</w:t>
      </w:r>
    </w:p>
    <w:p>
      <w:pPr>
        <w:spacing w:after="160"/>
      </w:pPr>
      <w:r>
        <w:t xml:space="preserve">Un problema habitual con BackBufferCopy es la desincronización entre la captura y elementos dinámicos (partículas, animaciones), que pueden aparecer "congelados" en el fondo capturado si la copia ocurre antes de que esos elementos se actualicen en el frame. La arquitectura propone dos medidas:</w:t>
      </w:r>
    </w:p>
    <w:p>
      <w:pPr>
        <w:pStyle w:val="ListParagraph"/>
        <w:numPr>
          <w:ilvl w:val="0"/>
          <w:numId w:val="2"/>
        </w:numPr>
        <w:spacing w:after="80"/>
      </w:pPr>
      <w:r>
        <w:t xml:space="preserve">Simulación nativa en CPU: uso de CPUParticles2D para elementos decorativos y guías, de forma que su posición se calcule en el hilo principal antes de que ocurra la copia del búfer, evitando dependencias del pipeline de partículas en GPU.</w:t>
      </w:r>
    </w:p>
    <w:p>
      <w:pPr>
        <w:pStyle w:val="ListParagraph"/>
        <w:numPr>
          <w:ilvl w:val="0"/>
          <w:numId w:val="2"/>
        </w:numPr>
        <w:spacing w:after="80"/>
      </w:pPr>
      <w:r>
        <w:t xml:space="preserve">Sincronización forzada del frame: un script puente que garantiza que el contenido a copiar esté completamente actualizado antes de la captura.</w:t>
      </w:r>
    </w:p>
    <w:p>
      <w:pPr>
        <w:pBdr>
          <w:left w:val="single" w:color="2E5C8A" w:sz="12" w:space="8"/>
        </w:pBdr>
        <w:shd w:fill="F4F4F4" w:val="clear"/>
        <w:spacing w:after="160"/>
      </w:pPr>
      <w:r>
        <w:rPr>
          <w:rFonts w:ascii="Consolas" w:cs="Consolas" w:eastAsia="Consolas" w:hAnsi="Consolas"/>
          <w:sz w:val="18"/>
          <w:szCs w:val="18"/>
        </w:rPr>
        <w:t xml:space="preserve">func _notification(what: int) -&gt; void:</w:t>
      </w:r>
      <w:r>
        <w:br/>
        <w:t xml:space="preserve"/>
      </w:r>
      <w:r>
        <w:rPr>
          <w:rFonts w:ascii="Consolas" w:cs="Consolas" w:eastAsia="Consolas" w:hAnsi="Consolas"/>
          <w:sz w:val="18"/>
          <w:szCs w:val="18"/>
        </w:rPr>
        <w:t xml:space="preserve">    if what == NOTIFICATION_DRAW:</w:t>
      </w:r>
      <w:r>
        <w:br/>
        <w:t xml:space="preserve"/>
      </w:r>
      <w:r>
        <w:rPr>
          <w:rFonts w:ascii="Consolas" w:cs="Consolas" w:eastAsia="Consolas" w:hAnsi="Consolas"/>
          <w:sz w:val="18"/>
          <w:szCs w:val="18"/>
        </w:rPr>
        <w:t xml:space="preserve">        RenderingServer.force_draw(false)</w:t>
      </w:r>
      <w:r>
        <w:br/>
        <w:t xml:space="preserve"/>
      </w:r>
      <w:r>
        <w:rPr>
          <w:rFonts w:ascii="Consolas" w:cs="Consolas" w:eastAsia="Consolas" w:hAnsi="Consolas"/>
          <w:sz w:val="18"/>
          <w:szCs w:val="18"/>
        </w:rPr>
        <w:t xml:space="preserve">        # Fuerza la actualización síncrona del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24"/>
              <w:bottom w:val="single" w:color="B7472A" w:sz="4"/>
              <w:right w:val="single" w:color="B7472A" w:sz="4"/>
            </w:tcBorders>
            <w:shd w:fill="FBEFEC" w:val="clear"/>
            <w:tcMar>
              <w:top w:type="dxa" w:w="120"/>
              <w:left w:type="dxa" w:w="160"/>
              <w:bottom w:type="dxa" w:w="120"/>
              <w:right w:type="dxa" w:w="160"/>
            </w:tcMar>
          </w:tcPr>
          <w:p>
            <w:pPr>
              <w:spacing w:after="60"/>
            </w:pPr>
            <w:r>
              <w:rPr>
                <w:b/>
                <w:bCs/>
                <w:color w:val="B7472A"/>
                <w:sz w:val="20"/>
                <w:szCs w:val="20"/>
              </w:rPr>
              <w:t xml:space="preserve">Nota de validación técnica — RenderingServer.force_draw()</w:t>
            </w:r>
          </w:p>
          <w:p>
            <w:r>
              <w:rPr>
                <w:sz w:val="20"/>
                <w:szCs w:val="20"/>
              </w:rPr>
              <w:t xml:space="preserve">El método force_draw() existe en RenderingServer (Godot 4.x), pero está pensado para escenarios de preprocesamiento (pantallas de carga, generación de miniaturas, herramientas de editor fuera del bucle de juego), no para invocarse en cada frame dentro de _notification(NOTIFICATION_DRAW). Su comportamiento es bloqueante: detiene la ejecución hasta que la GPU termina de renderizar todos los viewports, lo que en un editor a 60 FPS introducirá micro-bloqueos contraproducentes — exactamente el problema que se busca evitar. Para resolver la desincronización de BackBufferCopy se recomienda en su lugar: (a) ajustar el copy_mode del nodo BackBufferCopy (RECT vs VIEWPORT) y su orden en el árbol de renderizado, (b) verificar que los nodos dinámicos estén por debajo del BackBufferCopy en el orden de dibujo si deben aparecer en la captura, o por encima si deben quedar fuera de ella, y (c) si se requiere sincronización explícita entre hilo lógico y render, usar await get_tree().process_frame antes de leer resultados, en lugar de force_draw(). Se recomienda validar empíricamente cada enfoque en un prototipo aislado antes de integrarlo al editor completo.</w:t>
            </w:r>
          </w:p>
        </w:tc>
      </w:tr>
    </w:tbl>
    <w:p>
      <w:pPr>
        <w:pStyle w:val="Heading1"/>
      </w:pPr>
      <w:r>
        <w:t xml:space="preserve">3. Modularización del Panel de Efectos (panel__effects.tscn)</w:t>
      </w:r>
    </w:p>
    <w:p>
      <w:pPr>
        <w:spacing w:after="160"/>
      </w:pPr>
      <w:r>
        <w:t xml:space="preserve">La interfaz y el backend de efectos se dividen en tres categorías independientes, con el fin de evitar la saturación de menús y optimizar las llamadas de dibujo (draw calls) enviadas a la GPU.</w:t>
      </w:r>
    </w:p>
    <w:p>
      <w:pPr>
        <w:pStyle w:val="Heading2"/>
      </w:pPr>
      <w:r>
        <w:t xml:space="preserve">3.1 Pestaña Effects — Composición Estructural e Interfaz</w:t>
      </w:r>
    </w:p>
    <w:p>
      <w:pPr>
        <w:spacing w:after="160"/>
      </w:pPr>
      <w:r>
        <w:t xml:space="preserve">Agrupa filtros vectoriales básicos orientados al diseño de interfaces UI/UX y siluetas:</w:t>
      </w:r>
    </w:p>
    <w:p>
      <w:pPr>
        <w:pStyle w:val="ListParagraph"/>
        <w:numPr>
          <w:ilvl w:val="0"/>
          <w:numId w:val="2"/>
        </w:numPr>
        <w:spacing w:after="80"/>
      </w:pPr>
      <w:r>
        <w:t xml:space="preserve">Blur (Desenfoque)</w:t>
      </w:r>
    </w:p>
    <w:p>
      <w:pPr>
        <w:pStyle w:val="ListParagraph"/>
        <w:numPr>
          <w:ilvl w:val="0"/>
          <w:numId w:val="2"/>
        </w:numPr>
        <w:spacing w:after="80"/>
      </w:pPr>
      <w:r>
        <w:t xml:space="preserve">Contorno (Borde / Outline)</w:t>
      </w:r>
    </w:p>
    <w:p>
      <w:pPr>
        <w:pStyle w:val="ListParagraph"/>
        <w:numPr>
          <w:ilvl w:val="0"/>
          <w:numId w:val="2"/>
        </w:numPr>
        <w:spacing w:after="80"/>
      </w:pPr>
      <w:r>
        <w:t xml:space="preserve">Sombra Interior</w:t>
      </w:r>
    </w:p>
    <w:p>
      <w:pPr>
        <w:pStyle w:val="ListParagraph"/>
        <w:numPr>
          <w:ilvl w:val="0"/>
          <w:numId w:val="2"/>
        </w:numPr>
        <w:spacing w:after="80"/>
      </w:pPr>
      <w:r>
        <w:t xml:space="preserve">Sombra Exterior</w:t>
      </w:r>
    </w:p>
    <w:p>
      <w:pPr>
        <w:pStyle w:val="ListParagraph"/>
        <w:numPr>
          <w:ilvl w:val="0"/>
          <w:numId w:val="2"/>
        </w:numPr>
        <w:spacing w:after="80"/>
      </w:pPr>
      <w:r>
        <w:t xml:space="preserve">Superposición de Color / Degradado</w:t>
      </w:r>
    </w:p>
    <w:p>
      <w:pPr>
        <w:spacing w:after="160"/>
      </w:pPr>
      <w:r>
        <w:t xml:space="preserve">Los controles tipo CheckBox y los deslizadores (sliders) modifican parámetros de un único shader monolítico compartido, evitando la proliferación de materiales distintos por objeto.</w:t>
      </w:r>
    </w:p>
    <w:p>
      <w:pPr>
        <w:pStyle w:val="Heading2"/>
      </w:pPr>
      <w:r>
        <w:t xml:space="preserve">3.2 Pestaña Effects Textures — Efectos Artísticos y de Relleno</w:t>
      </w:r>
    </w:p>
    <w:p>
      <w:pPr>
        <w:spacing w:after="160"/>
      </w:pPr>
      <w:r>
        <w:t xml:space="preserve">Incluye generadores procedimentales e ilustración abstracta, inspirados en librerías de software libre con un enfoque similar al de G'MIC (GIMP):</w:t>
      </w:r>
    </w:p>
    <w:p>
      <w:pPr>
        <w:pStyle w:val="ListParagraph"/>
        <w:numPr>
          <w:ilvl w:val="0"/>
          <w:numId w:val="2"/>
        </w:numPr>
        <w:spacing w:after="80"/>
      </w:pPr>
      <w:r>
        <w:t xml:space="preserve">Texturas matemáticas complejas: madera procedimental, ladrillos, mármol</w:t>
      </w:r>
    </w:p>
    <w:p>
      <w:pPr>
        <w:pStyle w:val="ListParagraph"/>
        <w:numPr>
          <w:ilvl w:val="0"/>
          <w:numId w:val="2"/>
        </w:numPr>
        <w:spacing w:after="80"/>
      </w:pPr>
      <w:r>
        <w:t xml:space="preserve">Ruido orgánico tipo Perlin / Simplex para acabados ilustrados a mano</w:t>
      </w:r>
    </w:p>
    <w:p>
      <w:pPr>
        <w:pStyle w:val="ListParagraph"/>
        <w:numPr>
          <w:ilvl w:val="0"/>
          <w:numId w:val="2"/>
        </w:numPr>
        <w:spacing w:after="80"/>
      </w:pPr>
      <w:r>
        <w:t xml:space="preserve">Semitonos estilo cómic</w:t>
      </w:r>
    </w:p>
    <w:p>
      <w:pPr>
        <w:spacing w:after="160"/>
      </w:pPr>
      <w:r>
        <w:t xml:space="preserve">Estos efectos pueden actuar de forma aislada sobre el material del vector, o apilarse sobre los efectos estructurales mediante la propiedad next_pass del material de Godot, que permite encadenar múltiples ShaderMaterial sobre el mismo nodo.</w:t>
      </w:r>
    </w:p>
    <w:p>
      <w:pPr>
        <w:pStyle w:val="Heading2"/>
      </w:pPr>
      <w:r>
        <w:t xml:space="preserve">3.3 Pestaña Shader — Entorno de Desarrollo Integrado</w:t>
      </w:r>
    </w:p>
    <w:p>
      <w:pPr>
        <w:spacing w:after="160"/>
      </w:pPr>
      <w:r>
        <w:t xml:space="preserve">Espacio de trabajo dedicado a la personalización total de materiales, planteado en dos fases:</w:t>
      </w:r>
    </w:p>
    <w:p>
      <w:pPr>
        <w:pStyle w:val="Heading3"/>
      </w:pPr>
      <w:r>
        <w:t xml:space="preserve">Fase 1 — Código GLSL</w:t>
      </w:r>
    </w:p>
    <w:p>
      <w:pPr>
        <w:spacing w:after="160"/>
      </w:pPr>
      <w:r>
        <w:t xml:space="preserve">Editor de texto nativo basado en el nodo CodeEdit, que permite compilar código de fragmento "en caliente" e inyectarlo directamente en la propiedad code de un objeto Shader limpio.</w:t>
      </w:r>
    </w:p>
    <w:p>
      <w:pPr>
        <w:pStyle w:val="Heading3"/>
      </w:pPr>
      <w:r>
        <w:t xml:space="preserve">Fase 2 — Nodos Visuales (expansión futura)</w:t>
      </w:r>
    </w:p>
    <w:p>
      <w:pPr>
        <w:spacing w:after="160"/>
      </w:pPr>
      <w:r>
        <w:t xml:space="preserve">Lienzo de nodos interconectados mediante GraphEdit y GraphNode, que se traduce automáticamente a código GLSL plano equivalente, ofreciendo una vía visual para usuarios no técnicos sin renunciar al control total para usuarios avanzados.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24"/>
              <w:bottom w:val="single" w:color="B7472A" w:sz="4"/>
              <w:right w:val="single" w:color="B7472A" w:sz="4"/>
            </w:tcBorders>
            <w:shd w:fill="FBEFEC" w:val="clear"/>
            <w:tcMar>
              <w:top w:type="dxa" w:w="120"/>
              <w:left w:type="dxa" w:w="160"/>
              <w:bottom w:type="dxa" w:w="120"/>
              <w:right w:type="dxa" w:w="160"/>
            </w:tcMar>
          </w:tcPr>
          <w:p>
            <w:pPr>
              <w:spacing w:after="60"/>
            </w:pPr>
            <w:r>
              <w:rPr>
                <w:b/>
                <w:bCs/>
                <w:color w:val="B7472A"/>
                <w:sz w:val="20"/>
                <w:szCs w:val="20"/>
              </w:rPr>
              <w:t xml:space="preserve">Nota de validación técnica — Compilación en caliente de GLSL</w:t>
            </w:r>
          </w:p>
          <w:p>
            <w:r>
              <w:rPr>
                <w:sz w:val="20"/>
                <w:szCs w:val="20"/>
              </w:rPr>
              <w:t xml:space="preserve">Asignar código arbitrario a la propiedad .code de un Shader desde CodeEdit es viable en Godot 4.x, pero conviene considerar: (1) un código GLSL inválido no siempre falla con un mensaje claro en pantalla — los errores de compilación de shader se reportan típicamente en la consola/salida de depuración, por lo que el editor de Vectopen debería capturar y mostrar esos mensajes dentro de la propia interfaz; (2) si en algún momento se permite cargar o pegar shaders de fuentes externas, es recomendable una validación previa (por ejemplo, comprobar la presencia de void fragment() y limitar el tamaño/complejidad) para evitar shaders que cuelguen el pipeline de render; (3) cada cambio de código fuerza una recompilación del shader en GPU, que tiene un coste perceptible — por eso la estrategia de interruptores booleanos del apartado 4 es preferible para los efectos del catálogo predefinido, reservando la recompilación en caliente para la pestaña Shader.</w:t>
            </w:r>
          </w:p>
        </w:tc>
      </w:tr>
    </w:tbl>
    <w:p>
      <w:pPr>
        <w:pStyle w:val="Heading1"/>
      </w:pPr>
      <w:r>
        <w:t xml:space="preserve">4. Sistema de Compilación Eficiente (Evitando el Lag de Carga)</w:t>
      </w:r>
    </w:p>
    <w:p>
      <w:pPr>
        <w:spacing w:after="160"/>
      </w:pPr>
      <w:r>
        <w:t xml:space="preserve">Recompilar fragmentos de shader cada vez que el usuario añade o elimina un efecto de su lista lateral genera micro-congelamientos molestos en el lienzo. Para evitarlo, Vectopen adopta la estrategia de interruptores booleanos (uniform branching): un único shader base precompilado contiene todas las funciones matemáticas del catálogo, y GDScript activa o desactiva interruptores lógicos en la GPU de forma instantánea, sin reescribir ni recompilar el archivo de shader.</w:t>
      </w:r>
    </w:p>
    <w:p>
      <w:pPr>
        <w:pStyle w:val="Heading2"/>
      </w:pPr>
      <w:r>
        <w:t xml:space="preserve">4.1 Shader único estructural — efectos_acumulados.gdshader</w:t>
      </w:r>
    </w:p>
    <w:p>
      <w:pPr>
        <w:pBdr>
          <w:left w:val="single" w:color="2E5C8A" w:sz="12" w:space="8"/>
        </w:pBdr>
        <w:shd w:fill="F4F4F4" w:val="clear"/>
        <w:spacing w:after="160"/>
      </w:pPr>
      <w:r>
        <w:rPr>
          <w:rFonts w:ascii="Consolas" w:cs="Consolas" w:eastAsia="Consolas" w:hAnsi="Consolas"/>
          <w:sz w:val="18"/>
          <w:szCs w:val="18"/>
        </w:rPr>
        <w:t xml:space="preserve">shader_type canvas_item;</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Interruptores booleanos vinculados a la UI de panel__effects.tscn</w:t>
      </w:r>
      <w:r>
        <w:br/>
        <w:t xml:space="preserve"/>
      </w:r>
      <w:r>
        <w:rPr>
          <w:rFonts w:ascii="Consolas" w:cs="Consolas" w:eastAsia="Consolas" w:hAnsi="Consolas"/>
          <w:sz w:val="18"/>
          <w:szCs w:val="18"/>
        </w:rPr>
        <w:t xml:space="preserve">uniform bool usar_blur = false;</w:t>
      </w:r>
      <w:r>
        <w:br/>
        <w:t xml:space="preserve"/>
      </w:r>
      <w:r>
        <w:rPr>
          <w:rFonts w:ascii="Consolas" w:cs="Consolas" w:eastAsia="Consolas" w:hAnsi="Consolas"/>
          <w:sz w:val="18"/>
          <w:szCs w:val="18"/>
        </w:rPr>
        <w:t xml:space="preserve">uniform bool usar_contorno = false;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Parámetros numéricos regulados por SpinBoxes / Sliders</w:t>
      </w:r>
      <w:r>
        <w:br/>
        <w:t xml:space="preserve"/>
      </w:r>
      <w:r>
        <w:rPr>
          <w:rFonts w:ascii="Consolas" w:cs="Consolas" w:eastAsia="Consolas" w:hAnsi="Consolas"/>
          <w:sz w:val="18"/>
          <w:szCs w:val="18"/>
        </w:rPr>
        <w:t xml:space="preserve">uniform float radio_blur : hint_range(0.0, 50.0) = 10.0;</w:t>
      </w:r>
      <w:r>
        <w:br/>
        <w:t xml:space="preserve"/>
      </w:r>
      <w:r>
        <w:rPr>
          <w:rFonts w:ascii="Consolas" w:cs="Consolas" w:eastAsia="Consolas" w:hAnsi="Consolas"/>
          <w:sz w:val="18"/>
          <w:szCs w:val="18"/>
        </w:rPr>
        <w:t xml:space="preserve">uniform float grosor_contorno : hint_range(0.0, 20.0) = 2.0;</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void fragment() {</w:t>
      </w:r>
      <w:r>
        <w:br/>
        <w:t xml:space="preserve"/>
      </w:r>
      <w:r>
        <w:rPr>
          <w:rFonts w:ascii="Consolas" w:cs="Consolas" w:eastAsia="Consolas" w:hAnsi="Consolas"/>
          <w:sz w:val="18"/>
          <w:szCs w:val="18"/>
        </w:rPr>
        <w:t xml:space="preserve">    vec4 color_final = texture(TEXTURE, UV);</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if (usar_blur) {</w:t>
      </w:r>
      <w:r>
        <w:br/>
        <w:t xml:space="preserve"/>
      </w:r>
      <w:r>
        <w:rPr>
          <w:rFonts w:ascii="Consolas" w:cs="Consolas" w:eastAsia="Consolas" w:hAnsi="Consolas"/>
          <w:sz w:val="18"/>
          <w:szCs w:val="18"/>
        </w:rPr>
        <w:t xml:space="preserve">        // Algoritmo matemático para difuminar la textura usando radio_blur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(usar_contorno) {</w:t>
      </w:r>
      <w:r>
        <w:br/>
        <w:t xml:space="preserve"/>
      </w:r>
      <w:r>
        <w:rPr>
          <w:rFonts w:ascii="Consolas" w:cs="Consolas" w:eastAsia="Consolas" w:hAnsi="Consolas"/>
          <w:sz w:val="18"/>
          <w:szCs w:val="18"/>
        </w:rPr>
        <w:t xml:space="preserve">        // Algoritmo de detección de bordes usando grosor_contorno</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COLOR = color_final;</w:t>
      </w:r>
      <w:r>
        <w:br/>
        <w:t xml:space="preserve"/>
      </w:r>
      <w:r>
        <w:rPr>
          <w:rFonts w:ascii="Consolas" w:cs="Consolas" w:eastAsia="Consolas" w:hAnsi="Consolas"/>
          <w:sz w:val="18"/>
          <w:szCs w:val="18"/>
        </w:rPr>
        <w:t xml:space="preserve">}</w:t>
      </w:r>
    </w:p>
    <w:p>
      <w:pPr>
        <w:pStyle w:val="Heading2"/>
      </w:pPr>
      <w:r>
        <w:t xml:space="preserve">4.2 Script de control intermedio en la UI</w:t>
      </w:r>
    </w:p>
    <w:p>
      <w:pPr>
        <w:spacing w:after="160"/>
      </w:pPr>
      <w:r>
        <w:t xml:space="preserve">Al cambiar el estado de un control en el panel de efectos, la respuesta en el lienzo ocurre en microsegundos, sin recompilación:</w:t>
      </w:r>
    </w:p>
    <w:p>
      <w:pPr>
        <w:pBdr>
          <w:left w:val="single" w:color="2E5C8A" w:sz="12" w:space="8"/>
        </w:pBdr>
        <w:shd w:fill="F4F4F4" w:val="clear"/>
        <w:spacing w:after="160"/>
      </w:pPr>
      <w:r>
        <w:rPr>
          <w:rFonts w:ascii="Consolas" w:cs="Consolas" w:eastAsia="Consolas" w:hAnsi="Consolas"/>
          <w:sz w:val="18"/>
          <w:szCs w:val="18"/>
        </w:rPr>
        <w:t xml:space="preserve">func _on_blur_toggled(activado: bool) -&gt; void:</w:t>
      </w:r>
      <w:r>
        <w:br/>
        <w:t xml:space="preserve"/>
      </w:r>
      <w:r>
        <w:rPr>
          <w:rFonts w:ascii="Consolas" w:cs="Consolas" w:eastAsia="Consolas" w:hAnsi="Consolas"/>
          <w:sz w:val="18"/>
          <w:szCs w:val="18"/>
        </w:rPr>
        <w:t xml:space="preserve">    if vector_seleccionado and vector_seleccionado.material:</w:t>
      </w:r>
      <w:r>
        <w:br/>
        <w:t xml:space="preserve"/>
      </w:r>
      <w:r>
        <w:rPr>
          <w:rFonts w:ascii="Consolas" w:cs="Consolas" w:eastAsia="Consolas" w:hAnsi="Consolas"/>
          <w:sz w:val="18"/>
          <w:szCs w:val="18"/>
        </w:rPr>
        <w:t xml:space="preserve">        var mat = vector_seleccionado.material as ShaderMaterial</w:t>
      </w:r>
      <w:r>
        <w:br/>
        <w:t xml:space="preserve"/>
      </w:r>
      <w:r>
        <w:rPr>
          <w:rFonts w:ascii="Consolas" w:cs="Consolas" w:eastAsia="Consolas" w:hAnsi="Consolas"/>
          <w:sz w:val="18"/>
          <w:szCs w:val="18"/>
        </w:rPr>
        <w:t xml:space="preserve">        mat.set_shader_parameter("usar_blur", activado)</w:t>
      </w:r>
      <w:r>
        <w:br/>
        <w:t xml:space="preserve"/>
      </w:r>
      <w:r>
        <w:rPr>
          <w:rFonts w:ascii="Consolas" w:cs="Consolas" w:eastAsia="Consolas" w:hAnsi="Consolas"/>
          <w:sz w:val="18"/>
          <w:szCs w:val="18"/>
        </w:rPr>
        <w:t xml:space="preserve">        # Activación instantánea, sin recompilar el shader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24"/>
              <w:bottom w:val="single" w:color="B7472A" w:sz="4"/>
              <w:right w:val="single" w:color="B7472A" w:sz="4"/>
            </w:tcBorders>
            <w:shd w:fill="FBEFEC" w:val="clear"/>
            <w:tcMar>
              <w:top w:type="dxa" w:w="120"/>
              <w:left w:type="dxa" w:w="160"/>
              <w:bottom w:type="dxa" w:w="120"/>
              <w:right w:type="dxa" w:w="160"/>
            </w:tcMar>
          </w:tcPr>
          <w:p>
            <w:pPr>
              <w:spacing w:after="60"/>
            </w:pPr>
            <w:r>
              <w:rPr>
                <w:b/>
                <w:bCs/>
                <w:color w:val="B7472A"/>
                <w:sz w:val="20"/>
                <w:szCs w:val="20"/>
              </w:rPr>
              <w:t xml:space="preserve">Nota de validación técnica — Uniform branching</w:t>
            </w:r>
          </w:p>
          <w:p>
            <w:r>
              <w:rPr>
                <w:sz w:val="20"/>
                <w:szCs w:val="20"/>
              </w:rPr>
              <w:t xml:space="preserve">set_shader_parameter() es el método correcto y vigente en Godot 4.x para modificar uniforms de un ShaderMaterial en tiempo de ejecución (en versiones 4.0–4.1 también existe el alias heredado set_shader_param(), pero está obsoleto). El patrón de interruptores booleanos es sólido y es el enfoque estándar en motores de producción para evitar recompilaciones de shader; el único coste es el de las ramas condicionales en GPU (branching), que en shaders canvas_item de complejidad moderada es habitualmente despreciable. Si el catálogo de efectos crece mucho, conviene revisar periódicamente el coste acumulado del shader monolítico con la herramienta de perfilado de Godot (Debugger &gt; Visual Profiler).</w:t>
            </w:r>
          </w:p>
        </w:tc>
      </w:tr>
    </w:tbl>
    <w:p>
      <w:pPr>
        <w:pStyle w:val="Heading1"/>
      </w:pPr>
      <w:r>
        <w:t xml:space="preserve">5. Conclusión y Hoja de Ruta</w:t>
      </w:r>
    </w:p>
    <w:p>
      <w:pPr>
        <w:spacing w:after="160"/>
      </w:pPr>
      <w:r>
        <w:t xml:space="preserve">La arquitectura analizada demuestra que Vectopen no requiere un sistema masivo de plugins o addons externos para competir en rendimiento con software corporativo establecido. El uso inteligente del árbol de nodos de Godot, combinado con una estrategia de shaders optimizada por hardware, permite ofrecer una experiencia de diseño interactivo fluida incluso en equipos con recursos limitados.</w:t>
      </w:r>
    </w:p>
    <w:p>
      <w:pPr>
        <w:pStyle w:val="Heading2"/>
      </w:pPr>
      <w:r>
        <w:t xml:space="preserve">5.1 Próximos pasos recomendados</w:t>
      </w:r>
    </w:p>
    <w:p>
      <w:pPr>
        <w:pStyle w:val="ListParagraph"/>
        <w:numPr>
          <w:ilvl w:val="0"/>
          <w:numId w:val="3"/>
        </w:numPr>
        <w:spacing w:after="80"/>
      </w:pPr>
      <w:r>
        <w:t xml:space="preserve">Conectar las señales de los nodos CheckBox ya estructurados en panel__effects.tscn al script puente del vector activo.</w:t>
      </w:r>
    </w:p>
    <w:p>
      <w:pPr>
        <w:pStyle w:val="ListParagraph"/>
        <w:numPr>
          <w:ilvl w:val="0"/>
          <w:numId w:val="3"/>
        </w:numPr>
        <w:spacing w:after="80"/>
      </w:pPr>
      <w:r>
        <w:t xml:space="preserve">Homologar las etiquetas de texto internas de la interfaz (blur, blur2, etc.) para reflejar con precisión el nombre del filtro frente al usuario final (Radio, Grosor, Distancia).</w:t>
      </w:r>
    </w:p>
    <w:p>
      <w:pPr>
        <w:pStyle w:val="ListParagraph"/>
        <w:numPr>
          <w:ilvl w:val="0"/>
          <w:numId w:val="3"/>
        </w:numPr>
        <w:spacing w:after="80"/>
      </w:pPr>
      <w:r>
        <w:t xml:space="preserve">Validar el consumo de memoria en el hilo secundario al guardar instantáneas de previsualización de proyectos mediante RenderingServer.frame_post_draw.</w:t>
      </w:r>
    </w:p>
    <w:p>
      <w:pPr>
        <w:pStyle w:val="ListParagraph"/>
        <w:numPr>
          <w:ilvl w:val="0"/>
          <w:numId w:val="3"/>
        </w:numPr>
        <w:spacing w:after="80"/>
      </w:pPr>
      <w:r>
        <w:t xml:space="preserve">Revisar la mecánica de sincronización del BackBufferCopy descrita en el apartado 2.2, sustituyendo el uso continuo de force_draw() por ajustes de copy_mode y orden de render, validados en un prototipo aislado.</w:t>
      </w:r>
    </w:p>
    <w:p>
      <w:pPr>
        <w:pStyle w:val="ListParagraph"/>
        <w:numPr>
          <w:ilvl w:val="0"/>
          <w:numId w:val="3"/>
        </w:numPr>
        <w:spacing w:after="80"/>
      </w:pPr>
      <w:r>
        <w:t xml:space="preserve">Definir un mecanismo de captura y visualización de errores de compilación GLSL dentro de la pestaña Shader, para la Fase 1 del entorno de desarrollo integrado.</w:t>
      </w:r>
    </w:p>
    <w:p>
      <w:pPr>
        <w:pStyle w:val="Heading2"/>
      </w:pPr>
      <w:r>
        <w:t xml:space="preserve">5.2 Resumen de hallazgos de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Elemento</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Estado</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Observación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BackBufferCopy + interfaz cristal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Correcto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Patrón estándar de Godot para capturas de pantalla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RenderingServer.force_draw()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Revisar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Existe, pero es bloqueante y no apto para uso continuo por frame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next_pass para apilar efectos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Correcto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Mecanismo nativo y recomendado de Godot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set_shader_parameter() / uniform branching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Correcto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 vigente en Godot 4.x; patrón estándar en producción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CodeEdit + compilación GLSL en caliente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Viable con matices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Requiere manejo de errores de compilación visible al usuario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r>
      <w:rPr>
        <w:color w:val="666666"/>
        <w:sz w:val="16"/>
        <w:szCs w:val="16"/>
      </w:rPr>
      <w:t xml:space="preserve"> de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Vectopen — Arquitectura Gráfica y Sistema de Efectos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6" w:space="4"/>
      </w:pBdr>
      <w:spacing w:after="200" w:before="360"/>
      <w:outlineLvl w:val="0"/>
    </w:pPr>
    <w:rPr>
      <w:rFonts w:ascii="Arial" w:cs="Arial" w:eastAsia="Arial" w:hAnsi="Arial"/>
      <w:b/>
      <w:bCs/>
      <w:color w:val="2E5C8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C8A"/>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2026-06-15T19:40:10.659Z</dcterms:created>
  <dcterms:modified xsi:type="dcterms:W3CDTF">2026-06-15T19:40:10.660Z</dcterms:modified>
</cp:coreProperties>
</file>

<file path=docProps/custom.xml><?xml version="1.0" encoding="utf-8"?>
<Properties xmlns="http://schemas.openxmlformats.org/officeDocument/2006/custom-properties" xmlns:vt="http://schemas.openxmlformats.org/officeDocument/2006/docPropsVTypes"/>
</file>