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b/>
          <w:bCs/>
          <w:color w:val="5A5A5A"/>
          <w:sz w:val="20"/>
          <w:szCs w:val="20"/>
        </w:rPr>
        <w:t xml:space="preserve">GEVISUAL — Informe Técnico</w:t>
      </w:r>
    </w:p>
    <w:p>
      <w:pPr>
        <w:pStyle w:val="Title"/>
        <w:spacing w:after="120"/>
      </w:pPr>
      <w:r>
        <w:t xml:space="preserve">Vectográfica</w:t>
      </w:r>
    </w:p>
    <w:p>
      <w:pPr>
        <w:spacing w:after="160"/>
      </w:pPr>
      <w:r>
        <w:rPr>
          <w:i/>
          <w:iCs/>
        </w:rPr>
        <w:t xml:space="preserve">Editor Vectorial de Escritorio Nativo sobre Godot 4 — Arquitectura, Renderizado y Catálogo de Herramientas</w:t>
      </w:r>
    </w:p>
    <w:p>
      <w:pPr>
        <w:spacing w:after="160"/>
      </w:pPr>
      <w:r>
        <w:rPr>
          <w:color w:val="5A5A5A"/>
          <w:sz w:val="18"/>
          <w:szCs w:val="18"/>
        </w:rPr>
        <w:t xml:space="preserve">Julio 2026 · Revisión 2 · Documento técnico para desarrolladores</w:t>
      </w:r>
    </w:p>
    <w:p>
      <w:pPr>
        <w:pStyle w:val="Heading1"/>
        <w:spacing w:after="160" w:before="320"/>
      </w:pPr>
      <w:r>
        <w:t xml:space="preserve">1. Resumen ejecutivo</w:t>
      </w:r>
    </w:p>
    <w:p>
      <w:pPr>
        <w:spacing w:after="160"/>
      </w:pPr>
      <w:r>
        <w:t xml:space="preserve">Vectográfica (nombre de proyecto: Vectopen) es un editor de gráficos vectoriales de escritorio, nativo y de código abierto, construido íntegramente sobre Godot 4. Es, hasta donde se ha podido establecer, el único editor vectorial de su categoría construido sobre un motor de videojuegos en tiempo real — una elección arquitectónica que define todas las decisiones técnicas descritas en este documento.</w:t>
      </w:r>
    </w:p>
    <w:p>
      <w:pPr>
        <w:spacing w:after="160"/>
      </w:pPr>
      <w:r>
        <w:t xml:space="preserve">La premisa central es aprovechar el pipeline de renderizado acelerado por GPU de Godot (CanvasItem) para la edición interactiva, reservando cálculo preciso en CPU únicamente para las operaciones donde la exactitud matemática importa más que la velocidad de refresco: exportación final, hit-testing y operaciones booleanas.</w:t>
      </w:r>
    </w:p>
    <w:p>
      <w:pPr>
        <w:spacing w:after="160"/>
      </w:pPr>
      <w:r>
        <w:t xml:space="preserve">Esta revisión incorpora la evaluación técnica de la primera versión del informe: confirma las prioridades inmediatas (antialiasing en preview, robustez de edición Bézier), añade validación pendiente sobre el coste real de los grupos booleanos en hardware de gama baja, y amplía la hoja de ruta con los ejes de interoperabilidad (SVG, .tscn), extensibilidad (plugins, scripting) y exportación web que definen la diferenciación del proyecto a medio y largo plazo.</w:t>
      </w:r>
    </w:p>
    <w:p>
      <w:pPr>
        <w:spacing w:after="160"/>
      </w:pPr>
      <w:r>
        <w:t xml:space="preserve">Este informe documenta la arquitectura de renderizado, el catálogo de herramientas de edición, el sistema de capas, la navegación de canvas, las restricciones de hardware y la hoja de ruta de interoperabilidad y extensibilidad — con foco en que un desarrollador que se incorpore al proyecto pueda entender el porqué de cada componente, no solo el qué.</w:t>
      </w:r>
    </w:p>
    <w:p>
      <w:pPr>
        <w:pStyle w:val="Heading1"/>
        <w:spacing w:after="160" w:before="320"/>
      </w:pPr>
      <w:r>
        <w:t xml:space="preserve">2. Arquitectura general</w:t>
      </w:r>
    </w:p>
    <w:p>
      <w:pPr>
        <w:spacing w:after="160"/>
      </w:pPr>
      <w:r>
        <w:t xml:space="preserve">El proyecto adopta una arquitectura híbrida GPU/CPU: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000"/>
      </w:tblGrid>
      <w:tr>
        <w:tc>
          <w:tcPr>
            <w:tcW w:type="dxa" w:w="3200"/>
            <w:shd w:fill="1F3864" w:val="clear"/>
          </w:tcPr>
          <w:p>
            <w:r>
              <w:rPr>
                <w:b/>
                <w:bCs/>
                <w:color w:val="FFFFFF"/>
                <w:sz w:val="20"/>
                <w:szCs w:val="20"/>
              </w:rPr>
              <w:t xml:space="preserve">Capa</w:t>
            </w:r>
          </w:p>
        </w:tc>
        <w:tc>
          <w:tcPr>
            <w:tcW w:type="dxa" w:w="2800"/>
            <w:shd w:fill="1F3864" w:val="clear"/>
          </w:tcPr>
          <w:p>
            <w:r>
              <w:rPr>
                <w:b/>
                <w:bCs/>
                <w:color w:val="FFFFFF"/>
                <w:sz w:val="20"/>
                <w:szCs w:val="20"/>
              </w:rPr>
              <w:t xml:space="preserve">Responsable</w:t>
            </w:r>
          </w:p>
        </w:tc>
        <w:tc>
          <w:tcPr>
            <w:tcW w:type="dxa" w:w="3000"/>
            <w:shd w:fill="1F3864" w:val="clear"/>
          </w:tcPr>
          <w:p>
            <w:r>
              <w:rPr>
                <w:b/>
                <w:bCs/>
                <w:color w:val="FFFFFF"/>
                <w:sz w:val="20"/>
                <w:szCs w:val="20"/>
              </w:rPr>
              <w:t xml:space="preserve">Tecnología</w:t>
            </w:r>
          </w:p>
        </w:tc>
      </w:tr>
      <w:tr>
        <w:tc>
          <w:tcPr>
            <w:tcW w:type="dxa" w:w="3200"/>
          </w:tcPr>
          <w:p>
            <w:r>
              <w:rPr>
                <w:b w:val="false"/>
                <w:bCs w:val="false"/>
                <w:color w:val="000000"/>
                <w:sz w:val="20"/>
                <w:szCs w:val="20"/>
              </w:rPr>
              <w:t xml:space="preserve">Edición interactiva (preview, drag, zoom)</w:t>
            </w:r>
          </w:p>
        </w:tc>
        <w:tc>
          <w:tcPr>
            <w:tcW w:type="dxa" w:w="2800"/>
          </w:tcPr>
          <w:p>
            <w:r>
              <w:rPr>
                <w:b w:val="false"/>
                <w:bCs w:val="false"/>
                <w:color w:val="000000"/>
                <w:sz w:val="20"/>
                <w:szCs w:val="20"/>
              </w:rPr>
              <w:t xml:space="preserve">GPU en tiempo real</w:t>
            </w:r>
          </w:p>
        </w:tc>
        <w:tc>
          <w:tcPr>
            <w:tcW w:type="dxa" w:w="3000"/>
          </w:tcPr>
          <w:p>
            <w:r>
              <w:rPr>
                <w:b w:val="false"/>
                <w:bCs w:val="false"/>
                <w:color w:val="000000"/>
                <w:sz w:val="20"/>
                <w:szCs w:val="20"/>
              </w:rPr>
              <w:t xml:space="preserve">CanvasItem / shaders GLSL</w:t>
            </w:r>
          </w:p>
        </w:tc>
      </w:tr>
      <w:tr>
        <w:tc>
          <w:tcPr>
            <w:tcW w:type="dxa" w:w="3200"/>
          </w:tcPr>
          <w:p>
            <w:r>
              <w:rPr>
                <w:b w:val="false"/>
                <w:bCs w:val="false"/>
                <w:color w:val="000000"/>
                <w:sz w:val="20"/>
                <w:szCs w:val="20"/>
              </w:rPr>
              <w:t xml:space="preserve">Formas geométricas finales (primitivas)</w:t>
            </w:r>
          </w:p>
        </w:tc>
        <w:tc>
          <w:tcPr>
            <w:tcW w:type="dxa" w:w="2800"/>
          </w:tcPr>
          <w:p>
            <w:r>
              <w:rPr>
                <w:b w:val="false"/>
                <w:bCs w:val="false"/>
                <w:color w:val="000000"/>
                <w:sz w:val="20"/>
                <w:szCs w:val="20"/>
              </w:rPr>
              <w:t xml:space="preserve">GPU, cálculo analítico</w:t>
            </w:r>
          </w:p>
        </w:tc>
        <w:tc>
          <w:tcPr>
            <w:tcW w:type="dxa" w:w="3000"/>
          </w:tcPr>
          <w:p>
            <w:r>
              <w:rPr>
                <w:b w:val="false"/>
                <w:bCs w:val="false"/>
                <w:color w:val="000000"/>
                <w:sz w:val="20"/>
                <w:szCs w:val="20"/>
              </w:rPr>
              <w:t xml:space="preserve">SDF (VectoSDF, ver sección 3.3)</w:t>
            </w:r>
          </w:p>
        </w:tc>
      </w:tr>
      <w:tr>
        <w:tc>
          <w:tcPr>
            <w:tcW w:type="dxa" w:w="3200"/>
          </w:tcPr>
          <w:p>
            <w:r>
              <w:rPr>
                <w:b w:val="false"/>
                <w:bCs w:val="false"/>
                <w:color w:val="000000"/>
                <w:sz w:val="20"/>
                <w:szCs w:val="20"/>
              </w:rPr>
              <w:t xml:space="preserve">Paths libres (pluma, pincel)</w:t>
            </w:r>
          </w:p>
        </w:tc>
        <w:tc>
          <w:tcPr>
            <w:tcW w:type="dxa" w:w="2800"/>
          </w:tcPr>
          <w:p>
            <w:r>
              <w:rPr>
                <w:b w:val="false"/>
                <w:bCs w:val="false"/>
                <w:color w:val="000000"/>
                <w:sz w:val="20"/>
                <w:szCs w:val="20"/>
              </w:rPr>
              <w:t xml:space="preserve">GPU con geometría teselada</w:t>
            </w:r>
          </w:p>
        </w:tc>
        <w:tc>
          <w:tcPr>
            <w:tcW w:type="dxa" w:w="3000"/>
          </w:tcPr>
          <w:p>
            <w:r>
              <w:rPr>
                <w:b w:val="false"/>
                <w:bCs w:val="false"/>
                <w:color w:val="000000"/>
                <w:sz w:val="20"/>
                <w:szCs w:val="20"/>
              </w:rPr>
              <w:t xml:space="preserve">draw_polyline con antialiased=true</w:t>
            </w:r>
          </w:p>
        </w:tc>
      </w:tr>
      <w:tr>
        <w:tc>
          <w:tcPr>
            <w:tcW w:type="dxa" w:w="3200"/>
          </w:tcPr>
          <w:p>
            <w:r>
              <w:rPr>
                <w:b w:val="false"/>
                <w:bCs w:val="false"/>
                <w:color w:val="000000"/>
                <w:sz w:val="20"/>
                <w:szCs w:val="20"/>
              </w:rPr>
              <w:t xml:space="preserve">Exportación / cálculo exacto</w:t>
            </w:r>
          </w:p>
        </w:tc>
        <w:tc>
          <w:tcPr>
            <w:tcW w:type="dxa" w:w="2800"/>
          </w:tcPr>
          <w:p>
            <w:r>
              <w:rPr>
                <w:b w:val="false"/>
                <w:bCs w:val="false"/>
                <w:color w:val="000000"/>
                <w:sz w:val="20"/>
                <w:szCs w:val="20"/>
              </w:rPr>
              <w:t xml:space="preserve">CPU</w:t>
            </w:r>
          </w:p>
        </w:tc>
        <w:tc>
          <w:tcPr>
            <w:tcW w:type="dxa" w:w="3000"/>
          </w:tcPr>
          <w:p>
            <w:r>
              <w:rPr>
                <w:b w:val="false"/>
                <w:bCs w:val="false"/>
                <w:color w:val="000000"/>
                <w:sz w:val="20"/>
                <w:szCs w:val="20"/>
              </w:rPr>
              <w:t xml:space="preserve">Matemática vectorial pura, sin aproximación por píxel</w:t>
            </w:r>
          </w:p>
        </w:tc>
      </w:tr>
    </w:tbl>
    <w:p>
      <w:pPr>
        <w:spacing w:after="160"/>
      </w:pPr>
      <w:r>
        <w:t xml:space="preserve"/>
      </w:r>
    </w:p>
    <w:p>
      <w:pPr>
        <w:spacing w:after="160"/>
      </w:pPr>
      <w:r>
        <w:t xml:space="preserve">Esta separación responde a una restricción de hardware explícita: el editor debe funcionar de forma fluida en equipos con 2 GB de RAM, además de escalar hacia tabletas, móviles y estaciones de trabajo potentes sin ramas de código separadas por plataforma.</w:t>
      </w:r>
    </w:p>
    <w:p>
      <w:pPr>
        <w:spacing w:after="160"/>
      </w:pPr>
      <w:r>
        <w:t xml:space="preserve">La arquitectura híbrida es también el punto de partida de la extensibilidad a largo plazo del proyecto (sección 9): al mantener la geometría como datos paramétricos en el árbol de nodos —en vez de rasterizarla de forma temprana— cada forma, capa y efecto queda disponible para scripting, plugins y edición no destructiva sin rediseñar el pipeline de renderizado.</w:t>
      </w:r>
    </w:p>
    <w:p>
      <w:pPr>
        <w:pStyle w:val="Heading1"/>
        <w:spacing w:after="160" w:before="320"/>
      </w:pPr>
      <w:r>
        <w:t xml:space="preserve">3. Sistema de renderizado</w:t>
      </w:r>
    </w:p>
    <w:p>
      <w:pPr>
        <w:pStyle w:val="Heading3"/>
        <w:spacing w:after="100" w:before="200"/>
      </w:pPr>
      <w:r>
        <w:t xml:space="preserve">3.1 Diagnóstico: aliasing y limitaciones del renderer</w:t>
      </w:r>
    </w:p>
    <w:p>
      <w:pPr>
        <w:spacing w:after="160"/>
      </w:pPr>
      <w:r>
        <w:t xml:space="preserve">El renderer gl_compatibility de Godot 4 (backend OpenGL 3.3 / GLES3) no soporta MSAA en 2D — limitación del propio renderer, no un defecto del motor. Cambiar al renderer Forward+ habilita MSAA 2D pero sacrifica compatibilidad con hardware antiguo, lo cual entra en conflicto directo con el requisito de 2 GB de RAM y soporte para equipos de gama baja.</w:t>
      </w:r>
    </w:p>
    <w:p>
      <w:pPr>
        <w:spacing w:after="160"/>
      </w:pPr>
      <w:r>
        <w:t xml:space="preserve">La alternativa adoptada fue evitar la dependencia de MSAA por completo, resolviendo el antialiasing en dos frentes según el tipo de contenido:</w:t>
      </w:r>
    </w:p>
    <w:p>
      <w:pPr>
        <w:pStyle w:val="Heading3"/>
        <w:spacing w:after="100" w:before="200"/>
      </w:pPr>
      <w:r>
        <w:t xml:space="preserve">3.2 Antialiasing en custom drawing</w:t>
      </w:r>
    </w:p>
    <w:p>
      <w:pPr>
        <w:spacing w:after="160"/>
      </w:pPr>
      <w:r>
        <w:t xml:space="preserve">Para paths libres (herramientas de pluma y pincel), Godot expone un parámetro antialiased en los métodos de dibujo por código (draw_polyline, draw_polygon, draw_circle, etc.) y en el nodo Line2D. Este mecanismo suaviza el borde generando geometría adicional en CPU, de forma independiente del renderer y sin coste de MSAA.</w:t>
      </w:r>
    </w:p>
    <w:p>
      <w:pPr>
        <w:shd w:fill="F2F2F2" w:val="clear"/>
        <w:spacing w:after="160"/>
      </w:pPr>
      <w:r>
        <w:rPr>
          <w:rFonts w:ascii="Consolas" w:cs="Consolas" w:eastAsia="Consolas" w:hAnsi="Consolas"/>
          <w:sz w:val="19"/>
          <w:szCs w:val="19"/>
        </w:rPr>
        <w:t xml:space="preserve">draw_polyline(puntos, color, ancho, antialiased=true)</w:t>
      </w:r>
    </w:p>
    <w:p>
      <w:pPr>
        <w:spacing w:after="160"/>
      </w:pPr>
      <w:r>
        <w:t xml:space="preserve">Limitación conocida: el nodo Polygon2D no expone esta propiedad — por lo que las formas creadas mediante Polygon2D quedan poligonales sin remedio directo, lo que motivó la migración a SDF para primitivas geométricas (sección 3.3).</w:t>
      </w:r>
    </w:p>
    <w:p>
      <w:pPr>
        <w:pStyle w:val="Heading3"/>
        <w:spacing w:after="100" w:before="200"/>
      </w:pPr>
      <w:r>
        <w:t xml:space="preserve">3.3 VectoSDF — renderizado de primitivas por campos de distancia con signo</w:t>
      </w:r>
    </w:p>
    <w:p>
      <w:pPr>
        <w:spacing w:after="160"/>
      </w:pPr>
      <w:r>
        <w:t xml:space="preserve">VectoSDF reemplaza Polygon2D + Line2D para las formas geométricas primitivas (círculo, rectángulo, triángulo, estrella/polígono regular). En vez de teselar la forma en triángulos, un shader canvas_item calcula matemáticamente la distancia de cada píxel al borde de la forma (Signed Distance Field), lo que produce un contorno exacto a cualquier nivel de zoom, sin segmentación visible.</w:t>
      </w:r>
    </w:p>
    <w:p>
      <w:pPr>
        <w:spacing w:after="160"/>
      </w:pPr>
      <w:r>
        <w:t xml:space="preserve">Ventajas frente a las alternativas evaluadas:</w:t>
      </w:r>
    </w:p>
    <w:p>
      <w:pPr>
        <w:pStyle w:val="ListParagraph"/>
        <w:numPr>
          <w:ilvl w:val="0"/>
          <w:numId w:val="2"/>
        </w:numPr>
        <w:spacing w:after="80"/>
      </w:pPr>
      <w:r>
        <w:t xml:space="preserve">No requiere MSAA ni cambio de renderer — el antialiasing se resuelve con smoothstep() sobre la distancia en el fragment shader.</w:t>
      </w:r>
    </w:p>
    <w:p>
      <w:pPr>
        <w:pStyle w:val="ListParagraph"/>
        <w:numPr>
          <w:ilvl w:val="0"/>
          <w:numId w:val="2"/>
        </w:numPr>
        <w:spacing w:after="80"/>
      </w:pPr>
      <w:r>
        <w:t xml:space="preserve">Coste de memoria prácticamente nulo: el shader es un programa de GPU de pocos KB, sin buffers ni texturas intermedias para formas sueltas.</w:t>
      </w:r>
    </w:p>
    <w:p>
      <w:pPr>
        <w:pStyle w:val="ListParagraph"/>
        <w:numPr>
          <w:ilvl w:val="0"/>
          <w:numId w:val="2"/>
        </w:numPr>
        <w:spacing w:after="80"/>
      </w:pPr>
      <w:r>
        <w:t xml:space="preserve">Precisión matemática infinita: no hay resolución de rasterización fija que se degrade con el zoom, a diferencia de una textura pre-rasterizada.</w:t>
      </w:r>
    </w:p>
    <w:p>
      <w:pPr>
        <w:pStyle w:val="ListParagraph"/>
        <w:numPr>
          <w:ilvl w:val="0"/>
          <w:numId w:val="2"/>
        </w:numPr>
        <w:spacing w:after="80"/>
      </w:pPr>
      <w:r>
        <w:t xml:space="preserve">Portabilidad total: al ser GLSL estándar, corre igual en GPUs móviles de gama baja (OpenGL ES 2.0+) que en hardware de escritorio potente, sin builds nativos por plataforma.</w:t>
      </w:r>
    </w:p>
    <w:p>
      <w:pPr>
        <w:spacing w:after="160"/>
      </w:pPr>
      <w:r>
        <w:t xml:space="preserve">Se evaluaron y descartaron como dependencia externa: Skia (licencia BSD, motor de Chrome/Flutter — descartado por peso de binario, build system propio GN/Ninja, y necesidad de recompositar su salida rasterizada con el árbol de nodos de Godot), Blend2D (más liviano, zlib, candidato viable a futuro solo si se necesitan operaciones que SDF no resuelve bien) y NanoVG (descartado por mantenimiento limitado y menor cobertura de funciones).</w:t>
      </w:r>
    </w:p>
    <w:p>
      <w:pPr>
        <w:pStyle w:val="Heading3"/>
        <w:spacing w:after="100" w:before="200"/>
      </w:pPr>
      <w:r>
        <w:t xml:space="preserve">3.3.1 Shader base (sdf_shape.gdshader)</w:t>
      </w:r>
    </w:p>
    <w:p>
      <w:pPr>
        <w:spacing w:after="160"/>
      </w:pPr>
      <w:r>
        <w:t xml:space="preserve">Implementa las fórmulas de distancia cerradas estándar (Inigo Quilez) para cada primitiva: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4200"/>
      </w:tblGrid>
      <w:tr>
        <w:tc>
          <w:tcPr>
            <w:tcW w:type="dxa" w:w="1400"/>
            <w:shd w:fill="1F3864" w:val="clear"/>
          </w:tcPr>
          <w:p>
            <w:r>
              <w:rPr>
                <w:b/>
                <w:bCs/>
                <w:color w:val="FFFFFF"/>
                <w:sz w:val="20"/>
                <w:szCs w:val="20"/>
              </w:rPr>
              <w:t xml:space="preserve">shape_type</w:t>
            </w:r>
          </w:p>
        </w:tc>
        <w:tc>
          <w:tcPr>
            <w:tcW w:type="dxa" w:w="3400"/>
            <w:shd w:fill="1F3864" w:val="clear"/>
          </w:tcPr>
          <w:p>
            <w:r>
              <w:rPr>
                <w:b/>
                <w:bCs/>
                <w:color w:val="FFFFFF"/>
                <w:sz w:val="20"/>
                <w:szCs w:val="20"/>
              </w:rPr>
              <w:t xml:space="preserve">Forma</w:t>
            </w:r>
          </w:p>
        </w:tc>
        <w:tc>
          <w:tcPr>
            <w:tcW w:type="dxa" w:w="4200"/>
            <w:shd w:fill="1F3864" w:val="clear"/>
          </w:tcPr>
          <w:p>
            <w:r>
              <w:rPr>
                <w:b/>
                <w:bCs/>
                <w:color w:val="FFFFFF"/>
                <w:sz w:val="20"/>
                <w:szCs w:val="20"/>
              </w:rPr>
              <w:t xml:space="preserve">Función SDF</w:t>
            </w:r>
          </w:p>
        </w:tc>
      </w:tr>
      <w:tr>
        <w:tc>
          <w:tcPr>
            <w:tcW w:type="dxa" w:w="1400"/>
          </w:tcPr>
          <w:p>
            <w:r>
              <w:rPr>
                <w:b w:val="false"/>
                <w:bCs w:val="false"/>
                <w:color w:val="000000"/>
                <w:sz w:val="20"/>
                <w:szCs w:val="20"/>
              </w:rPr>
              <w:t xml:space="preserve">0</w:t>
            </w:r>
          </w:p>
        </w:tc>
        <w:tc>
          <w:tcPr>
            <w:tcW w:type="dxa" w:w="3400"/>
          </w:tcPr>
          <w:p>
            <w:r>
              <w:rPr>
                <w:b w:val="false"/>
                <w:bCs w:val="false"/>
                <w:color w:val="000000"/>
                <w:sz w:val="20"/>
                <w:szCs w:val="20"/>
              </w:rPr>
              <w:t xml:space="preserve">Círculo</w:t>
            </w:r>
          </w:p>
        </w:tc>
        <w:tc>
          <w:tcPr>
            <w:tcW w:type="dxa" w:w="4200"/>
          </w:tcPr>
          <w:p>
            <w:r>
              <w:rPr>
                <w:b w:val="false"/>
                <w:bCs w:val="false"/>
                <w:color w:val="000000"/>
                <w:sz w:val="20"/>
                <w:szCs w:val="20"/>
              </w:rPr>
              <w:t xml:space="preserve">sd_circle — length(p) - r</w:t>
            </w:r>
          </w:p>
        </w:tc>
      </w:tr>
      <w:tr>
        <w:tc>
          <w:tcPr>
            <w:tcW w:type="dxa" w:w="1400"/>
          </w:tcPr>
          <w:p>
            <w:r>
              <w:rPr>
                <w:b w:val="false"/>
                <w:bCs w:val="false"/>
                <w:color w:val="000000"/>
                <w:sz w:val="20"/>
                <w:szCs w:val="20"/>
              </w:rPr>
              <w:t xml:space="preserve">1</w:t>
            </w:r>
          </w:p>
        </w:tc>
        <w:tc>
          <w:tcPr>
            <w:tcW w:type="dxa" w:w="3400"/>
          </w:tcPr>
          <w:p>
            <w:r>
              <w:rPr>
                <w:b w:val="false"/>
                <w:bCs w:val="false"/>
                <w:color w:val="000000"/>
                <w:sz w:val="20"/>
                <w:szCs w:val="20"/>
              </w:rPr>
              <w:t xml:space="preserve">Rectángulo (con esquinas redondeadas)</w:t>
            </w:r>
          </w:p>
        </w:tc>
        <w:tc>
          <w:tcPr>
            <w:tcW w:type="dxa" w:w="4200"/>
          </w:tcPr>
          <w:p>
            <w:r>
              <w:rPr>
                <w:b w:val="false"/>
                <w:bCs w:val="false"/>
                <w:color w:val="000000"/>
                <w:sz w:val="20"/>
                <w:szCs w:val="20"/>
              </w:rPr>
              <w:t xml:space="preserve">sd_round_box</w:t>
            </w:r>
          </w:p>
        </w:tc>
      </w:tr>
      <w:tr>
        <w:tc>
          <w:tcPr>
            <w:tcW w:type="dxa" w:w="1400"/>
          </w:tcPr>
          <w:p>
            <w:r>
              <w:rPr>
                <w:b w:val="false"/>
                <w:bCs w:val="false"/>
                <w:color w:val="000000"/>
                <w:sz w:val="20"/>
                <w:szCs w:val="20"/>
              </w:rPr>
              <w:t xml:space="preserve">2</w:t>
            </w:r>
          </w:p>
        </w:tc>
        <w:tc>
          <w:tcPr>
            <w:tcW w:type="dxa" w:w="3400"/>
          </w:tcPr>
          <w:p>
            <w:r>
              <w:rPr>
                <w:b w:val="false"/>
                <w:bCs w:val="false"/>
                <w:color w:val="000000"/>
                <w:sz w:val="20"/>
                <w:szCs w:val="20"/>
              </w:rPr>
              <w:t xml:space="preserve">Triángulo equilátero</w:t>
            </w:r>
          </w:p>
        </w:tc>
        <w:tc>
          <w:tcPr>
            <w:tcW w:type="dxa" w:w="4200"/>
          </w:tcPr>
          <w:p>
            <w:r>
              <w:rPr>
                <w:b w:val="false"/>
                <w:bCs w:val="false"/>
                <w:color w:val="000000"/>
                <w:sz w:val="20"/>
                <w:szCs w:val="20"/>
              </w:rPr>
              <w:t xml:space="preserve">sd_equilateral_triangle</w:t>
            </w:r>
          </w:p>
        </w:tc>
      </w:tr>
      <w:tr>
        <w:tc>
          <w:tcPr>
            <w:tcW w:type="dxa" w:w="1400"/>
          </w:tcPr>
          <w:p>
            <w:r>
              <w:rPr>
                <w:b w:val="false"/>
                <w:bCs w:val="false"/>
                <w:color w:val="000000"/>
                <w:sz w:val="20"/>
                <w:szCs w:val="20"/>
              </w:rPr>
              <w:t xml:space="preserve">3</w:t>
            </w:r>
          </w:p>
        </w:tc>
        <w:tc>
          <w:tcPr>
            <w:tcW w:type="dxa" w:w="3400"/>
          </w:tcPr>
          <w:p>
            <w:r>
              <w:rPr>
                <w:b w:val="false"/>
                <w:bCs w:val="false"/>
                <w:color w:val="000000"/>
                <w:sz w:val="20"/>
                <w:szCs w:val="20"/>
              </w:rPr>
              <w:t xml:space="preserve">Estrella / polígono regular de n lados</w:t>
            </w:r>
          </w:p>
        </w:tc>
        <w:tc>
          <w:tcPr>
            <w:tcW w:type="dxa" w:w="4200"/>
          </w:tcPr>
          <w:p>
            <w:r>
              <w:rPr>
                <w:b w:val="false"/>
                <w:bCs w:val="false"/>
                <w:color w:val="000000"/>
                <w:sz w:val="20"/>
                <w:szCs w:val="20"/>
              </w:rPr>
              <w:t xml:space="preserve">sd_star (n puntas, ratio de radio interno configurable)</w:t>
            </w:r>
          </w:p>
        </w:tc>
      </w:tr>
    </w:tbl>
    <w:p>
      <w:pPr>
        <w:spacing w:after="160"/>
      </w:pPr>
      <w:r>
        <w:t xml:space="preserve"/>
      </w:r>
    </w:p>
    <w:p>
      <w:pPr>
        <w:spacing w:after="160"/>
      </w:pPr>
      <w:r>
        <w:t xml:space="preserve">El ancho del suavizado se calcula con fwidth(d) en vez de un valor fijo en píxeles, por lo que el antialiasing se ajusta automáticamente al nivel de zoom del canvas. El shader soporta relleno y contorno (stroke) independientes, cada uno con su propio color y umbral de transición.</w:t>
      </w:r>
    </w:p>
    <w:p>
      <w:pPr>
        <w:pStyle w:val="Heading3"/>
        <w:spacing w:after="100" w:before="200"/>
      </w:pPr>
      <w:r>
        <w:t xml:space="preserve">3.3.2 Nodo SDFShape2D</w:t>
      </w:r>
    </w:p>
    <w:p>
      <w:pPr>
        <w:spacing w:after="160"/>
      </w:pPr>
      <w:r>
        <w:t xml:space="preserve">Nodo Node2D (@tool, visible en el editor de Godot) que envuelve el shader: expone las propiedades de la forma como campos editables desde el Inspector (tipo, tamaño, radio de esquina, lados del polígono, ratio de estrella, colores, grosor de contorno) y gestiona un ColorRect interno cuyo tamaño se recalcula automáticamente para dar margen al contorno y al suavizado.</w:t>
      </w:r>
    </w:p>
    <w:p>
      <w:pPr>
        <w:spacing w:after="160"/>
      </w:pPr>
      <w:r>
        <w:t xml:space="preserve">Punto crítico de diseño: al abandonar Polygon2D se pierde el hit-testing nativo que ese nodo ofrecía. SDFShape2D lo resuelve replicando las mismas fórmulas SDF en GDScript puro (CPU) mediante el método is_point_inside(), evitando así mantener dos fuentes de verdad para la geometría de la forma.</w:t>
      </w:r>
    </w:p>
    <w:p>
      <w:pPr>
        <w:pStyle w:val="Heading3"/>
        <w:spacing w:after="100" w:before="200"/>
      </w:pPr>
      <w:r>
        <w:t xml:space="preserve">3.3.3 Operaciones booleanas no destructivas</w:t>
      </w:r>
    </w:p>
    <w:p>
      <w:pPr>
        <w:spacing w:after="160"/>
      </w:pPr>
      <w:r>
        <w:t xml:space="preserve">Unión, intersección y sustracción entre formas SDF se calculan como operaciones puntuales en el shader — sin retriangulación ni recomputo geométrico (a diferencia del boolean clásico entre polígonos, tipo Weiler–Atherton, que sí es intensivo en CPU y genera vértices adicionales):</w:t>
      </w:r>
    </w:p>
    <w:p>
      <w:pPr>
        <w:shd w:fill="F2F2F2" w:val="clear"/>
        <w:spacing w:after="160"/>
      </w:pPr>
      <w:r>
        <w:rPr>
          <w:rFonts w:ascii="Consolas" w:cs="Consolas" w:eastAsia="Consolas" w:hAnsi="Consolas"/>
          <w:sz w:val="19"/>
          <w:szCs w:val="19"/>
        </w:rPr>
        <w:t xml:space="preserve">union      = min(sdf_a, sdf_b)
intersect  = max(sdf_a, sdf_b)
subtract   = max(sdf_a, -sdf_b)
smooth_u   = -log2(exp2(-k*sdf_a) + exp2(-k*sdf_b)) / k</w:t>
      </w:r>
    </w:p>
    <w:p>
      <w:pPr>
        <w:spacing w:after="160"/>
      </w:pPr>
      <w:r>
        <w:t xml:space="preserve">El árbol de operaciones es no destructivo: cada forma original conserva sus datos paramétricos intactos como hijo del nodo de grupo booleano; deshacer una operación no reconstruye nada, simplemente desconecta el nodo del árbol. El resultado se cachea rasterizado en un SubViewport (ViewportTexture) y solo se recalcula cuando el árbol cambia — el resto de los frames, Godot muestra la textura cacheada sin cómputo adicional.</w:t>
      </w:r>
    </w:p>
    <w:p>
      <w:pPr>
        <w:spacing w:after="160"/>
      </w:pPr>
      <w:r>
        <w:t xml:space="preserve">Godot no ofrece un equivalente 2D a los nodos CSGShape3D (que sí existen para 3D) — por lo que VectoSDF cubre ese vacío en el motor, con la ventaja adicional de que el cálculo es analítico por GPU en vez de retriangulación por CPU.</w:t>
      </w:r>
    </w:p>
    <w:p>
      <w:pPr>
        <w:pBdr>
          <w:left w:val="single" w:color="2F5496" w:sz="12" w:space="8"/>
        </w:pBdr>
        <w:shd w:fill="F2F2F2" w:val="clear"/>
        <w:spacing w:after="160"/>
        <w:ind w:left="120"/>
      </w:pPr>
      <w:r>
        <w:rPr>
          <w:b/>
          <w:bCs/>
          <w:color w:val="2F5496"/>
        </w:rPr>
        <w:t xml:space="preserve">Pendiente de validación: </w:t>
      </w:r>
      <w:r>
        <w:t xml:space="preserve">El cacheo a SubViewport resuelve el coste por frame, pero no el coste del propio cómputo del shader combinado al recalcular. Ese shader crece con el número de formas del grupo (cada unión/intersección añade una evaluación SDF más), por lo que grupos booleanos grandes son la carga de trabajo más pesada que puede recibir VectoSDF. Antes de cerrar la sección 6 como validada, hace falta perfilar este caso en hardware real de gama baja (GPUs tipo Mali-400 / Adreno 305) — no solo estimarlo — con grupos de tamaño creciente (5, 15, 30+ formas anidadas) para fijar un límite práctico recomendado, y decidir si por encima de ese límite conviene rasterizar a resolución reducida o advertir al usuario en la UI.</w:t>
      </w:r>
    </w:p>
    <w:p>
      <w:pPr>
        <w:pStyle w:val="Heading1"/>
        <w:spacing w:after="160" w:before="320"/>
      </w:pPr>
      <w:r>
        <w:t xml:space="preserve">4. Catálogo de herramientas</w:t>
      </w:r>
    </w:p>
    <w:p>
      <w:pPr>
        <w:spacing w:after="160"/>
      </w:pPr>
      <w:r>
        <w:t xml:space="preserve">Cada herramienta de edición es un script independiente que opera sobre el artboard activo. Estado actual documentado:</w:t>
      </w:r>
    </w:p>
    <w:p>
      <w:pPr>
        <w:pStyle w:val="Heading3"/>
        <w:spacing w:after="100" w:before="200"/>
      </w:pPr>
      <w:r>
        <w:t xml:space="preserve">4.1 Herramientas de forma (SDF)</w:t>
      </w:r>
    </w:p>
    <w:p>
      <w:pPr>
        <w:spacing w:after="160"/>
      </w:pPr>
      <w:r>
        <w:t xml:space="preserve">CircleTool, RectangleTool, TriangleTool y StarTool (y equivalentes de polígono regular) generan un SDFShape2D al confirmarse la forma. Durante el arrastre (preview), usan draw_polyline con antialiased=true; dos de ellas (CircleTool y TriangleTool) tenían pendiente activar ese flag en el preview al momento de este informe.</w:t>
      </w:r>
    </w:p>
    <w:p>
      <w:pPr>
        <w:pBdr>
          <w:left w:val="single" w:color="2F5496" w:sz="12" w:space="8"/>
        </w:pBdr>
        <w:shd w:fill="F2F2F2" w:val="clear"/>
        <w:spacing w:after="160"/>
        <w:ind w:left="120"/>
      </w:pPr>
      <w:r>
        <w:rPr>
          <w:b/>
          <w:bCs/>
          <w:color w:val="2F5496"/>
        </w:rPr>
        <w:t xml:space="preserve">Prioridad inmediata: </w:t>
      </w:r>
      <w:r>
        <w:t xml:space="preserve">Cerrar CircleTool y TriangleTool es la tarea de menor esfuerzo y mayor impacto visible pendiente: es una inconsistencia perceptible entre herramientas de la misma familia (RectangleTool y StarTool ya lo tienen) y no depende de ningún otro trabajo de esta hoja de ruta. Debería resolverse antes de iniciar cualquier trabajo de la sección 9.</w:t>
      </w:r>
    </w:p>
    <w:p>
      <w:pPr>
        <w:pStyle w:val="Heading3"/>
        <w:spacing w:after="100" w:before="200"/>
      </w:pPr>
      <w:r>
        <w:t xml:space="preserve">4.2 Herramientas de trazo libre</w:t>
      </w:r>
    </w:p>
    <w:p>
      <w:pPr>
        <w:pStyle w:val="ListParagraph"/>
        <w:numPr>
          <w:ilvl w:val="0"/>
          <w:numId w:val="2"/>
        </w:numPr>
        <w:spacing w:after="80"/>
      </w:pPr>
      <w:r>
        <w:t xml:space="preserve">PenTool — edición de curvas Bézier, portada desde un prototipo HTML/Canvas a GDScript con tipado estricto.</w:t>
      </w:r>
    </w:p>
    <w:p>
      <w:pPr>
        <w:pStyle w:val="ListParagraph"/>
        <w:numPr>
          <w:ilvl w:val="0"/>
          <w:numId w:val="2"/>
        </w:numPr>
        <w:spacing w:after="80"/>
      </w:pPr>
      <w:r>
        <w:t xml:space="preserve">BrushTool — trazo libre continuo; junto con PenTool son las únicas herramientas que ya activaban antialiased=true en el Line2D resultante antes de la revisión general del pipeline.</w:t>
      </w:r>
    </w:p>
    <w:p>
      <w:pPr>
        <w:pStyle w:val="ListParagraph"/>
        <w:numPr>
          <w:ilvl w:val="0"/>
          <w:numId w:val="2"/>
        </w:numPr>
        <w:spacing w:after="80"/>
      </w:pPr>
      <w:r>
        <w:t xml:space="preserve">NodeSelectionTool — selección y edición de nodos de control sobre curvas Bézier existentes.</w:t>
      </w:r>
    </w:p>
    <w:p>
      <w:pPr>
        <w:pStyle w:val="ListParagraph"/>
        <w:numPr>
          <w:ilvl w:val="0"/>
          <w:numId w:val="2"/>
        </w:numPr>
        <w:spacing w:after="80"/>
      </w:pPr>
      <w:r>
        <w:t xml:space="preserve">WaterDropTool — herramienta de forma predefinida (gota de agua), ajustada iterativamente con segmentos de Bézier cuadrática y arcos circulares hasta hacer match con un SVG de referencia.</w:t>
      </w:r>
    </w:p>
    <w:p>
      <w:pPr>
        <w:pBdr>
          <w:left w:val="single" w:color="2F5496" w:sz="12" w:space="8"/>
        </w:pBdr>
        <w:shd w:fill="F2F2F2" w:val="clear"/>
        <w:spacing w:after="160"/>
        <w:ind w:left="120"/>
      </w:pPr>
      <w:r>
        <w:rPr>
          <w:b/>
          <w:bCs/>
          <w:color w:val="2F5496"/>
        </w:rPr>
        <w:t xml:space="preserve">Robustez pendiente: </w:t>
      </w:r>
      <w:r>
        <w:t xml:space="preserve">El port de PenTool cubre la curva Bézier en sí, pero la experiencia de edición completa (mover tangentes/handles de forma independiente o simétrica, quebrar y unir segmentos, conversión entre nodo suave y nodo de esquina) es lo que determina si el editor se siente competitivo frente a Inkscape o Illustrator. Conviene tratar esto como una superficie de trabajo propia dentro de NodeSelectionTool, no como un efecto secundario de PenTool, ya que también será la base de la edición no destructiva de trazado (sección 9.2).</w:t>
      </w:r>
    </w:p>
    <w:p>
      <w:pPr>
        <w:pStyle w:val="Heading3"/>
        <w:spacing w:after="100" w:before="200"/>
      </w:pPr>
      <w:r>
        <w:t xml:space="preserve">4.3 Selección y transformación</w:t>
      </w:r>
    </w:p>
    <w:p>
      <w:pPr>
        <w:spacing w:after="160"/>
      </w:pPr>
      <w:r>
        <w:t xml:space="preserve">MoveTool — selección de objetos y renderizado de bounding box mediante un nodo Node2D dedicado (_overlay) a z_index 100, para garantizar que el overlay de selección siempre se dibuje por encima del contenido del artboard.</w:t>
      </w:r>
    </w:p>
    <w:p>
      <w:pPr>
        <w:pBdr>
          <w:left w:val="single" w:color="2F5496" w:sz="12" w:space="8"/>
        </w:pBdr>
        <w:shd w:fill="F2F2F2" w:val="clear"/>
        <w:spacing w:after="160"/>
        <w:ind w:left="120"/>
      </w:pPr>
      <w:r>
        <w:rPr>
          <w:b/>
          <w:bCs/>
          <w:color w:val="2F5496"/>
        </w:rPr>
        <w:t xml:space="preserve">Patrón a reutilizar: </w:t>
      </w:r>
      <w:r>
        <w:t xml:space="preserve">El overlay dedicado a z_index alto es un patrón de UI/UX sólido y generalizable: al ser Godot un motor con árbol de nodos y control fino de z-index nativo, el mismo patrón sirve para cualquier overlay interactivo futuro (handles de edición Bézier, gizmos de rotación/escala, guías de alineación, indicadores de colaboración en tiempo real de la sección 11) sin necesidad de un sistema de capas de UI independiente.</w:t>
      </w:r>
    </w:p>
    <w:p>
      <w:pPr>
        <w:pStyle w:val="Heading3"/>
        <w:spacing w:after="100" w:before="200"/>
      </w:pPr>
      <w:r>
        <w:t xml:space="preserve">4.4 Sistema de capas</w:t>
      </w:r>
    </w:p>
    <w:p>
      <w:pPr>
        <w:pStyle w:val="ListParagraph"/>
        <w:numPr>
          <w:ilvl w:val="0"/>
          <w:numId w:val="2"/>
        </w:numPr>
        <w:spacing w:after="80"/>
      </w:pPr>
      <w:r>
        <w:t xml:space="preserve">LayerTree.gd — árbol de capas visible en UI, con drag-and-drop implementado sobre los métodos nativos move_before / move_after de Godot.</w:t>
      </w:r>
    </w:p>
    <w:p>
      <w:pPr>
        <w:pStyle w:val="ListParagraph"/>
        <w:numPr>
          <w:ilvl w:val="0"/>
          <w:numId w:val="2"/>
        </w:numPr>
        <w:spacing w:after="80"/>
      </w:pPr>
      <w:r>
        <w:t xml:space="preserve">LayersSystem.gd — lógica de negocio del sistema de capas, con correcciones realizadas sobre conflictos de nombre de clase con tipos built-in de Godot y desajustes de nombres de método entre componentes.</w:t>
      </w:r>
    </w:p>
    <w:p>
      <w:pPr>
        <w:pStyle w:val="Heading1"/>
        <w:spacing w:after="160" w:before="320"/>
      </w:pPr>
      <w:r>
        <w:t xml:space="preserve">5. Navegación de canvas</w:t>
      </w:r>
    </w:p>
    <w:p>
      <w:pPr>
        <w:spacing w:after="160"/>
      </w:pPr>
      <w:r>
        <w:t xml:space="preserve">El sistema de navegación soporta múltiples métodos de entrada de forma unificada:</w:t>
      </w:r>
    </w:p>
    <w:p>
      <w:pPr>
        <w:pStyle w:val="ListParagraph"/>
        <w:numPr>
          <w:ilvl w:val="0"/>
          <w:numId w:val="2"/>
        </w:numPr>
        <w:spacing w:after="80"/>
      </w:pPr>
      <w:r>
        <w:t xml:space="preserve">Gestos de trackpad (pan y zoom multitáctil).</w:t>
      </w:r>
    </w:p>
    <w:p>
      <w:pPr>
        <w:pStyle w:val="ListParagraph"/>
        <w:numPr>
          <w:ilvl w:val="0"/>
          <w:numId w:val="2"/>
        </w:numPr>
        <w:spacing w:after="80"/>
      </w:pPr>
      <w:r>
        <w:t xml:space="preserve">Entrada de stylus / tableta gráfica.</w:t>
      </w:r>
    </w:p>
    <w:p>
      <w:pPr>
        <w:pStyle w:val="ListParagraph"/>
        <w:numPr>
          <w:ilvl w:val="0"/>
          <w:numId w:val="2"/>
        </w:numPr>
        <w:spacing w:after="80"/>
      </w:pPr>
      <w:r>
        <w:t xml:space="preserve">Zoom por arrastre vertical con tecla modificadora, al estilo Blender ("Z-drag zoom").</w:t>
      </w:r>
    </w:p>
    <w:p>
      <w:pPr>
        <w:pStyle w:val="Heading1"/>
        <w:spacing w:after="160" w:before="320"/>
      </w:pPr>
      <w:r>
        <w:t xml:space="preserve">6. Restricciones de hardware y objetivos de rendimiento</w:t>
      </w:r>
    </w:p>
    <w:p>
      <w:pPr>
        <w:spacing w:after="160"/>
      </w:pPr>
      <w:r>
        <w:t xml:space="preserve">Requisito explícito del proyecto: funcionamiento fluido en equipos con 2 GB de RAM, con el mismo código base escalando hacia tabletas, móviles de gama baja, y estaciones de trabajo de alta potencia, sin builds nativos diferenciados por plataforma más allá de lo que Godot ya gestiona.</w:t>
      </w:r>
    </w:p>
    <w:p>
      <w:pPr>
        <w:spacing w:after="160"/>
      </w:pPr>
      <w:r>
        <w:t xml:space="preserve">Esta restricción es la que descarta, en la práctica, cualquier dependencia externa de renderizado vectorial que requiera compilación cruzada por plataforma (Skia) a favor de una solución basada enteramente en shaders GLSL estándar interpretados por el motor (VectoSDF).</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2800"/>
      </w:tblGrid>
      <w:tr>
        <w:tc>
          <w:tcPr>
            <w:tcW w:type="dxa" w:w="3200"/>
            <w:shd w:fill="1F3864" w:val="clear"/>
          </w:tcPr>
          <w:p>
            <w:r>
              <w:rPr>
                <w:b/>
                <w:bCs/>
                <w:color w:val="FFFFFF"/>
                <w:sz w:val="20"/>
                <w:szCs w:val="20"/>
              </w:rPr>
              <w:t xml:space="preserve">Perfil de dispositivo</w:t>
            </w:r>
          </w:p>
        </w:tc>
        <w:tc>
          <w:tcPr>
            <w:tcW w:type="dxa" w:w="3000"/>
            <w:shd w:fill="1F3864" w:val="clear"/>
          </w:tcPr>
          <w:p>
            <w:r>
              <w:rPr>
                <w:b/>
                <w:bCs/>
                <w:color w:val="FFFFFF"/>
                <w:sz w:val="20"/>
                <w:szCs w:val="20"/>
              </w:rPr>
              <w:t xml:space="preserve">Coste de VectoSDF</w:t>
            </w:r>
          </w:p>
        </w:tc>
        <w:tc>
          <w:tcPr>
            <w:tcW w:type="dxa" w:w="2800"/>
            <w:shd w:fill="1F3864" w:val="clear"/>
          </w:tcPr>
          <w:p>
            <w:r>
              <w:rPr>
                <w:b/>
                <w:bCs/>
                <w:color w:val="FFFFFF"/>
                <w:sz w:val="20"/>
                <w:szCs w:val="20"/>
              </w:rPr>
              <w:t xml:space="preserve">Cuello de botella esperado</w:t>
            </w:r>
          </w:p>
        </w:tc>
      </w:tr>
      <w:tr>
        <w:tc>
          <w:tcPr>
            <w:tcW w:type="dxa" w:w="3200"/>
          </w:tcPr>
          <w:p>
            <w:r>
              <w:rPr>
                <w:b w:val="false"/>
                <w:bCs w:val="false"/>
                <w:color w:val="000000"/>
                <w:sz w:val="20"/>
                <w:szCs w:val="20"/>
              </w:rPr>
              <w:t xml:space="preserve">Móvil gama baja (GPU tipo Mali-400 / Adreno 305)</w:t>
            </w:r>
          </w:p>
        </w:tc>
        <w:tc>
          <w:tcPr>
            <w:tcW w:type="dxa" w:w="3000"/>
          </w:tcPr>
          <w:p>
            <w:r>
              <w:rPr>
                <w:b w:val="false"/>
                <w:bCs w:val="false"/>
                <w:color w:val="000000"/>
                <w:sz w:val="20"/>
                <w:szCs w:val="20"/>
              </w:rPr>
              <w:t xml:space="preserve">5–10 operaciones matemáticas por píxel por forma</w:t>
            </w:r>
          </w:p>
        </w:tc>
        <w:tc>
          <w:tcPr>
            <w:tcW w:type="dxa" w:w="2800"/>
          </w:tcPr>
          <w:p>
            <w:r>
              <w:rPr>
                <w:b w:val="false"/>
                <w:bCs w:val="false"/>
                <w:color w:val="000000"/>
                <w:sz w:val="20"/>
                <w:szCs w:val="20"/>
              </w:rPr>
              <w:t xml:space="preserve">Grupos booleanos con muchas formas combinadas en un shader largo</w:t>
            </w:r>
          </w:p>
        </w:tc>
      </w:tr>
      <w:tr>
        <w:tc>
          <w:tcPr>
            <w:tcW w:type="dxa" w:w="3200"/>
          </w:tcPr>
          <w:p>
            <w:r>
              <w:rPr>
                <w:b w:val="false"/>
                <w:bCs w:val="false"/>
                <w:color w:val="000000"/>
                <w:sz w:val="20"/>
                <w:szCs w:val="20"/>
              </w:rPr>
              <w:t xml:space="preserve">Escritorio de gama media / 2 GB RAM</w:t>
            </w:r>
          </w:p>
        </w:tc>
        <w:tc>
          <w:tcPr>
            <w:tcW w:type="dxa" w:w="3000"/>
          </w:tcPr>
          <w:p>
            <w:r>
              <w:rPr>
                <w:b w:val="false"/>
                <w:bCs w:val="false"/>
                <w:color w:val="000000"/>
                <w:sz w:val="20"/>
                <w:szCs w:val="20"/>
              </w:rPr>
              <w:t xml:space="preserve">Prácticamente nulo, sin buffers extra para formas sueltas</w:t>
            </w:r>
          </w:p>
        </w:tc>
        <w:tc>
          <w:tcPr>
            <w:tcW w:type="dxa" w:w="2800"/>
          </w:tcPr>
          <w:p>
            <w:r>
              <w:rPr>
                <w:b w:val="false"/>
                <w:bCs w:val="false"/>
                <w:color w:val="000000"/>
                <w:sz w:val="20"/>
                <w:szCs w:val="20"/>
              </w:rPr>
              <w:t xml:space="preserve">Ninguno esperado para uso normal</w:t>
            </w:r>
          </w:p>
        </w:tc>
      </w:tr>
      <w:tr>
        <w:tc>
          <w:tcPr>
            <w:tcW w:type="dxa" w:w="3200"/>
          </w:tcPr>
          <w:p>
            <w:r>
              <w:rPr>
                <w:b w:val="false"/>
                <w:bCs w:val="false"/>
                <w:color w:val="000000"/>
                <w:sz w:val="20"/>
                <w:szCs w:val="20"/>
              </w:rPr>
              <w:t xml:space="preserve">Estación de trabajo de alta potencia</w:t>
            </w:r>
          </w:p>
        </w:tc>
        <w:tc>
          <w:tcPr>
            <w:tcW w:type="dxa" w:w="3000"/>
          </w:tcPr>
          <w:p>
            <w:r>
              <w:rPr>
                <w:b w:val="false"/>
                <w:bCs w:val="false"/>
                <w:color w:val="000000"/>
                <w:sz w:val="20"/>
                <w:szCs w:val="20"/>
              </w:rPr>
              <w:t xml:space="preserve">Sin impacto perceptible</w:t>
            </w:r>
          </w:p>
        </w:tc>
        <w:tc>
          <w:tcPr>
            <w:tcW w:type="dxa" w:w="2800"/>
          </w:tcPr>
          <w:p>
            <w:r>
              <w:rPr>
                <w:b w:val="false"/>
                <w:bCs w:val="false"/>
                <w:color w:val="000000"/>
                <w:sz w:val="20"/>
                <w:szCs w:val="20"/>
              </w:rPr>
              <w:t xml:space="preserve">No aplica</w:t>
            </w:r>
          </w:p>
        </w:tc>
      </w:tr>
    </w:tbl>
    <w:p>
      <w:pPr>
        <w:spacing w:after="160"/>
      </w:pPr>
      <w:r>
        <w:t xml:space="preserve"/>
      </w:r>
    </w:p>
    <w:p>
      <w:pPr>
        <w:spacing w:after="160"/>
      </w:pPr>
      <w:r>
        <w:t xml:space="preserve">El cuello de botella identificado (grupos booleanos extensos) se mitiga con el mecanismo de cacheo a SubViewport descrito en 3.3.3: el shader combinado se ejecuta una única vez por cambio, no por frame. Como se anota en esa sección, esta tabla describe el coste teórico por operación; queda pendiente confirmarlo con mediciones en dispositivos físicos de gama baja antes de fijarlo como límite de diseño.</w:t>
      </w:r>
    </w:p>
    <w:p>
      <w:pPr>
        <w:pStyle w:val="Heading1"/>
        <w:spacing w:after="160" w:before="320"/>
      </w:pPr>
      <w:r>
        <w:t xml:space="preserve">7. Fundamentos previos del proyecto</w:t>
      </w:r>
    </w:p>
    <w:p>
      <w:pPr>
        <w:spacing w:after="160"/>
      </w:pPr>
      <w:r>
        <w:t xml:space="preserve">Trabajo de base ya resuelto sobre el que se apoya el desarrollo actual:</w:t>
      </w:r>
    </w:p>
    <w:p>
      <w:pPr>
        <w:pStyle w:val="ListParagraph"/>
        <w:numPr>
          <w:ilvl w:val="0"/>
          <w:numId w:val="2"/>
        </w:numPr>
        <w:spacing w:after="80"/>
      </w:pPr>
      <w:r>
        <w:t xml:space="preserve">Port a GDExtension en C++ de un plugin de referencia "Scalable Vector Shapes 2D".</w:t>
      </w:r>
    </w:p>
    <w:p>
      <w:pPr>
        <w:pStyle w:val="ListParagraph"/>
        <w:numPr>
          <w:ilvl w:val="0"/>
          <w:numId w:val="2"/>
        </w:numPr>
        <w:spacing w:after="80"/>
      </w:pPr>
      <w:r>
        <w:t xml:space="preserve">Shader canvas_item de Godot 4 que implementa un efecto de vidrio líquido al estilo Apple ("Liquid Glass"), refinado con refracción de borde físicamente basada, normales derivadas de SDF, especular direccional y realce de saturación — precedente técnico directo de VectoSDF en cuanto al uso de campos de distancia en shaders de Godot.</w:t>
      </w:r>
    </w:p>
    <w:p>
      <w:pPr>
        <w:pStyle w:val="ListParagraph"/>
        <w:numPr>
          <w:ilvl w:val="0"/>
          <w:numId w:val="2"/>
        </w:numPr>
        <w:spacing w:after="80"/>
      </w:pPr>
      <w:r>
        <w:t xml:space="preserve">Resolución de una dependencia circular entre archivos de escena (tool.tscn y canvas.tscn) que bloqueaba la depuración del proyecto.</w:t>
      </w:r>
    </w:p>
    <w:p>
      <w:pPr>
        <w:pStyle w:val="Heading1"/>
        <w:spacing w:after="160" w:before="320"/>
      </w:pPr>
      <w:r>
        <w:t xml:space="preserve">8. Interoperabilidad: SVG y formatos nativos</w:t>
      </w:r>
    </w:p>
    <w:p>
      <w:pPr>
        <w:spacing w:after="160"/>
      </w:pPr>
      <w:r>
        <w:t xml:space="preserve">La compatibilidad con SVG es, junto con la arquitectura no destructiva, el diferenciador de producto más importante frente a otros editores vectoriales: determina si Vectográfica puede insertarse en un flujo de trabajo existente (Inkscape, Illustrator, Figma) en vez de exigir uno propio de forma aislada.</w:t>
      </w:r>
    </w:p>
    <w:p>
      <w:pPr>
        <w:pStyle w:val="Heading3"/>
        <w:spacing w:after="100" w:before="200"/>
      </w:pPr>
      <w:r>
        <w:t xml:space="preserve">8.1 Importación y exportación SVG</w:t>
      </w:r>
    </w:p>
    <w:p>
      <w:pPr>
        <w:spacing w:after="160"/>
      </w:pPr>
      <w:r>
        <w:t xml:space="preserve">El objetivo es compatibilidad bidireccional completa, no solo exportación de salida: importar un SVG externo debe reconstruir un árbol de nodos SDFShape2D / trazado Bézier editable, no solo una imagen estática rasterizada o embebida. Esto implica un parser de path data (comandos M/L/C/Q/A/Z) que traduzca cada segmento a la representación interna de curvas del editor, y un mapeo inverso en la exportación que reconstruya path data válido a partir del árbol de nodos, incluyendo fills, strokes, gradientes y agrupaciones.</w:t>
      </w:r>
    </w:p>
    <w:p>
      <w:pPr>
        <w:pStyle w:val="Heading3"/>
        <w:spacing w:after="100" w:before="200"/>
      </w:pPr>
      <w:r>
        <w:t xml:space="preserve">8.2 Exportación .tscn nativa</w:t>
      </w:r>
    </w:p>
    <w:p>
      <w:pPr>
        <w:spacing w:after="160"/>
      </w:pPr>
      <w:r>
        <w:t xml:space="preserve">Además de SVG, exportar el artboard como escena .tscn de Godot es un diferenciador sin equivalente directo en otros editores vectoriales: permite a un desarrollador de Godot arrastrar el resultado de Vectográfica directamente a un proyecto de juego o de UI como nodos nativos (SDFShape2D, Line2D, agrupaciones), conservando la edición no destructiva y evitando el paso intermedio de rasterizar a textura.</w:t>
      </w:r>
    </w:p>
    <w:p>
      <w:pPr>
        <w:pStyle w:val="Heading1"/>
        <w:spacing w:after="160" w:before="320"/>
      </w:pPr>
      <w:r>
        <w:t xml:space="preserve">9. Arquitectura extensible y edición no destructiva</w:t>
      </w:r>
    </w:p>
    <w:p>
      <w:pPr>
        <w:pStyle w:val="Heading3"/>
        <w:spacing w:after="100" w:before="200"/>
      </w:pPr>
      <w:r>
        <w:t xml:space="preserve">9.1 Arquitectura basada en nodos</w:t>
      </w:r>
    </w:p>
    <w:p>
      <w:pPr>
        <w:spacing w:after="160"/>
      </w:pPr>
      <w:r>
        <w:t xml:space="preserve">El árbol de escena de Godot ya es, de forma nativa, un árbol de nodos jerárquico con propiedades tipadas — la misma estructura conceptual que sistemas de diseño basados en nodos en otras herramientas (grupos, máscaras, efectos anidados). Formalizar esto como principio de arquitectura del editor, en vez de tratarlo como una consecuencia incidental de usar Godot, es lo que permite que capas, formas, grupos booleanos, máscaras y futuros efectos compartan el mismo modelo de datos y el mismo sistema de deshacer/rehacer.</w:t>
      </w:r>
    </w:p>
    <w:p>
      <w:pPr>
        <w:pStyle w:val="Heading3"/>
        <w:spacing w:after="100" w:before="200"/>
      </w:pPr>
      <w:r>
        <w:t xml:space="preserve">9.2 Edición no destructiva generalizada</w:t>
      </w:r>
    </w:p>
    <w:p>
      <w:pPr>
        <w:spacing w:after="160"/>
      </w:pPr>
      <w:r>
        <w:t xml:space="preserve">El árbol de operaciones booleanas (sección 3.3.3) ya sigue este principio: las formas originales conservan sus datos paramétricos y las operaciones son nodos desconectables. El siguiente paso es extender el mismo patrón a otros efectos no implementados aún como no destructivos (deformaciones, máscaras de recorte, efectos de trazo tipo dash/gradiente a lo largo de un path) para que ninguna operación del editor destruya la geometría de origen.</w:t>
      </w:r>
    </w:p>
    <w:p>
      <w:pPr>
        <w:pStyle w:val="Heading3"/>
        <w:spacing w:after="100" w:before="200"/>
      </w:pPr>
      <w:r>
        <w:t xml:space="preserve">9.3 Sistema de plugins (GDScript y C++)</w:t>
      </w:r>
    </w:p>
    <w:p>
      <w:pPr>
        <w:spacing w:after="160"/>
      </w:pPr>
      <w:r>
        <w:t xml:space="preserve">Al estar construido sobre Godot, el editor puede heredar el propio sistema de plugins del motor (EditorPlugin, @tool scripts) como base para extensiones de terceros, en vez de diseñar un formato de plugin propio desde cero. GDScript cubre la mayoría de extensiones (herramientas nuevas, paneles de UI, formas SDF adicionales); C++ vía GDExtension queda reservado para casos con requisitos de rendimiento — de forma consistente con el port de "Scalable Vector Shapes 2D" ya realizado (sección 7).</w:t>
      </w:r>
    </w:p>
    <w:p>
      <w:pPr>
        <w:pStyle w:val="Heading3"/>
        <w:spacing w:after="100" w:before="200"/>
      </w:pPr>
      <w:r>
        <w:t xml:space="preserve">9.4 Motor de scripting para automatización</w:t>
      </w:r>
    </w:p>
    <w:p>
      <w:pPr>
        <w:spacing w:after="160"/>
      </w:pPr>
      <w:r>
        <w:t xml:space="preserve">Un motor de scripting embebido (candidato natural: GDScript, ya presente en el motor, expuesto sobre la misma API pública que usarían los plugins) permitiría automatizar tareas repetitivas sobre el árbol de nodos del artboard: generación paramétrica de formas, procesamiento por lotes de múltiples artboards, o exportación programática. Al compartir API con el sistema de plugins de 9.3, este motor no exige una segunda capa de abstracción independiente.</w:t>
      </w:r>
    </w:p>
    <w:p>
      <w:pPr>
        <w:pStyle w:val="Heading1"/>
        <w:spacing w:after="160" w:before="320"/>
      </w:pPr>
      <w:r>
        <w:t xml:space="preserve">10. Exportación e integración web</w:t>
      </w:r>
    </w:p>
    <w:p>
      <w:pPr>
        <w:spacing w:after="160"/>
      </w:pPr>
      <w:r>
        <w:t xml:space="preserve">La combinación de árbol de nodos tipado y formas definidas matemáticamente (SDF, curvas Bézier) hace que Vectográfica tenga, en principio, la información necesaria para exportar no solo una imagen sino un gráfico interactivo: coordenadas, curvas y agrupaciones traducibles a SVG animable o a marcado HTML/CSS con clases e IDs por capa, listo para animarse o manipularse con CSS/JS en un proyecto web. Esta vía se documenta como línea de exploración a medio plazo, condicionada a que la exportación SVG base (sección 8.1) esté primero completa y sea fiable, ya que la comparte como formato subyacente.</w:t>
      </w:r>
    </w:p>
    <w:p>
      <w:pPr>
        <w:pStyle w:val="Heading1"/>
        <w:spacing w:after="160" w:before="320"/>
      </w:pPr>
      <w:r>
        <w:t xml:space="preserve">11. Colaboración en tiempo real (exploratorio)</w:t>
      </w:r>
    </w:p>
    <w:p>
      <w:pPr>
        <w:spacing w:after="160"/>
      </w:pPr>
      <w:r>
        <w:t xml:space="preserve">Colaboración multi-usuario en tiempo real sobre el mismo artboard es la pieza de mayor complejidad de esta hoja de ruta: requiere resolución de conflictos sobre el árbol de nodos (o un modelo de datos tipo CRDT/OT independiente de él), sincronización de red de baja latencia, y una capa de presencia visual (cursores e indicadores de selección remota, reutilizando el patrón de overlay a z_index alto de la sección 4.3). Se documenta aquí como dirección de exploración a largo plazo, no como compromiso de calendario: su diseño depende de que la arquitectura de nodos y el modelo no destructivo de la sección 9 estén ya estables, para no tener que rediseñar la sincronización si el modelo de datos subyacente cambia.</w:t>
      </w:r>
    </w:p>
    <w:p>
      <w:pPr>
        <w:pStyle w:val="Heading1"/>
        <w:spacing w:after="160" w:before="320"/>
      </w:pPr>
      <w:r>
        <w:t xml:space="preserve">12. Hoja de ruta priorizada</w:t>
      </w:r>
    </w:p>
    <w:p>
      <w:pPr>
        <w:pStyle w:val="Heading3"/>
        <w:spacing w:after="100" w:before="200"/>
      </w:pPr>
      <w:r>
        <w:t xml:space="preserve">12.1 Corto plazo — cierra inconsistencias existentes</w:t>
      </w:r>
    </w:p>
    <w:p>
      <w:pPr>
        <w:pStyle w:val="ListParagraph"/>
        <w:numPr>
          <w:ilvl w:val="0"/>
          <w:numId w:val="2"/>
        </w:numPr>
        <w:spacing w:after="80"/>
      </w:pPr>
      <w:r>
        <w:t xml:space="preserve">Migrar CircleTool y TriangleTool para activar antialiased=true también en su preview de arrastre (sección 4.1).</w:t>
      </w:r>
    </w:p>
    <w:p>
      <w:pPr>
        <w:pStyle w:val="ListParagraph"/>
        <w:numPr>
          <w:ilvl w:val="0"/>
          <w:numId w:val="2"/>
        </w:numPr>
        <w:spacing w:after="80"/>
      </w:pPr>
      <w:r>
        <w:t xml:space="preserve">Reemplazar las instancias de Polygon2D + Line2D restantes por SDFShape2D en todas las herramientas de forma.</w:t>
      </w:r>
    </w:p>
    <w:p>
      <w:pPr>
        <w:pStyle w:val="ListParagraph"/>
        <w:numPr>
          <w:ilvl w:val="0"/>
          <w:numId w:val="2"/>
        </w:numPr>
        <w:spacing w:after="80"/>
      </w:pPr>
      <w:r>
        <w:t xml:space="preserve">Implementar el nodo BooleanGroup (SubViewport + combinación de SDFs) sobre la base de SDFShape2D.</w:t>
      </w:r>
    </w:p>
    <w:p>
      <w:pPr>
        <w:pStyle w:val="ListParagraph"/>
        <w:numPr>
          <w:ilvl w:val="0"/>
          <w:numId w:val="2"/>
        </w:numPr>
        <w:spacing w:after="80"/>
      </w:pPr>
      <w:r>
        <w:t xml:space="preserve">Perfilar el coste real de grupos booleanos grandes en hardware de gama baja (Mali-400 / Adreno 305) y fijar un límite práctico recomendado (sección 3.3.3).</w:t>
      </w:r>
    </w:p>
    <w:p>
      <w:pPr>
        <w:pStyle w:val="ListParagraph"/>
        <w:numPr>
          <w:ilvl w:val="0"/>
          <w:numId w:val="2"/>
        </w:numPr>
        <w:spacing w:after="80"/>
      </w:pPr>
      <w:r>
        <w:t xml:space="preserve">Completar la edición de nodos Bézier (tangentes/handles independientes y simétricos, conversión suave/esquina) en NodeSelectionTool (sección 4.2).</w:t>
      </w:r>
    </w:p>
    <w:p>
      <w:pPr>
        <w:pStyle w:val="Heading3"/>
        <w:spacing w:after="100" w:before="200"/>
      </w:pPr>
      <w:r>
        <w:t xml:space="preserve">12.2 Medio plazo — diferenciadores de producto</w:t>
      </w:r>
    </w:p>
    <w:p>
      <w:pPr>
        <w:pStyle w:val="ListParagraph"/>
        <w:numPr>
          <w:ilvl w:val="0"/>
          <w:numId w:val="2"/>
        </w:numPr>
        <w:spacing w:after="80"/>
      </w:pPr>
      <w:r>
        <w:t xml:space="preserve">Importación y exportación SVG bidireccional completa (sección 8.1).</w:t>
      </w:r>
    </w:p>
    <w:p>
      <w:pPr>
        <w:pStyle w:val="ListParagraph"/>
        <w:numPr>
          <w:ilvl w:val="0"/>
          <w:numId w:val="2"/>
        </w:numPr>
        <w:spacing w:after="80"/>
      </w:pPr>
      <w:r>
        <w:t xml:space="preserve">Exportación .tscn nativa de escenas Godot (sección 8.2).</w:t>
      </w:r>
    </w:p>
    <w:p>
      <w:pPr>
        <w:pStyle w:val="ListParagraph"/>
        <w:numPr>
          <w:ilvl w:val="0"/>
          <w:numId w:val="2"/>
        </w:numPr>
        <w:spacing w:after="80"/>
      </w:pPr>
      <w:r>
        <w:t xml:space="preserve">Sistema de plugins sobre EditorPlugin / @tool, con casos de alto rendimiento en GDExtension C++ (sección 9.3).</w:t>
      </w:r>
    </w:p>
    <w:p>
      <w:pPr>
        <w:pStyle w:val="ListParagraph"/>
        <w:numPr>
          <w:ilvl w:val="0"/>
          <w:numId w:val="2"/>
        </w:numPr>
        <w:spacing w:after="80"/>
      </w:pPr>
      <w:r>
        <w:t xml:space="preserve">Motor de scripting para automatización de tareas sobre el artboard (sección 9.4).</w:t>
      </w:r>
    </w:p>
    <w:p>
      <w:pPr>
        <w:pStyle w:val="ListParagraph"/>
        <w:numPr>
          <w:ilvl w:val="0"/>
          <w:numId w:val="2"/>
        </w:numPr>
        <w:spacing w:after="80"/>
      </w:pPr>
      <w:r>
        <w:t xml:space="preserve">Evaluar necesidad futura de Blend2D exclusivamente para operaciones que SDF no resuelve de forma natural (gradientes mesh, patrones de guión complejos a lo largo de un path).</w:t>
      </w:r>
    </w:p>
    <w:p>
      <w:pPr>
        <w:pStyle w:val="Heading3"/>
        <w:spacing w:after="100" w:before="200"/>
      </w:pPr>
      <w:r>
        <w:t xml:space="preserve">12.3 Largo plazo — visión arquitectónica</w:t>
      </w:r>
    </w:p>
    <w:p>
      <w:pPr>
        <w:pStyle w:val="ListParagraph"/>
        <w:numPr>
          <w:ilvl w:val="0"/>
          <w:numId w:val="2"/>
        </w:numPr>
        <w:spacing w:after="80"/>
      </w:pPr>
      <w:r>
        <w:t xml:space="preserve">Generalizar la edición no destructiva a todos los efectos del editor, no solo a las operaciones booleanas (sección 9.2).</w:t>
      </w:r>
    </w:p>
    <w:p>
      <w:pPr>
        <w:pStyle w:val="ListParagraph"/>
        <w:numPr>
          <w:ilvl w:val="0"/>
          <w:numId w:val="2"/>
        </w:numPr>
        <w:spacing w:after="80"/>
      </w:pPr>
      <w:r>
        <w:t xml:space="preserve">Exportación a HTML/CSS para gráficos interactivos, apoyada en el pipeline SVG (sección 10).</w:t>
      </w:r>
    </w:p>
    <w:p>
      <w:pPr>
        <w:pStyle w:val="ListParagraph"/>
        <w:numPr>
          <w:ilvl w:val="0"/>
          <w:numId w:val="2"/>
        </w:numPr>
        <w:spacing w:after="80"/>
      </w:pPr>
      <w:r>
        <w:t xml:space="preserve">Colaboración en tiempo real multi-usuario, condicionada a la estabilidad previa del modelo de datos no destructivo (sección 11).</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2026-07-18T14:46:59.140Z</dcterms:created>
  <dcterms:modified xsi:type="dcterms:W3CDTF">2026-07-18T14:46:59.154Z</dcterms:modified>
</cp:coreProperties>
</file>

<file path=docProps/custom.xml><?xml version="1.0" encoding="utf-8"?>
<Properties xmlns="http://schemas.openxmlformats.org/officeDocument/2006/custom-properties" xmlns:vt="http://schemas.openxmlformats.org/officeDocument/2006/docPropsVTypes"/>
</file>