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5A5A5A"/>
          <w:sz w:val="20"/>
          <w:szCs w:val="20"/>
        </w:rPr>
        <w:t xml:space="preserve">GEVISUAL — Informe Técnico</w:t>
      </w:r>
    </w:p>
    <w:p>
      <w:pPr>
        <w:pStyle w:val="Title"/>
        <w:spacing w:after="120"/>
      </w:pPr>
      <w:r>
        <w:t xml:space="preserve">Vectográfica (Vectopen)</w:t>
      </w:r>
    </w:p>
    <w:p>
      <w:pPr>
        <w:spacing w:after="160"/>
      </w:pPr>
      <w:r>
        <w:rPr>
          <w:i/>
          <w:iCs/>
        </w:rPr>
        <w:t xml:space="preserve">Estado real del código (v0.1.1) vs. diseño propuesto — Arquitectura, Renderizado y Hoja de Ruta</w:t>
      </w:r>
    </w:p>
    <w:p>
      <w:pPr>
        <w:spacing w:after="160"/>
      </w:pPr>
      <w:r>
        <w:rPr>
          <w:color w:val="5A5A5A"/>
          <w:sz w:val="18"/>
          <w:szCs w:val="18"/>
        </w:rPr>
        <w:t xml:space="preserve">Julio 2026 · Revisión 3 · Auditado contra el repositorio fuente</w:t>
      </w:r>
    </w:p>
    <w:p>
      <w:pPr>
        <w:pStyle w:val="Heading1"/>
        <w:spacing w:after="160" w:before="320"/>
      </w:pPr>
      <w:r>
        <w:t xml:space="preserve">1. Resumen ejecutivo</w:t>
      </w:r>
    </w:p>
    <w:p>
      <w:pPr>
        <w:spacing w:after="160"/>
      </w:pPr>
      <w:r>
        <w:t xml:space="preserve">Vectográfica (nombre de proyecto: Vectopen) es un editor de gráficos vectoriales de escritorio, nativo y de código abierto, construido sobre Godot 4.7 (mono). Esta revisión 3 reemplaza a la v2 en un punto fundamental: la v2 describía el sistema de renderizado VectoSDF — formas SDF, nodo SDFShape2D, operaciones booleanas no destructivas, hit-testing en CPU — como si fuera la arquitectura vigente del editor. Auditando el repositorio fuente contra ese texto, se confirma que ninguno de esos componentes existe en el código: no hay una sola referencia a SDFShape2D, BooleanGroup ni is_point_inside() en todo el proyecto.</w:t>
      </w:r>
    </w:p>
    <w:p>
      <w:pPr>
        <w:spacing w:after="160"/>
      </w:pPr>
      <w:r>
        <w:t xml:space="preserve">Lo que sí existe, y es sobre lo que corre el editor hoy, es un pipeline de formas basado en Polygon2D + Line2D sin antialiasing para primitivas (círculo, rectángulo), Line2D con antialiased=true para trazo libre, Path2D nativo para curvas Bézier, y un único shader SDF de prueba de concepto (shader/sdf_circle.gdshader, 37 líneas) limitado a un círculo, sin booleanos ni composición de formas.</w:t>
      </w:r>
    </w:p>
    <w:p>
      <w:pPr>
        <w:spacing w:after="160"/>
      </w:pPr>
      <w:r>
        <w:t xml:space="preserve">Este documento separa explícitamente ambas capas: la sección 2 documenta el estado real y verificado del código; la sección 4 conserva el diseño de VectoSDF de la v2 —con las correcciones técnicas discutidas en revisión— pero reclasificado como propuesta de arquitectura objetivo, no como sistema construido. La hoja de ruta (sección 5) prioriza primero los bugs reales confirmados en el código actual, y deja VectoSDF completo como una iniciativa de medio/largo plazo.</w:t>
      </w:r>
    </w:p>
    <w:p>
      <w:pPr>
        <w:pStyle w:val="Heading1"/>
        <w:spacing w:after="160" w:before="320"/>
      </w:pPr>
      <w:r>
        <w:t xml:space="preserve">2. Estado real del proyecto (auditoría de código, v0.1.1)</w:t>
      </w:r>
    </w:p>
    <w:p>
      <w:pPr>
        <w:shd w:fill="E2F0D9" w:val="clear"/>
        <w:spacing w:after="100"/>
      </w:pPr>
      <w:r>
        <w:rPr>
          <w:b/>
          <w:bCs/>
          <w:color w:val="2E7D32"/>
          <w:sz w:val="18"/>
          <w:szCs w:val="18"/>
        </w:rPr>
        <w:t xml:space="preserve">● IMPLEMENTADO — verificado en el código fuente (v0.1.1)</w:t>
      </w:r>
    </w:p>
    <w:p>
      <w:pPr>
        <w:spacing w:after="160"/>
      </w:pPr>
      <w:r>
        <w:t xml:space="preserve">Motor: Godot 4.7 (mono). Renderer: gl_compatibility (OpenGL ES 3.0). Escena principal: res://scenes/canvas/canvas.tscn.</w:t>
      </w:r>
    </w:p>
    <w:p>
      <w:pPr>
        <w:pStyle w:val="Heading2"/>
        <w:spacing w:after="120" w:before="240"/>
      </w:pPr>
      <w:r>
        <w:t xml:space="preserve">2.1 Autoloads (11 singletons)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00"/>
      </w:tblGrid>
      <w:tr>
        <w:tc>
          <w:tcPr>
            <w:tcW w:type="dxa" w:w="2600"/>
            <w:shd w:fill="1F3864" w:val="clear"/>
          </w:tcPr>
          <w:p>
            <w:r>
              <w:rPr>
                <w:b/>
                <w:bCs/>
                <w:color w:val="FFFFFF"/>
                <w:sz w:val="20"/>
                <w:szCs w:val="20"/>
              </w:rPr>
              <w:t xml:space="preserve">Singleton</w:t>
            </w:r>
          </w:p>
        </w:tc>
        <w:tc>
          <w:tcPr>
            <w:tcW w:type="dxa" w:w="1200"/>
            <w:shd w:fill="1F3864" w:val="clear"/>
          </w:tcPr>
          <w:p>
            <w:r>
              <w:rPr>
                <w:b/>
                <w:bCs/>
                <w:color w:val="FFFFFF"/>
                <w:sz w:val="20"/>
                <w:szCs w:val="20"/>
              </w:rPr>
              <w:t xml:space="preserve">Líneas</w:t>
            </w:r>
          </w:p>
        </w:tc>
        <w:tc>
          <w:tcPr>
            <w:tcW w:type="dxa" w:w="5200"/>
            <w:shd w:fill="1F3864" w:val="clear"/>
          </w:tcPr>
          <w:p>
            <w:r>
              <w:rPr>
                <w:b/>
                <w:bCs/>
                <w:color w:val="FFFFFF"/>
                <w:sz w:val="20"/>
                <w:szCs w:val="20"/>
              </w:rPr>
              <w:t xml:space="preserve">Rol</w:t>
            </w:r>
          </w:p>
        </w:tc>
      </w:tr>
      <w:tr>
        <w:tc>
          <w:tcPr>
            <w:tcW w:type="dxa" w:w="2600"/>
          </w:tcPr>
          <w:p>
            <w:r>
              <w:rPr>
                <w:b w:val="false"/>
                <w:bCs w:val="false"/>
                <w:color w:val="000000"/>
                <w:sz w:val="20"/>
                <w:szCs w:val="20"/>
              </w:rPr>
              <w:t xml:space="preserve">GlobalEvents</w:t>
            </w:r>
          </w:p>
        </w:tc>
        <w:tc>
          <w:tcPr>
            <w:tcW w:type="dxa" w:w="1200"/>
          </w:tcPr>
          <w:p>
            <w:r>
              <w:rPr>
                <w:b w:val="false"/>
                <w:bCs w:val="false"/>
                <w:color w:val="000000"/>
                <w:sz w:val="20"/>
                <w:szCs w:val="20"/>
              </w:rPr>
              <w:t xml:space="preserve">111</w:t>
            </w:r>
          </w:p>
        </w:tc>
        <w:tc>
          <w:tcPr>
            <w:tcW w:type="dxa" w:w="5200"/>
          </w:tcPr>
          <w:p>
            <w:r>
              <w:rPr>
                <w:b w:val="false"/>
                <w:bCs w:val="false"/>
                <w:color w:val="000000"/>
                <w:sz w:val="20"/>
                <w:szCs w:val="20"/>
              </w:rPr>
              <w:t xml:space="preserve">Bus central de señales (~52 señales), emit_safe()</w:t>
            </w:r>
          </w:p>
        </w:tc>
      </w:tr>
      <w:tr>
        <w:tc>
          <w:tcPr>
            <w:tcW w:type="dxa" w:w="2600"/>
          </w:tcPr>
          <w:p>
            <w:r>
              <w:rPr>
                <w:b w:val="false"/>
                <w:bCs w:val="false"/>
                <w:color w:val="000000"/>
                <w:sz w:val="20"/>
                <w:szCs w:val="20"/>
              </w:rPr>
              <w:t xml:space="preserve">GlobalUI</w:t>
            </w:r>
          </w:p>
        </w:tc>
        <w:tc>
          <w:tcPr>
            <w:tcW w:type="dxa" w:w="1200"/>
          </w:tcPr>
          <w:p>
            <w:r>
              <w:rPr>
                <w:b w:val="false"/>
                <w:bCs w:val="false"/>
                <w:color w:val="000000"/>
                <w:sz w:val="20"/>
                <w:szCs w:val="20"/>
              </w:rPr>
              <w:t xml:space="preserve">8</w:t>
            </w:r>
          </w:p>
        </w:tc>
        <w:tc>
          <w:tcPr>
            <w:tcW w:type="dxa" w:w="5200"/>
          </w:tcPr>
          <w:p>
            <w:r>
              <w:rPr>
                <w:b w:val="false"/>
                <w:bCs w:val="false"/>
                <w:color w:val="000000"/>
                <w:sz w:val="20"/>
                <w:szCs w:val="20"/>
              </w:rPr>
              <w:t xml:space="preserve">Flag is_mouse_over_ui para enrutar input canvas↔UI</w:t>
            </w:r>
          </w:p>
        </w:tc>
      </w:tr>
      <w:tr>
        <w:tc>
          <w:tcPr>
            <w:tcW w:type="dxa" w:w="2600"/>
          </w:tcPr>
          <w:p>
            <w:r>
              <w:rPr>
                <w:b w:val="false"/>
                <w:bCs w:val="false"/>
                <w:color w:val="000000"/>
                <w:sz w:val="20"/>
                <w:szCs w:val="20"/>
              </w:rPr>
              <w:t xml:space="preserve">DataRepository</w:t>
            </w:r>
          </w:p>
        </w:tc>
        <w:tc>
          <w:tcPr>
            <w:tcW w:type="dxa" w:w="1200"/>
          </w:tcPr>
          <w:p>
            <w:r>
              <w:rPr>
                <w:b w:val="false"/>
                <w:bCs w:val="false"/>
                <w:color w:val="000000"/>
                <w:sz w:val="20"/>
                <w:szCs w:val="20"/>
              </w:rPr>
              <w:t xml:space="preserve">1349</w:t>
            </w:r>
          </w:p>
        </w:tc>
        <w:tc>
          <w:tcPr>
            <w:tcW w:type="dxa" w:w="5200"/>
          </w:tcPr>
          <w:p>
            <w:r>
              <w:rPr>
                <w:b w:val="false"/>
                <w:bCs w:val="false"/>
                <w:color w:val="000000"/>
                <w:sz w:val="20"/>
                <w:szCs w:val="20"/>
              </w:rPr>
              <w:t xml:space="preserve">God object: modelo, undo/redo, auto-save, recovery, snap, CRUD</w:t>
            </w:r>
          </w:p>
        </w:tc>
      </w:tr>
      <w:tr>
        <w:tc>
          <w:tcPr>
            <w:tcW w:type="dxa" w:w="2600"/>
          </w:tcPr>
          <w:p>
            <w:r>
              <w:rPr>
                <w:b w:val="false"/>
                <w:bCs w:val="false"/>
                <w:color w:val="000000"/>
                <w:sz w:val="20"/>
                <w:szCs w:val="20"/>
              </w:rPr>
              <w:t xml:space="preserve">ToolManager</w:t>
            </w:r>
          </w:p>
        </w:tc>
        <w:tc>
          <w:tcPr>
            <w:tcW w:type="dxa" w:w="1200"/>
          </w:tcPr>
          <w:p>
            <w:r>
              <w:rPr>
                <w:b w:val="false"/>
                <w:bCs w:val="false"/>
                <w:color w:val="000000"/>
                <w:sz w:val="20"/>
                <w:szCs w:val="20"/>
              </w:rPr>
              <w:t xml:space="preserve">381</w:t>
            </w:r>
          </w:p>
        </w:tc>
        <w:tc>
          <w:tcPr>
            <w:tcW w:type="dxa" w:w="5200"/>
          </w:tcPr>
          <w:p>
            <w:r>
              <w:rPr>
                <w:b w:val="false"/>
                <w:bCs w:val="false"/>
                <w:color w:val="000000"/>
                <w:sz w:val="20"/>
                <w:szCs w:val="20"/>
              </w:rPr>
              <w:t xml:space="preserve">Registro y cambio de herramientas (sistema scene-based)</w:t>
            </w:r>
          </w:p>
        </w:tc>
      </w:tr>
      <w:tr>
        <w:tc>
          <w:tcPr>
            <w:tcW w:type="dxa" w:w="2600"/>
          </w:tcPr>
          <w:p>
            <w:r>
              <w:rPr>
                <w:b w:val="false"/>
                <w:bCs w:val="false"/>
                <w:color w:val="000000"/>
                <w:sz w:val="20"/>
                <w:szCs w:val="20"/>
              </w:rPr>
              <w:t xml:space="preserve">PerformanceManager</w:t>
            </w:r>
          </w:p>
        </w:tc>
        <w:tc>
          <w:tcPr>
            <w:tcW w:type="dxa" w:w="1200"/>
          </w:tcPr>
          <w:p>
            <w:r>
              <w:rPr>
                <w:b w:val="false"/>
                <w:bCs w:val="false"/>
                <w:color w:val="000000"/>
                <w:sz w:val="20"/>
                <w:szCs w:val="20"/>
              </w:rPr>
              <w:t xml:space="preserve">453</w:t>
            </w:r>
          </w:p>
        </w:tc>
        <w:tc>
          <w:tcPr>
            <w:tcW w:type="dxa" w:w="5200"/>
          </w:tcPr>
          <w:p>
            <w:r>
              <w:rPr>
                <w:b w:val="false"/>
                <w:bCs w:val="false"/>
                <w:color w:val="000000"/>
                <w:sz w:val="20"/>
                <w:szCs w:val="20"/>
              </w:rPr>
              <w:t xml:space="preserve">Detección DeviceClass, escalado dinámico, overlay FPS</w:t>
            </w:r>
          </w:p>
        </w:tc>
      </w:tr>
      <w:tr>
        <w:tc>
          <w:tcPr>
            <w:tcW w:type="dxa" w:w="2600"/>
          </w:tcPr>
          <w:p>
            <w:r>
              <w:rPr>
                <w:b w:val="false"/>
                <w:bCs w:val="false"/>
                <w:color w:val="000000"/>
                <w:sz w:val="20"/>
                <w:szCs w:val="20"/>
              </w:rPr>
              <w:t xml:space="preserve">ThemeManager</w:t>
            </w:r>
          </w:p>
        </w:tc>
        <w:tc>
          <w:tcPr>
            <w:tcW w:type="dxa" w:w="1200"/>
          </w:tcPr>
          <w:p>
            <w:r>
              <w:rPr>
                <w:b w:val="false"/>
                <w:bCs w:val="false"/>
                <w:color w:val="000000"/>
                <w:sz w:val="20"/>
                <w:szCs w:val="20"/>
              </w:rPr>
              <w:t xml:space="preserve">38</w:t>
            </w:r>
          </w:p>
        </w:tc>
        <w:tc>
          <w:tcPr>
            <w:tcW w:type="dxa" w:w="5200"/>
          </w:tcPr>
          <w:p>
            <w:r>
              <w:rPr>
                <w:b w:val="false"/>
                <w:bCs w:val="false"/>
                <w:color w:val="000000"/>
                <w:sz w:val="20"/>
                <w:szCs w:val="20"/>
              </w:rPr>
              <w:t xml:space="preserve">Toggle dark/light</w:t>
            </w:r>
          </w:p>
        </w:tc>
      </w:tr>
      <w:tr>
        <w:tc>
          <w:tcPr>
            <w:tcW w:type="dxa" w:w="2600"/>
          </w:tcPr>
          <w:p>
            <w:r>
              <w:rPr>
                <w:b w:val="false"/>
                <w:bCs w:val="false"/>
                <w:color w:val="000000"/>
                <w:sz w:val="20"/>
                <w:szCs w:val="20"/>
              </w:rPr>
              <w:t xml:space="preserve">ImportExportManager</w:t>
            </w:r>
          </w:p>
        </w:tc>
        <w:tc>
          <w:tcPr>
            <w:tcW w:type="dxa" w:w="1200"/>
          </w:tcPr>
          <w:p>
            <w:r>
              <w:rPr>
                <w:b w:val="false"/>
                <w:bCs w:val="false"/>
                <w:color w:val="000000"/>
                <w:sz w:val="20"/>
                <w:szCs w:val="20"/>
              </w:rPr>
              <w:t xml:space="preserve">672</w:t>
            </w:r>
          </w:p>
        </w:tc>
        <w:tc>
          <w:tcPr>
            <w:tcW w:type="dxa" w:w="5200"/>
          </w:tcPr>
          <w:p>
            <w:r>
              <w:rPr>
                <w:b w:val="false"/>
                <w:bCs w:val="false"/>
                <w:color w:val="000000"/>
                <w:sz w:val="20"/>
                <w:szCs w:val="20"/>
              </w:rPr>
              <w:t xml:space="preserve">Export/import de formatos de archivo</w:t>
            </w:r>
          </w:p>
        </w:tc>
      </w:tr>
      <w:tr>
        <w:tc>
          <w:tcPr>
            <w:tcW w:type="dxa" w:w="2600"/>
          </w:tcPr>
          <w:p>
            <w:r>
              <w:rPr>
                <w:b w:val="false"/>
                <w:bCs w:val="false"/>
                <w:color w:val="000000"/>
                <w:sz w:val="20"/>
                <w:szCs w:val="20"/>
              </w:rPr>
              <w:t xml:space="preserve">ExportCache</w:t>
            </w:r>
          </w:p>
        </w:tc>
        <w:tc>
          <w:tcPr>
            <w:tcW w:type="dxa" w:w="1200"/>
          </w:tcPr>
          <w:p>
            <w:r>
              <w:rPr>
                <w:b w:val="false"/>
                <w:bCs w:val="false"/>
                <w:color w:val="000000"/>
                <w:sz w:val="20"/>
                <w:szCs w:val="20"/>
              </w:rPr>
              <w:t xml:space="preserve">182</w:t>
            </w:r>
          </w:p>
        </w:tc>
        <w:tc>
          <w:tcPr>
            <w:tcW w:type="dxa" w:w="5200"/>
          </w:tcPr>
          <w:p>
            <w:r>
              <w:rPr>
                <w:b w:val="false"/>
                <w:bCs w:val="false"/>
                <w:color w:val="000000"/>
                <w:sz w:val="20"/>
                <w:szCs w:val="20"/>
              </w:rPr>
              <w:t xml:space="preserve">Cache LRU (max 20, TTL 300s) con hash MD5</w:t>
            </w:r>
          </w:p>
        </w:tc>
      </w:tr>
      <w:tr>
        <w:tc>
          <w:tcPr>
            <w:tcW w:type="dxa" w:w="2600"/>
          </w:tcPr>
          <w:p>
            <w:r>
              <w:rPr>
                <w:b w:val="false"/>
                <w:bCs w:val="false"/>
                <w:color w:val="000000"/>
                <w:sz w:val="20"/>
                <w:szCs w:val="20"/>
              </w:rPr>
              <w:t xml:space="preserve">SmartCursor</w:t>
            </w:r>
          </w:p>
        </w:tc>
        <w:tc>
          <w:tcPr>
            <w:tcW w:type="dxa" w:w="1200"/>
          </w:tcPr>
          <w:p>
            <w:r>
              <w:rPr>
                <w:b w:val="false"/>
                <w:bCs w:val="false"/>
                <w:color w:val="000000"/>
                <w:sz w:val="20"/>
                <w:szCs w:val="20"/>
              </w:rPr>
              <w:t xml:space="preserve">349</w:t>
            </w:r>
          </w:p>
        </w:tc>
        <w:tc>
          <w:tcPr>
            <w:tcW w:type="dxa" w:w="5200"/>
          </w:tcPr>
          <w:p>
            <w:r>
              <w:rPr>
                <w:b w:val="false"/>
                <w:bCs w:val="false"/>
                <w:color w:val="000000"/>
                <w:sz w:val="20"/>
                <w:szCs w:val="20"/>
              </w:rPr>
              <w:t xml:space="preserve">Cursor contextual: 9 estados, 5 formas</w:t>
            </w:r>
          </w:p>
        </w:tc>
      </w:tr>
      <w:tr>
        <w:tc>
          <w:tcPr>
            <w:tcW w:type="dxa" w:w="2600"/>
          </w:tcPr>
          <w:p>
            <w:r>
              <w:rPr>
                <w:b w:val="false"/>
                <w:bCs w:val="false"/>
                <w:color w:val="000000"/>
                <w:sz w:val="20"/>
                <w:szCs w:val="20"/>
              </w:rPr>
              <w:t xml:space="preserve">ObjectPool</w:t>
            </w:r>
          </w:p>
        </w:tc>
        <w:tc>
          <w:tcPr>
            <w:tcW w:type="dxa" w:w="1200"/>
          </w:tcPr>
          <w:p>
            <w:r>
              <w:rPr>
                <w:b w:val="false"/>
                <w:bCs w:val="false"/>
                <w:color w:val="000000"/>
                <w:sz w:val="20"/>
                <w:szCs w:val="20"/>
              </w:rPr>
              <w:t xml:space="preserve">214</w:t>
            </w:r>
          </w:p>
        </w:tc>
        <w:tc>
          <w:tcPr>
            <w:tcW w:type="dxa" w:w="5200"/>
          </w:tcPr>
          <w:p>
            <w:r>
              <w:rPr>
                <w:b w:val="false"/>
                <w:bCs w:val="false"/>
                <w:color w:val="000000"/>
                <w:sz w:val="20"/>
                <w:szCs w:val="20"/>
              </w:rPr>
              <w:t xml:space="preserve">Pooling de BoundingBox (20–100)</w:t>
            </w:r>
          </w:p>
        </w:tc>
      </w:tr>
      <w:tr>
        <w:tc>
          <w:tcPr>
            <w:tcW w:type="dxa" w:w="2600"/>
          </w:tcPr>
          <w:p>
            <w:r>
              <w:rPr>
                <w:b w:val="false"/>
                <w:bCs w:val="false"/>
                <w:color w:val="000000"/>
                <w:sz w:val="20"/>
                <w:szCs w:val="20"/>
              </w:rPr>
              <w:t xml:space="preserve">MCPRuntime</w:t>
            </w:r>
          </w:p>
        </w:tc>
        <w:tc>
          <w:tcPr>
            <w:tcW w:type="dxa" w:w="1200"/>
          </w:tcPr>
          <w:p>
            <w:r>
              <w:rPr>
                <w:b w:val="false"/>
                <w:bCs w:val="false"/>
                <w:color w:val="000000"/>
                <w:sz w:val="20"/>
                <w:szCs w:val="20"/>
              </w:rPr>
              <w:t xml:space="preserve">—</w:t>
            </w:r>
          </w:p>
        </w:tc>
        <w:tc>
          <w:tcPr>
            <w:tcW w:type="dxa" w:w="5200"/>
          </w:tcPr>
          <w:p>
            <w:r>
              <w:rPr>
                <w:b w:val="false"/>
                <w:bCs w:val="false"/>
                <w:color w:val="000000"/>
                <w:sz w:val="20"/>
                <w:szCs w:val="20"/>
              </w:rPr>
              <w:t xml:space="preserve">Bridge runtime para godot-mcp</w:t>
            </w:r>
          </w:p>
        </w:tc>
      </w:tr>
    </w:tbl>
    <w:p>
      <w:pPr>
        <w:spacing w:after="160"/>
      </w:pPr>
      <w:r>
        <w:t xml:space="preserve"/>
      </w:r>
    </w:p>
    <w:p>
      <w:pPr>
        <w:pBdr>
          <w:left w:val="single" w:color="B33A3A" w:sz="16" w:space="8"/>
        </w:pBdr>
        <w:shd w:fill="FDEEEE" w:val="clear"/>
        <w:spacing w:after="160"/>
        <w:ind w:left="120"/>
      </w:pPr>
      <w:r>
        <w:rPr>
          <w:b/>
          <w:bCs/>
          <w:color w:val="B33A3A"/>
        </w:rPr>
        <w:t xml:space="preserve">Confirmado en código: </w:t>
      </w:r>
      <w:r>
        <w:t xml:space="preserve">SmartCursor referencia a ToolManager en _on_tool_changed y _restore_state. El orden de carga en project.godot es correcto hoy, pero si alguien lo reordena, la referencia falla en silencio al no estar ToolManager listo durante el _ready() de SmartCursor.</w:t>
      </w:r>
    </w:p>
    <w:p>
      <w:pPr>
        <w:pStyle w:val="Heading2"/>
        <w:spacing w:after="120" w:before="240"/>
      </w:pPr>
      <w:r>
        <w:t xml:space="preserve">2.2 Modelo de datos</w:t>
      </w:r>
    </w:p>
    <w:p>
      <w:pPr>
        <w:spacing w:after="160"/>
      </w:pPr>
      <w:r>
        <w:t xml:space="preserve">DataRepository mantiene dos capas paralelas: clases internas (ProjectData, ArtboardData, LayerData, ShapeData, SessionData) para el runtime, y clases Resource (VectopenProject, VectopenArtboard, VectopenLayer, VectopenShape) para serialización en .vectres. DataResourceManager.gd actúa de puente entre ambas.</w:t>
      </w:r>
    </w:p>
    <w:p>
      <w:pPr>
        <w:pStyle w:val="ListParagraph"/>
        <w:numPr>
          <w:ilvl w:val="0"/>
          <w:numId w:val="2"/>
        </w:numPr>
        <w:spacing w:after="80"/>
      </w:pPr>
      <w:r>
        <w:t xml:space="preserve">Formatos de archivo: .vectopen (JSON), .vectres (Resource binario), auto-save en user://backups/, recovery en user://recovery/last_session.json.</w:t>
      </w:r>
    </w:p>
    <w:p>
      <w:pPr>
        <w:pStyle w:val="ListParagraph"/>
        <w:numPr>
          <w:ilvl w:val="0"/>
          <w:numId w:val="2"/>
        </w:numPr>
        <w:spacing w:after="80"/>
      </w:pPr>
      <w:r>
        <w:t xml:space="preserve">Undo/Redo: pila de hasta 100 acciones, cada una como pares de Callable (do/undo).</w:t>
      </w:r>
    </w:p>
    <w:p>
      <w:pPr>
        <w:pBdr>
          <w:left w:val="single" w:color="B33A3A" w:sz="16" w:space="8"/>
        </w:pBdr>
        <w:shd w:fill="FDEEEE" w:val="clear"/>
        <w:spacing w:after="160"/>
        <w:ind w:left="120"/>
      </w:pPr>
      <w:r>
        <w:rPr>
          <w:b/>
          <w:bCs/>
          <w:color w:val="B33A3A"/>
        </w:rPr>
        <w:t xml:space="preserve">Confirmado en código: </w:t>
      </w:r>
      <w:r>
        <w:t xml:space="preserve">Los arrays de Callable en el undo/redo pueden quedar con referencias inválidas si el objeto asociado se libera antes de deshacer la acción. Existe un chequeo is_valid(), pero el fallo es silencioso — no hay log ni señal de error.</w:t>
      </w:r>
    </w:p>
    <w:p>
      <w:pPr>
        <w:pStyle w:val="Heading2"/>
        <w:spacing w:after="120" w:before="240"/>
      </w:pPr>
      <w:r>
        <w:t xml:space="preserve">2.3 Sistema de herramientas: dos arquitecturas paralelas</w:t>
      </w:r>
    </w:p>
    <w:p>
      <w:pPr>
        <w:spacing w:after="160"/>
      </w:pPr>
      <w:r>
        <w:t xml:space="preserve">Es la inconsistencia estructural más relevante del código actual, y no aparecía documentada en la v2: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shd w:fill="1F3864" w:val="clear"/>
          </w:tcPr>
          <w:p>
            <w:r>
              <w:rPr>
                <w:b/>
                <w:bCs/>
                <w:color w:val="FFFFFF"/>
                <w:sz w:val="20"/>
                <w:szCs w:val="20"/>
              </w:rPr>
              <w:t xml:space="preserve"/>
            </w:r>
          </w:p>
        </w:tc>
        <w:tc>
          <w:tcPr>
            <w:tcW w:type="dxa" w:w="3500"/>
            <w:shd w:fill="1F3864" w:val="clear"/>
          </w:tcPr>
          <w:p>
            <w:r>
              <w:rPr>
                <w:b/>
                <w:bCs/>
                <w:color w:val="FFFFFF"/>
                <w:sz w:val="20"/>
                <w:szCs w:val="20"/>
              </w:rPr>
              <w:t xml:space="preserve">Sistema A — Scene-based</w:t>
            </w:r>
          </w:p>
        </w:tc>
        <w:tc>
          <w:tcPr>
            <w:tcW w:type="dxa" w:w="3500"/>
            <w:shd w:fill="1F3864" w:val="clear"/>
          </w:tcPr>
          <w:p>
            <w:r>
              <w:rPr>
                <w:b/>
                <w:bCs/>
                <w:color w:val="FFFFFF"/>
                <w:sz w:val="20"/>
                <w:szCs w:val="20"/>
              </w:rPr>
              <w:t xml:space="preserve">Sistema B — Direct script</w:t>
            </w:r>
          </w:p>
        </w:tc>
      </w:tr>
      <w:tr>
        <w:tc>
          <w:tcPr>
            <w:tcW w:type="dxa" w:w="2000"/>
          </w:tcPr>
          <w:p>
            <w:r>
              <w:rPr>
                <w:b w:val="false"/>
                <w:bCs w:val="false"/>
                <w:color w:val="000000"/>
                <w:sz w:val="20"/>
                <w:szCs w:val="20"/>
              </w:rPr>
              <w:t xml:space="preserve">Gestor</w:t>
            </w:r>
          </w:p>
        </w:tc>
        <w:tc>
          <w:tcPr>
            <w:tcW w:type="dxa" w:w="3500"/>
          </w:tcPr>
          <w:p>
            <w:r>
              <w:rPr>
                <w:b w:val="false"/>
                <w:bCs w:val="false"/>
                <w:color w:val="000000"/>
                <w:sz w:val="20"/>
                <w:szCs w:val="20"/>
              </w:rPr>
              <w:t xml:space="preserve">ToolManager (autoload)</w:t>
            </w:r>
          </w:p>
        </w:tc>
        <w:tc>
          <w:tcPr>
            <w:tcW w:type="dxa" w:w="3500"/>
          </w:tcPr>
          <w:p>
            <w:r>
              <w:rPr>
                <w:b w:val="false"/>
                <w:bCs w:val="false"/>
                <w:color w:val="000000"/>
                <w:sz w:val="20"/>
                <w:szCs w:val="20"/>
              </w:rPr>
              <w:t xml:space="preserve">CanvasEditor (canvas.gd)</w:t>
            </w:r>
          </w:p>
        </w:tc>
      </w:tr>
      <w:tr>
        <w:tc>
          <w:tcPr>
            <w:tcW w:type="dxa" w:w="2000"/>
          </w:tcPr>
          <w:p>
            <w:r>
              <w:rPr>
                <w:b w:val="false"/>
                <w:bCs w:val="false"/>
                <w:color w:val="000000"/>
                <w:sz w:val="20"/>
                <w:szCs w:val="20"/>
              </w:rPr>
              <w:t xml:space="preserve">Registro</w:t>
            </w:r>
          </w:p>
        </w:tc>
        <w:tc>
          <w:tcPr>
            <w:tcW w:type="dxa" w:w="3500"/>
          </w:tcPr>
          <w:p>
            <w:r>
              <w:rPr>
                <w:b w:val="false"/>
                <w:bCs w:val="false"/>
                <w:color w:val="000000"/>
                <w:sz w:val="20"/>
                <w:szCs w:val="20"/>
              </w:rPr>
              <w:t xml:space="preserve">res://tools/*/*.tscn → ToolWrapper</w:t>
            </w:r>
          </w:p>
        </w:tc>
        <w:tc>
          <w:tcPr>
            <w:tcW w:type="dxa" w:w="3500"/>
          </w:tcPr>
          <w:p>
            <w:r>
              <w:rPr>
                <w:b w:val="false"/>
                <w:bCs w:val="false"/>
                <w:color w:val="000000"/>
                <w:sz w:val="20"/>
                <w:szCs w:val="20"/>
              </w:rPr>
              <w:t xml:space="preserve">registrar_herramienta(tecla, script)</w:t>
            </w:r>
          </w:p>
        </w:tc>
      </w:tr>
      <w:tr>
        <w:tc>
          <w:tcPr>
            <w:tcW w:type="dxa" w:w="2000"/>
          </w:tcPr>
          <w:p>
            <w:r>
              <w:rPr>
                <w:b w:val="false"/>
                <w:bCs w:val="false"/>
                <w:color w:val="000000"/>
                <w:sz w:val="20"/>
                <w:szCs w:val="20"/>
              </w:rPr>
              <w:t xml:space="preserve">Instanciación</w:t>
            </w:r>
          </w:p>
        </w:tc>
        <w:tc>
          <w:tcPr>
            <w:tcW w:type="dxa" w:w="3500"/>
          </w:tcPr>
          <w:p>
            <w:r>
              <w:rPr>
                <w:b w:val="false"/>
                <w:bCs w:val="false"/>
                <w:color w:val="000000"/>
                <w:sz w:val="20"/>
                <w:szCs w:val="20"/>
              </w:rPr>
              <w:t xml:space="preserve">ToolWrapper detecta el tipo base y hace .new(canvas) o add_child()</w:t>
            </w:r>
          </w:p>
        </w:tc>
        <w:tc>
          <w:tcPr>
            <w:tcW w:type="dxa" w:w="3500"/>
          </w:tcPr>
          <w:p>
            <w:r>
              <w:rPr>
                <w:b w:val="false"/>
                <w:bCs w:val="false"/>
                <w:color w:val="000000"/>
                <w:sz w:val="20"/>
                <w:szCs w:val="20"/>
              </w:rPr>
              <w:t xml:space="preserve">script.new(canvas) o Node.new() directo</w:t>
            </w:r>
          </w:p>
        </w:tc>
      </w:tr>
      <w:tr>
        <w:tc>
          <w:tcPr>
            <w:tcW w:type="dxa" w:w="2000"/>
          </w:tcPr>
          <w:p>
            <w:r>
              <w:rPr>
                <w:b w:val="false"/>
                <w:bCs w:val="false"/>
                <w:color w:val="000000"/>
                <w:sz w:val="20"/>
                <w:szCs w:val="20"/>
              </w:rPr>
              <w:t xml:space="preserve">Activación</w:t>
            </w:r>
          </w:p>
        </w:tc>
        <w:tc>
          <w:tcPr>
            <w:tcW w:type="dxa" w:w="3500"/>
          </w:tcPr>
          <w:p>
            <w:r>
              <w:rPr>
                <w:b w:val="false"/>
                <w:bCs w:val="false"/>
                <w:color w:val="000000"/>
                <w:sz w:val="20"/>
                <w:szCs w:val="20"/>
              </w:rPr>
              <w:t xml:space="preserve">ToolManager.switch_tool(nombre)</w:t>
            </w:r>
          </w:p>
        </w:tc>
        <w:tc>
          <w:tcPr>
            <w:tcW w:type="dxa" w:w="3500"/>
          </w:tcPr>
          <w:p>
            <w:r>
              <w:rPr>
                <w:b w:val="false"/>
                <w:bCs w:val="false"/>
                <w:color w:val="000000"/>
                <w:sz w:val="20"/>
                <w:szCs w:val="20"/>
              </w:rPr>
              <w:t xml:space="preserve">CanvasEditor.change_tool(instancia)</w:t>
            </w:r>
          </w:p>
        </w:tc>
      </w:tr>
      <w:tr>
        <w:tc>
          <w:tcPr>
            <w:tcW w:type="dxa" w:w="2000"/>
          </w:tcPr>
          <w:p>
            <w:r>
              <w:rPr>
                <w:b w:val="false"/>
                <w:bCs w:val="false"/>
                <w:color w:val="000000"/>
                <w:sz w:val="20"/>
                <w:szCs w:val="20"/>
              </w:rPr>
              <w:t xml:space="preserve">handle_input()</w:t>
            </w:r>
          </w:p>
        </w:tc>
        <w:tc>
          <w:tcPr>
            <w:tcW w:type="dxa" w:w="3500"/>
          </w:tcPr>
          <w:p>
            <w:r>
              <w:rPr>
                <w:b w:val="false"/>
                <w:bCs w:val="false"/>
                <w:color w:val="000000"/>
                <w:sz w:val="20"/>
                <w:szCs w:val="20"/>
              </w:rPr>
              <w:t xml:space="preserve">handle_input(event, canvas_position)</w:t>
            </w:r>
          </w:p>
        </w:tc>
        <w:tc>
          <w:tcPr>
            <w:tcW w:type="dxa" w:w="3500"/>
          </w:tcPr>
          <w:p>
            <w:r>
              <w:rPr>
                <w:b w:val="false"/>
                <w:bCs w:val="false"/>
                <w:color w:val="000000"/>
                <w:sz w:val="20"/>
                <w:szCs w:val="20"/>
              </w:rPr>
              <w:t xml:space="preserve">handle_input(event)</w:t>
            </w:r>
          </w:p>
        </w:tc>
      </w:tr>
    </w:tbl>
    <w:p>
      <w:pPr>
        <w:spacing w:after="160"/>
      </w:pPr>
      <w:r>
        <w:t xml:space="preserve"/>
      </w:r>
    </w:p>
    <w:p>
      <w:pPr>
        <w:spacing w:after="160"/>
      </w:pPr>
      <w:r>
        <w:t xml:space="preserve">Herramientas registradas: 21 en total, repartidas en tres clases base (Tool extends RefCounted, ToolNode extends Node, ToolWrapper como puente). Las de mayor tamaño son MoveTool (1125L, selección/drag/resize/rotate/marquee/axis-lock) y PenTool (~800L).</w:t>
      </w:r>
    </w:p>
    <w:p>
      <w:pPr>
        <w:pBdr>
          <w:left w:val="single" w:color="B33A3A" w:sz="16" w:space="8"/>
        </w:pBdr>
        <w:shd w:fill="FDEEEE" w:val="clear"/>
        <w:spacing w:after="160"/>
        <w:ind w:left="120"/>
      </w:pPr>
      <w:r>
        <w:rPr>
          <w:b/>
          <w:bCs/>
          <w:color w:val="B33A3A"/>
        </w:rPr>
        <w:t xml:space="preserve">Confirmado en código: </w:t>
      </w:r>
      <w:r>
        <w:t xml:space="preserve">La convivencia de ambos sistemas obliga a preguntar, para cada herramienta nueva, "¿dónde la registro?" y a manejar dos firmas distintas de handle_input(). No es solo deuda técnica cosmética: RectangleTool y Ellipse viven en el sistema scene-based, mientras que CircleTool y TriangleTool viven en el direct-script — la elección entre uno y otro no sigue un criterio documentado en el propio código.</w:t>
      </w:r>
    </w:p>
    <w:p>
      <w:pPr>
        <w:pStyle w:val="Heading2"/>
        <w:spacing w:after="120" w:before="240"/>
      </w:pPr>
      <w:r>
        <w:t xml:space="preserve">2.4 Pipeline de renderizado — estado real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w:tc>
          <w:tcPr>
            <w:tcW w:type="dxa" w:w="2600"/>
            <w:shd w:fill="1F3864" w:val="clear"/>
          </w:tcPr>
          <w:p>
            <w:r>
              <w:rPr>
                <w:b/>
                <w:bCs/>
                <w:color w:val="FFFFFF"/>
                <w:sz w:val="20"/>
                <w:szCs w:val="20"/>
              </w:rPr>
              <w:t xml:space="preserve">Tipo de forma</w:t>
            </w:r>
          </w:p>
        </w:tc>
        <w:tc>
          <w:tcPr>
            <w:tcW w:type="dxa" w:w="3800"/>
            <w:shd w:fill="1F3864" w:val="clear"/>
          </w:tcPr>
          <w:p>
            <w:r>
              <w:rPr>
                <w:b/>
                <w:bCs/>
                <w:color w:val="FFFFFF"/>
                <w:sz w:val="20"/>
                <w:szCs w:val="20"/>
              </w:rPr>
              <w:t xml:space="preserve">Cómo se renderiza hoy</w:t>
            </w:r>
          </w:p>
        </w:tc>
        <w:tc>
          <w:tcPr>
            <w:tcW w:type="dxa" w:w="2600"/>
            <w:shd w:fill="1F3864" w:val="clear"/>
          </w:tcPr>
          <w:p>
            <w:r>
              <w:rPr>
                <w:b/>
                <w:bCs/>
                <w:color w:val="FFFFFF"/>
                <w:sz w:val="20"/>
                <w:szCs w:val="20"/>
              </w:rPr>
              <w:t xml:space="preserve">Antialiasing</w:t>
            </w:r>
          </w:p>
        </w:tc>
      </w:tr>
      <w:tr>
        <w:tc>
          <w:tcPr>
            <w:tcW w:type="dxa" w:w="2600"/>
          </w:tcPr>
          <w:p>
            <w:r>
              <w:rPr>
                <w:b w:val="false"/>
                <w:bCs w:val="false"/>
                <w:color w:val="000000"/>
                <w:sz w:val="20"/>
                <w:szCs w:val="20"/>
              </w:rPr>
              <w:t xml:space="preserve">Círculo / elipse</w:t>
            </w:r>
          </w:p>
        </w:tc>
        <w:tc>
          <w:tcPr>
            <w:tcW w:type="dxa" w:w="3800"/>
          </w:tcPr>
          <w:p>
            <w:r>
              <w:rPr>
                <w:b w:val="false"/>
                <w:bCs w:val="false"/>
                <w:color w:val="000000"/>
                <w:sz w:val="20"/>
                <w:szCs w:val="20"/>
              </w:rPr>
              <w:t xml:space="preserve">Polygon2D (128 lados) + Line2D</w:t>
            </w:r>
          </w:p>
        </w:tc>
        <w:tc>
          <w:tcPr>
            <w:tcW w:type="dxa" w:w="2600"/>
          </w:tcPr>
          <w:p>
            <w:r>
              <w:rPr>
                <w:b w:val="false"/>
                <w:bCs w:val="false"/>
                <w:color w:val="000000"/>
                <w:sz w:val="20"/>
                <w:szCs w:val="20"/>
              </w:rPr>
              <w:t xml:space="preserve">No — Polygon2D no expone antialiased</w:t>
            </w:r>
          </w:p>
        </w:tc>
      </w:tr>
      <w:tr>
        <w:tc>
          <w:tcPr>
            <w:tcW w:type="dxa" w:w="2600"/>
          </w:tcPr>
          <w:p>
            <w:r>
              <w:rPr>
                <w:b w:val="false"/>
                <w:bCs w:val="false"/>
                <w:color w:val="000000"/>
                <w:sz w:val="20"/>
                <w:szCs w:val="20"/>
              </w:rPr>
              <w:t xml:space="preserve">Rectángulo</w:t>
            </w:r>
          </w:p>
        </w:tc>
        <w:tc>
          <w:tcPr>
            <w:tcW w:type="dxa" w:w="3800"/>
          </w:tcPr>
          <w:p>
            <w:r>
              <w:rPr>
                <w:b w:val="false"/>
                <w:bCs w:val="false"/>
                <w:color w:val="000000"/>
                <w:sz w:val="20"/>
                <w:szCs w:val="20"/>
              </w:rPr>
              <w:t xml:space="preserve">ShapeManager → Polygon2D</w:t>
            </w:r>
          </w:p>
        </w:tc>
        <w:tc>
          <w:tcPr>
            <w:tcW w:type="dxa" w:w="2600"/>
          </w:tcPr>
          <w:p>
            <w:r>
              <w:rPr>
                <w:b w:val="false"/>
                <w:bCs w:val="false"/>
                <w:color w:val="000000"/>
                <w:sz w:val="20"/>
                <w:szCs w:val="20"/>
              </w:rPr>
              <w:t xml:space="preserve">No</w:t>
            </w:r>
          </w:p>
        </w:tc>
      </w:tr>
      <w:tr>
        <w:tc>
          <w:tcPr>
            <w:tcW w:type="dxa" w:w="2600"/>
          </w:tcPr>
          <w:p>
            <w:r>
              <w:rPr>
                <w:b w:val="false"/>
                <w:bCs w:val="false"/>
                <w:color w:val="000000"/>
                <w:sz w:val="20"/>
                <w:szCs w:val="20"/>
              </w:rPr>
              <w:t xml:space="preserve">Path libre (PenTool, BrushTool)</w:t>
            </w:r>
          </w:p>
        </w:tc>
        <w:tc>
          <w:tcPr>
            <w:tcW w:type="dxa" w:w="3800"/>
          </w:tcPr>
          <w:p>
            <w:r>
              <w:rPr>
                <w:b w:val="false"/>
                <w:bCs w:val="false"/>
                <w:color w:val="000000"/>
                <w:sz w:val="20"/>
                <w:szCs w:val="20"/>
              </w:rPr>
              <w:t xml:space="preserve">Line2D</w:t>
            </w:r>
          </w:p>
        </w:tc>
        <w:tc>
          <w:tcPr>
            <w:tcW w:type="dxa" w:w="2600"/>
          </w:tcPr>
          <w:p>
            <w:r>
              <w:rPr>
                <w:b w:val="false"/>
                <w:bCs w:val="false"/>
                <w:color w:val="000000"/>
                <w:sz w:val="20"/>
                <w:szCs w:val="20"/>
              </w:rPr>
              <w:t xml:space="preserve">Sí — antialiased=true</w:t>
            </w:r>
          </w:p>
        </w:tc>
      </w:tr>
      <w:tr>
        <w:tc>
          <w:tcPr>
            <w:tcW w:type="dxa" w:w="2600"/>
          </w:tcPr>
          <w:p>
            <w:r>
              <w:rPr>
                <w:b w:val="false"/>
                <w:bCs w:val="false"/>
                <w:color w:val="000000"/>
                <w:sz w:val="20"/>
                <w:szCs w:val="20"/>
              </w:rPr>
              <w:t xml:space="preserve">Curva Bézier (BezierTool)</w:t>
            </w:r>
          </w:p>
        </w:tc>
        <w:tc>
          <w:tcPr>
            <w:tcW w:type="dxa" w:w="3800"/>
          </w:tcPr>
          <w:p>
            <w:r>
              <w:rPr>
                <w:b w:val="false"/>
                <w:bCs w:val="false"/>
                <w:color w:val="000000"/>
                <w:sz w:val="20"/>
                <w:szCs w:val="20"/>
              </w:rPr>
              <w:t xml:space="preserve">Path2D (Curve2D)</w:t>
            </w:r>
          </w:p>
        </w:tc>
        <w:tc>
          <w:tcPr>
            <w:tcW w:type="dxa" w:w="2600"/>
          </w:tcPr>
          <w:p>
            <w:r>
              <w:rPr>
                <w:b w:val="false"/>
                <w:bCs w:val="false"/>
                <w:color w:val="000000"/>
                <w:sz w:val="20"/>
                <w:szCs w:val="20"/>
              </w:rPr>
              <w:t xml:space="preserve">Sí — nativo de Path2D</w:t>
            </w:r>
          </w:p>
        </w:tc>
      </w:tr>
      <w:tr>
        <w:tc>
          <w:tcPr>
            <w:tcW w:type="dxa" w:w="2600"/>
          </w:tcPr>
          <w:p>
            <w:r>
              <w:rPr>
                <w:b w:val="false"/>
                <w:bCs w:val="false"/>
                <w:color w:val="000000"/>
                <w:sz w:val="20"/>
                <w:szCs w:val="20"/>
              </w:rPr>
              <w:t xml:space="preserve">Formas SDF (SDFShape2D)</w:t>
            </w:r>
          </w:p>
        </w:tc>
        <w:tc>
          <w:tcPr>
            <w:tcW w:type="dxa" w:w="3800"/>
          </w:tcPr>
          <w:p>
            <w:r>
              <w:rPr>
                <w:b w:val="false"/>
                <w:bCs w:val="false"/>
                <w:color w:val="000000"/>
                <w:sz w:val="20"/>
                <w:szCs w:val="20"/>
              </w:rPr>
              <w:t xml:space="preserve">No existe en el código</w:t>
            </w:r>
          </w:p>
        </w:tc>
        <w:tc>
          <w:tcPr>
            <w:tcW w:type="dxa" w:w="2600"/>
          </w:tcPr>
          <w:p>
            <w:r>
              <w:rPr>
                <w:b w:val="false"/>
                <w:bCs w:val="false"/>
                <w:color w:val="000000"/>
                <w:sz w:val="20"/>
                <w:szCs w:val="20"/>
              </w:rPr>
              <w:t xml:space="preserve">N/A — ver sección 4</w:t>
            </w:r>
          </w:p>
        </w:tc>
      </w:tr>
    </w:tbl>
    <w:p>
      <w:pPr>
        <w:spacing w:after="160"/>
      </w:pPr>
      <w:r>
        <w:t xml:space="preserve"/>
      </w:r>
    </w:p>
    <w:p>
      <w:pPr>
        <w:pBdr>
          <w:left w:val="single" w:color="B33A3A" w:sz="16" w:space="8"/>
        </w:pBdr>
        <w:shd w:fill="FDEEEE" w:val="clear"/>
        <w:spacing w:after="160"/>
        <w:ind w:left="120"/>
      </w:pPr>
      <w:r>
        <w:rPr>
          <w:b/>
          <w:bCs/>
          <w:color w:val="B33A3A"/>
        </w:rPr>
        <w:t xml:space="preserve">Confirmado en código: </w:t>
      </w:r>
      <w:r>
        <w:t xml:space="preserve">project.godot fija anti_aliasing/quality/msaa_2d=3 (x4), pero el renderer activo es gl_compatibility, que no soporta MSAA 2D. Esto no es un riesgo teórico: produce un error real del motor al iniciar (render_target_set_msaa), confirmado en la configuración del proyecto. Es la causa raíz por la que el equipo evitó depender de MSAA y exploró SDF, pero el error de arranque en sí sigue sin corregirse — la solución inmediata es poner msaa_2d=0 en project.godot, independientemente de qué se decida sobre VectoSDF.</w:t>
      </w:r>
    </w:p>
    <w:p>
      <w:pPr>
        <w:pBdr>
          <w:left w:val="single" w:color="B33A3A" w:sz="16" w:space="8"/>
        </w:pBdr>
        <w:shd w:fill="FDEEEE" w:val="clear"/>
        <w:spacing w:after="160"/>
        <w:ind w:left="120"/>
      </w:pPr>
      <w:r>
        <w:rPr>
          <w:b/>
          <w:bCs/>
          <w:color w:val="B33A3A"/>
        </w:rPr>
        <w:t xml:space="preserve">Confirmado en código: </w:t>
      </w:r>
      <w:r>
        <w:t xml:space="preserve">CircleTool, TriangleTool y RectangleTool no contienen la cadena antialiased en ningún punto de su script: no es que "falte activarlo en el preview" como decía la v2 — el pipeline completo de esas tres herramientas (confirmado, no solo el preview) carece de antialiasing, porque renderizan sobre Polygon2D, que no expone esa propiedad.</w:t>
      </w:r>
    </w:p>
    <w:p>
      <w:pPr>
        <w:spacing w:after="160"/>
      </w:pPr>
      <w:r>
        <w:t xml:space="preserve">El único artefacto SDF real en el repositorio es shader/sdf_circle.gdshader (37 líneas): un shader canvas_item que calcula la distancia al centro de un círculo y usa fwidth() para el antialiasing del borde. Es funcional y es la prueba de concepto correcta sobre la que se apoya la propuesta de la sección 4 — pero es un único shape (círculo), sin rectángulo, triángulo, estrella, ni ningún mecanismo de composición booleana.</w:t>
      </w:r>
    </w:p>
    <w:p>
      <w:pPr>
        <w:pStyle w:val="Heading2"/>
        <w:spacing w:after="120" w:before="240"/>
      </w:pPr>
      <w:r>
        <w:t xml:space="preserve">2.5 Importación / Exportación — estado real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4600"/>
      </w:tblGrid>
      <w:tr>
        <w:tc>
          <w:tcPr>
            <w:tcW w:type="dxa" w:w="1400"/>
            <w:shd w:fill="1F3864" w:val="clear"/>
          </w:tcPr>
          <w:p>
            <w:r>
              <w:rPr>
                <w:b/>
                <w:bCs/>
                <w:color w:val="FFFFFF"/>
                <w:sz w:val="20"/>
                <w:szCs w:val="20"/>
              </w:rPr>
              <w:t xml:space="preserve">Formato</w:t>
            </w:r>
          </w:p>
        </w:tc>
        <w:tc>
          <w:tcPr>
            <w:tcW w:type="dxa" w:w="1400"/>
            <w:shd w:fill="1F3864" w:val="clear"/>
          </w:tcPr>
          <w:p>
            <w:r>
              <w:rPr>
                <w:b/>
                <w:bCs/>
                <w:color w:val="FFFFFF"/>
                <w:sz w:val="20"/>
                <w:szCs w:val="20"/>
              </w:rPr>
              <w:t xml:space="preserve">Exporta</w:t>
            </w:r>
          </w:p>
        </w:tc>
        <w:tc>
          <w:tcPr>
            <w:tcW w:type="dxa" w:w="1600"/>
            <w:shd w:fill="1F3864" w:val="clear"/>
          </w:tcPr>
          <w:p>
            <w:r>
              <w:rPr>
                <w:b/>
                <w:bCs/>
                <w:color w:val="FFFFFF"/>
                <w:sz w:val="20"/>
                <w:szCs w:val="20"/>
              </w:rPr>
              <w:t xml:space="preserve">Importa</w:t>
            </w:r>
          </w:p>
        </w:tc>
        <w:tc>
          <w:tcPr>
            <w:tcW w:type="dxa" w:w="4600"/>
            <w:shd w:fill="1F3864" w:val="clear"/>
          </w:tcPr>
          <w:p>
            <w:r>
              <w:rPr>
                <w:b/>
                <w:bCs/>
                <w:color w:val="FFFFFF"/>
                <w:sz w:val="20"/>
                <w:szCs w:val="20"/>
              </w:rPr>
              <w:t xml:space="preserve">Estado real</w:t>
            </w:r>
          </w:p>
        </w:tc>
      </w:tr>
      <w:tr>
        <w:tc>
          <w:tcPr>
            <w:tcW w:type="dxa" w:w="1400"/>
          </w:tcPr>
          <w:p>
            <w:r>
              <w:rPr>
                <w:b w:val="false"/>
                <w:bCs w:val="false"/>
                <w:color w:val="000000"/>
                <w:sz w:val="20"/>
                <w:szCs w:val="20"/>
              </w:rPr>
              <w:t xml:space="preserve">SVG</w:t>
            </w:r>
          </w:p>
        </w:tc>
        <w:tc>
          <w:tcPr>
            <w:tcW w:type="dxa" w:w="1400"/>
          </w:tcPr>
          <w:p>
            <w:r>
              <w:rPr>
                <w:b w:val="false"/>
                <w:bCs w:val="false"/>
                <w:color w:val="000000"/>
                <w:sz w:val="20"/>
                <w:szCs w:val="20"/>
              </w:rPr>
              <w:t xml:space="preserve">Sí</w:t>
            </w:r>
          </w:p>
        </w:tc>
        <w:tc>
          <w:tcPr>
            <w:tcW w:type="dxa" w:w="1600"/>
          </w:tcPr>
          <w:p>
            <w:r>
              <w:rPr>
                <w:b w:val="false"/>
                <w:bCs w:val="false"/>
                <w:color w:val="000000"/>
                <w:sz w:val="20"/>
                <w:szCs w:val="20"/>
              </w:rPr>
              <w:t xml:space="preserve">Sí</w:t>
            </w:r>
          </w:p>
        </w:tc>
        <w:tc>
          <w:tcPr>
            <w:tcW w:type="dxa" w:w="4600"/>
          </w:tcPr>
          <w:p>
            <w:r>
              <w:rPr>
                <w:b w:val="false"/>
                <w:bCs w:val="false"/>
                <w:color w:val="000000"/>
                <w:sz w:val="20"/>
                <w:szCs w:val="20"/>
              </w:rPr>
              <w:t xml:space="preserve">Export funcional. Import: parser XML propio (M/L/Z), sin reconstrucción de curvas Bézier reales</w:t>
            </w:r>
          </w:p>
        </w:tc>
      </w:tr>
      <w:tr>
        <w:tc>
          <w:tcPr>
            <w:tcW w:type="dxa" w:w="1400"/>
          </w:tcPr>
          <w:p>
            <w:r>
              <w:rPr>
                <w:b w:val="false"/>
                <w:bCs w:val="false"/>
                <w:color w:val="000000"/>
                <w:sz w:val="20"/>
                <w:szCs w:val="20"/>
              </w:rPr>
              <w:t xml:space="preserve">PNG</w:t>
            </w:r>
          </w:p>
        </w:tc>
        <w:tc>
          <w:tcPr>
            <w:tcW w:type="dxa" w:w="1400"/>
          </w:tcPr>
          <w:p>
            <w:r>
              <w:rPr>
                <w:b w:val="false"/>
                <w:bCs w:val="false"/>
                <w:color w:val="000000"/>
                <w:sz w:val="20"/>
                <w:szCs w:val="20"/>
              </w:rPr>
              <w:t xml:space="preserve">Sí</w:t>
            </w:r>
          </w:p>
        </w:tc>
        <w:tc>
          <w:tcPr>
            <w:tcW w:type="dxa" w:w="1600"/>
          </w:tcPr>
          <w:p>
            <w:r>
              <w:rPr>
                <w:b w:val="false"/>
                <w:bCs w:val="false"/>
                <w:color w:val="000000"/>
                <w:sz w:val="20"/>
                <w:szCs w:val="20"/>
              </w:rPr>
              <w:t xml:space="preserve">Sí (como Sprite2D)</w:t>
            </w:r>
          </w:p>
        </w:tc>
        <w:tc>
          <w:tcPr>
            <w:tcW w:type="dxa" w:w="4600"/>
          </w:tcPr>
          <w:p>
            <w:r>
              <w:rPr>
                <w:b w:val="false"/>
                <w:bCs w:val="false"/>
                <w:color w:val="000000"/>
                <w:sz w:val="20"/>
                <w:szCs w:val="20"/>
              </w:rPr>
              <w:t xml:space="preserve">Export vía SubViewport temporal + captura</w:t>
            </w:r>
          </w:p>
        </w:tc>
      </w:tr>
      <w:tr>
        <w:tc>
          <w:tcPr>
            <w:tcW w:type="dxa" w:w="1400"/>
          </w:tcPr>
          <w:p>
            <w:r>
              <w:rPr>
                <w:b w:val="false"/>
                <w:bCs w:val="false"/>
                <w:color w:val="000000"/>
                <w:sz w:val="20"/>
                <w:szCs w:val="20"/>
              </w:rPr>
              <w:t xml:space="preserve">PDF</w:t>
            </w:r>
          </w:p>
        </w:tc>
        <w:tc>
          <w:tcPr>
            <w:tcW w:type="dxa" w:w="1400"/>
          </w:tcPr>
          <w:p>
            <w:r>
              <w:rPr>
                <w:b w:val="false"/>
                <w:bCs w:val="false"/>
                <w:color w:val="000000"/>
                <w:sz w:val="20"/>
                <w:szCs w:val="20"/>
              </w:rPr>
              <w:t xml:space="preserve">Parcial</w:t>
            </w:r>
          </w:p>
        </w:tc>
        <w:tc>
          <w:tcPr>
            <w:tcW w:type="dxa" w:w="1600"/>
          </w:tcPr>
          <w:p>
            <w:r>
              <w:rPr>
                <w:b w:val="false"/>
                <w:bCs w:val="false"/>
                <w:color w:val="000000"/>
                <w:sz w:val="20"/>
                <w:szCs w:val="20"/>
              </w:rPr>
              <w:t xml:space="preserve">No</w:t>
            </w:r>
          </w:p>
        </w:tc>
        <w:tc>
          <w:tcPr>
            <w:tcW w:type="dxa" w:w="4600"/>
          </w:tcPr>
          <w:p>
            <w:r>
              <w:rPr>
                <w:b w:val="false"/>
                <w:bCs w:val="false"/>
                <w:color w:val="000000"/>
                <w:sz w:val="20"/>
                <w:szCs w:val="20"/>
              </w:rPr>
              <w:t xml:space="preserve">_export_pdf() existe, funcionalidad básica</w:t>
            </w:r>
          </w:p>
        </w:tc>
      </w:tr>
      <w:tr>
        <w:tc>
          <w:tcPr>
            <w:tcW w:type="dxa" w:w="1400"/>
          </w:tcPr>
          <w:p>
            <w:r>
              <w:rPr>
                <w:b w:val="false"/>
                <w:bCs w:val="false"/>
                <w:color w:val="000000"/>
                <w:sz w:val="20"/>
                <w:szCs w:val="20"/>
              </w:rPr>
              <w:t xml:space="preserve">JPEG</w:t>
            </w:r>
          </w:p>
        </w:tc>
        <w:tc>
          <w:tcPr>
            <w:tcW w:type="dxa" w:w="1400"/>
          </w:tcPr>
          <w:p>
            <w:r>
              <w:rPr>
                <w:b w:val="false"/>
                <w:bCs w:val="false"/>
                <w:color w:val="000000"/>
                <w:sz w:val="20"/>
                <w:szCs w:val="20"/>
              </w:rPr>
              <w:t xml:space="preserve">Parcial</w:t>
            </w:r>
          </w:p>
        </w:tc>
        <w:tc>
          <w:tcPr>
            <w:tcW w:type="dxa" w:w="1600"/>
          </w:tcPr>
          <w:p>
            <w:r>
              <w:rPr>
                <w:b w:val="false"/>
                <w:bCs w:val="false"/>
                <w:color w:val="000000"/>
                <w:sz w:val="20"/>
                <w:szCs w:val="20"/>
              </w:rPr>
              <w:t xml:space="preserve">Sí (como Sprite2D)</w:t>
            </w:r>
          </w:p>
        </w:tc>
        <w:tc>
          <w:tcPr>
            <w:tcW w:type="dxa" w:w="4600"/>
          </w:tcPr>
          <w:p>
            <w:r>
              <w:rPr>
                <w:b w:val="false"/>
                <w:bCs w:val="false"/>
                <w:color w:val="000000"/>
                <w:sz w:val="20"/>
                <w:szCs w:val="20"/>
              </w:rPr>
              <w:t xml:space="preserve">Export cae al mismo camino que PNG, no genera JPEG real</w:t>
            </w:r>
          </w:p>
        </w:tc>
      </w:tr>
      <w:tr>
        <w:tc>
          <w:tcPr>
            <w:tcW w:type="dxa" w:w="1400"/>
          </w:tcPr>
          <w:p>
            <w:r>
              <w:rPr>
                <w:b w:val="false"/>
                <w:bCs w:val="false"/>
                <w:color w:val="000000"/>
                <w:sz w:val="20"/>
                <w:szCs w:val="20"/>
              </w:rPr>
              <w:t xml:space="preserve">WEBP</w:t>
            </w:r>
          </w:p>
        </w:tc>
        <w:tc>
          <w:tcPr>
            <w:tcW w:type="dxa" w:w="1400"/>
          </w:tcPr>
          <w:p>
            <w:r>
              <w:rPr>
                <w:b w:val="false"/>
                <w:bCs w:val="false"/>
                <w:color w:val="000000"/>
                <w:sz w:val="20"/>
                <w:szCs w:val="20"/>
              </w:rPr>
              <w:t xml:space="preserve">Parcial</w:t>
            </w:r>
          </w:p>
        </w:tc>
        <w:tc>
          <w:tcPr>
            <w:tcW w:type="dxa" w:w="1600"/>
          </w:tcPr>
          <w:p>
            <w:r>
              <w:rPr>
                <w:b w:val="false"/>
                <w:bCs w:val="false"/>
                <w:color w:val="000000"/>
                <w:sz w:val="20"/>
                <w:szCs w:val="20"/>
              </w:rPr>
              <w:t xml:space="preserve">No</w:t>
            </w:r>
          </w:p>
        </w:tc>
        <w:tc>
          <w:tcPr>
            <w:tcW w:type="dxa" w:w="4600"/>
          </w:tcPr>
          <w:p>
            <w:r>
              <w:rPr>
                <w:b w:val="false"/>
                <w:bCs w:val="false"/>
                <w:color w:val="000000"/>
                <w:sz w:val="20"/>
                <w:szCs w:val="20"/>
              </w:rPr>
              <w:t xml:space="preserve">Declarado en el enum, sin implementación real</w:t>
            </w:r>
          </w:p>
        </w:tc>
      </w:tr>
      <w:tr>
        <w:tc>
          <w:tcPr>
            <w:tcW w:type="dxa" w:w="1400"/>
          </w:tcPr>
          <w:p>
            <w:r>
              <w:rPr>
                <w:b w:val="false"/>
                <w:bCs w:val="false"/>
                <w:color w:val="000000"/>
                <w:sz w:val="20"/>
                <w:szCs w:val="20"/>
              </w:rPr>
              <w:t xml:space="preserve">EPS</w:t>
            </w:r>
          </w:p>
        </w:tc>
        <w:tc>
          <w:tcPr>
            <w:tcW w:type="dxa" w:w="1400"/>
          </w:tcPr>
          <w:p>
            <w:r>
              <w:rPr>
                <w:b w:val="false"/>
                <w:bCs w:val="false"/>
                <w:color w:val="000000"/>
                <w:sz w:val="20"/>
                <w:szCs w:val="20"/>
              </w:rPr>
              <w:t xml:space="preserve">Parcial</w:t>
            </w:r>
          </w:p>
        </w:tc>
        <w:tc>
          <w:tcPr>
            <w:tcW w:type="dxa" w:w="1600"/>
          </w:tcPr>
          <w:p>
            <w:r>
              <w:rPr>
                <w:b w:val="false"/>
                <w:bCs w:val="false"/>
                <w:color w:val="000000"/>
                <w:sz w:val="20"/>
                <w:szCs w:val="20"/>
              </w:rPr>
              <w:t xml:space="preserve">Parcial</w:t>
            </w:r>
          </w:p>
        </w:tc>
        <w:tc>
          <w:tcPr>
            <w:tcW w:type="dxa" w:w="4600"/>
          </w:tcPr>
          <w:p>
            <w:r>
              <w:rPr>
                <w:b w:val="false"/>
                <w:bCs w:val="false"/>
                <w:color w:val="000000"/>
                <w:sz w:val="20"/>
                <w:szCs w:val="20"/>
              </w:rPr>
              <w:t xml:space="preserve">Export es un wrapper de texto sobre el SVG con cabecera %%EPSF-3.0 — no es EPS real</w:t>
            </w:r>
          </w:p>
        </w:tc>
      </w:tr>
      <w:tr>
        <w:tc>
          <w:tcPr>
            <w:tcW w:type="dxa" w:w="1400"/>
          </w:tcPr>
          <w:p>
            <w:r>
              <w:rPr>
                <w:b w:val="false"/>
                <w:bCs w:val="false"/>
                <w:color w:val="000000"/>
                <w:sz w:val="20"/>
                <w:szCs w:val="20"/>
              </w:rPr>
              <w:t xml:space="preserve">TSCN / SCN</w:t>
            </w:r>
          </w:p>
        </w:tc>
        <w:tc>
          <w:tcPr>
            <w:tcW w:type="dxa" w:w="1400"/>
          </w:tcPr>
          <w:p>
            <w:r>
              <w:rPr>
                <w:b w:val="false"/>
                <w:bCs w:val="false"/>
                <w:color w:val="000000"/>
                <w:sz w:val="20"/>
                <w:szCs w:val="20"/>
              </w:rPr>
              <w:t xml:space="preserve">Parcial</w:t>
            </w:r>
          </w:p>
        </w:tc>
        <w:tc>
          <w:tcPr>
            <w:tcW w:type="dxa" w:w="1600"/>
          </w:tcPr>
          <w:p>
            <w:r>
              <w:rPr>
                <w:b w:val="false"/>
                <w:bCs w:val="false"/>
                <w:color w:val="000000"/>
                <w:sz w:val="20"/>
                <w:szCs w:val="20"/>
              </w:rPr>
              <w:t xml:space="preserve">Parcial</w:t>
            </w:r>
          </w:p>
        </w:tc>
        <w:tc>
          <w:tcPr>
            <w:tcW w:type="dxa" w:w="4600"/>
          </w:tcPr>
          <w:p>
            <w:r>
              <w:rPr>
                <w:b w:val="false"/>
                <w:bCs w:val="false"/>
                <w:color w:val="000000"/>
                <w:sz w:val="20"/>
                <w:szCs w:val="20"/>
              </w:rPr>
              <w:t xml:space="preserve">Ver nota siguiente — no es una escena Godot válida</w:t>
            </w:r>
          </w:p>
        </w:tc>
      </w:tr>
      <w:tr>
        <w:tc>
          <w:tcPr>
            <w:tcW w:type="dxa" w:w="1400"/>
          </w:tcPr>
          <w:p>
            <w:r>
              <w:rPr>
                <w:b w:val="false"/>
                <w:bCs w:val="false"/>
                <w:color w:val="000000"/>
                <w:sz w:val="20"/>
                <w:szCs w:val="20"/>
              </w:rPr>
              <w:t xml:space="preserve">JSON</w:t>
            </w:r>
          </w:p>
        </w:tc>
        <w:tc>
          <w:tcPr>
            <w:tcW w:type="dxa" w:w="1400"/>
          </w:tcPr>
          <w:p>
            <w:r>
              <w:rPr>
                <w:b w:val="false"/>
                <w:bCs w:val="false"/>
                <w:color w:val="000000"/>
                <w:sz w:val="20"/>
                <w:szCs w:val="20"/>
              </w:rPr>
              <w:t xml:space="preserve">Sí</w:t>
            </w:r>
          </w:p>
        </w:tc>
        <w:tc>
          <w:tcPr>
            <w:tcW w:type="dxa" w:w="1600"/>
          </w:tcPr>
          <w:p>
            <w:r>
              <w:rPr>
                <w:b w:val="false"/>
                <w:bCs w:val="false"/>
                <w:color w:val="000000"/>
                <w:sz w:val="20"/>
                <w:szCs w:val="20"/>
              </w:rPr>
              <w:t xml:space="preserve">Sí</w:t>
            </w:r>
          </w:p>
        </w:tc>
        <w:tc>
          <w:tcPr>
            <w:tcW w:type="dxa" w:w="4600"/>
          </w:tcPr>
          <w:p>
            <w:r>
              <w:rPr>
                <w:b w:val="false"/>
                <w:bCs w:val="false"/>
                <w:color w:val="000000"/>
                <w:sz w:val="20"/>
                <w:szCs w:val="20"/>
              </w:rPr>
              <w:t xml:space="preserve">project.serialize() → JSON.stringify, funcional</w:t>
            </w:r>
          </w:p>
        </w:tc>
      </w:tr>
      <w:tr>
        <w:tc>
          <w:tcPr>
            <w:tcW w:type="dxa" w:w="1400"/>
          </w:tcPr>
          <w:p>
            <w:r>
              <w:rPr>
                <w:b w:val="false"/>
                <w:bCs w:val="false"/>
                <w:color w:val="000000"/>
                <w:sz w:val="20"/>
                <w:szCs w:val="20"/>
              </w:rPr>
              <w:t xml:space="preserve">VOP (propietario)</w:t>
            </w:r>
          </w:p>
        </w:tc>
        <w:tc>
          <w:tcPr>
            <w:tcW w:type="dxa" w:w="1400"/>
          </w:tcPr>
          <w:p>
            <w:r>
              <w:rPr>
                <w:b w:val="false"/>
                <w:bCs w:val="false"/>
                <w:color w:val="000000"/>
                <w:sz w:val="20"/>
                <w:szCs w:val="20"/>
              </w:rPr>
              <w:t xml:space="preserve">Parcial</w:t>
            </w:r>
          </w:p>
        </w:tc>
        <w:tc>
          <w:tcPr>
            <w:tcW w:type="dxa" w:w="1600"/>
          </w:tcPr>
          <w:p>
            <w:r>
              <w:rPr>
                <w:b w:val="false"/>
                <w:bCs w:val="false"/>
                <w:color w:val="000000"/>
                <w:sz w:val="20"/>
                <w:szCs w:val="20"/>
              </w:rPr>
              <w:t xml:space="preserve">Parcial</w:t>
            </w:r>
          </w:p>
        </w:tc>
        <w:tc>
          <w:tcPr>
            <w:tcW w:type="dxa" w:w="4600"/>
          </w:tcPr>
          <w:p>
            <w:r>
              <w:rPr>
                <w:b w:val="false"/>
                <w:bCs w:val="false"/>
                <w:color w:val="000000"/>
                <w:sz w:val="20"/>
                <w:szCs w:val="20"/>
              </w:rPr>
              <w:t xml:space="preserve">JSON.stringify con otra estructura; sin lector propio verificado</w:t>
            </w:r>
          </w:p>
        </w:tc>
      </w:tr>
    </w:tbl>
    <w:p>
      <w:pPr>
        <w:spacing w:after="160"/>
      </w:pPr>
      <w:r>
        <w:t xml:space="preserve"/>
      </w:r>
    </w:p>
    <w:p>
      <w:pPr>
        <w:pBdr>
          <w:left w:val="single" w:color="B33A3A" w:sz="16" w:space="8"/>
        </w:pBdr>
        <w:shd w:fill="FDEEEE" w:val="clear"/>
        <w:spacing w:after="160"/>
        <w:ind w:left="120"/>
      </w:pPr>
      <w:r>
        <w:rPr>
          <w:b/>
          <w:bCs/>
          <w:color w:val="B33A3A"/>
        </w:rPr>
        <w:t xml:space="preserve">Confirmado en código: </w:t>
      </w:r>
      <w:r>
        <w:t xml:space="preserve">_export_tscn() no serializa una escena Godot real: arma un Dictionary (resource_path, format_version, node_data, metadata) y lo escribe con JSON.stringify() en un archivo con extensión .tscn. Godot no puede abrir ese archivo como escena — es JSON con la extensión equivocada. Es una brecha más profunda que "declarado, sin implementación": el nombre del método promete algo que el contenido del archivo no cumple. Esto aplica igual a _export_scn().</w:t>
      </w:r>
    </w:p>
    <w:p>
      <w:pPr>
        <w:pStyle w:val="Heading1"/>
        <w:spacing w:after="160" w:before="320"/>
      </w:pPr>
      <w:r>
        <w:t xml:space="preserve">3. Problemas conocidos (auditoría de código)</w:t>
      </w:r>
    </w:p>
    <w:p>
      <w:pPr>
        <w:pStyle w:val="Heading3"/>
        <w:spacing w:after="100" w:before="200"/>
      </w:pPr>
      <w:r>
        <w:t xml:space="preserve">3.1 Críticos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00"/>
      </w:tblGrid>
      <w:tr>
        <w:tc>
          <w:tcPr>
            <w:tcW w:type="dxa" w:w="500"/>
            <w:shd w:fill="1F3864" w:val="clear"/>
          </w:tcPr>
          <w:p>
            <w:r>
              <w:rPr>
                <w:b/>
                <w:bCs/>
                <w:color w:val="FFFFFF"/>
                <w:sz w:val="20"/>
                <w:szCs w:val="20"/>
              </w:rPr>
              <w:t xml:space="preserve">#</w:t>
            </w:r>
          </w:p>
        </w:tc>
        <w:tc>
          <w:tcPr>
            <w:tcW w:type="dxa" w:w="4700"/>
            <w:shd w:fill="1F3864" w:val="clear"/>
          </w:tcPr>
          <w:p>
            <w:r>
              <w:rPr>
                <w:b/>
                <w:bCs/>
                <w:color w:val="FFFFFF"/>
                <w:sz w:val="20"/>
                <w:szCs w:val="20"/>
              </w:rPr>
              <w:t xml:space="preserve">Problema</w:t>
            </w:r>
          </w:p>
        </w:tc>
        <w:tc>
          <w:tcPr>
            <w:tcW w:type="dxa" w:w="3800"/>
            <w:shd w:fill="1F3864" w:val="clear"/>
          </w:tcPr>
          <w:p>
            <w:r>
              <w:rPr>
                <w:b/>
                <w:bCs/>
                <w:color w:val="FFFFFF"/>
                <w:sz w:val="20"/>
                <w:szCs w:val="20"/>
              </w:rPr>
              <w:t xml:space="preserve">Impacto</w:t>
            </w:r>
          </w:p>
        </w:tc>
      </w:tr>
      <w:tr>
        <w:tc>
          <w:tcPr>
            <w:tcW w:type="dxa" w:w="500"/>
          </w:tcPr>
          <w:p>
            <w:r>
              <w:rPr>
                <w:b w:val="false"/>
                <w:bCs w:val="false"/>
                <w:color w:val="000000"/>
                <w:sz w:val="20"/>
                <w:szCs w:val="20"/>
              </w:rPr>
              <w:t xml:space="preserve">1</w:t>
            </w:r>
          </w:p>
        </w:tc>
        <w:tc>
          <w:tcPr>
            <w:tcW w:type="dxa" w:w="4700"/>
          </w:tcPr>
          <w:p>
            <w:r>
              <w:rPr>
                <w:b w:val="false"/>
                <w:bCs w:val="false"/>
                <w:color w:val="000000"/>
                <w:sz w:val="20"/>
                <w:szCs w:val="20"/>
              </w:rPr>
              <w:t xml:space="preserve">canvas.tscn y main.tscn se instancian mutuamente (dependencia circular)</w:t>
            </w:r>
          </w:p>
        </w:tc>
        <w:tc>
          <w:tcPr>
            <w:tcW w:type="dxa" w:w="3800"/>
          </w:tcPr>
          <w:p>
            <w:r>
              <w:rPr>
                <w:b w:val="false"/>
                <w:bCs w:val="false"/>
                <w:color w:val="000000"/>
                <w:sz w:val="20"/>
                <w:szCs w:val="20"/>
              </w:rPr>
              <w:t xml:space="preserve">Funciona por lazy loading de Godot, pero es frágil ante refactors</w:t>
            </w:r>
          </w:p>
        </w:tc>
      </w:tr>
      <w:tr>
        <w:tc>
          <w:tcPr>
            <w:tcW w:type="dxa" w:w="500"/>
          </w:tcPr>
          <w:p>
            <w:r>
              <w:rPr>
                <w:b w:val="false"/>
                <w:bCs w:val="false"/>
                <w:color w:val="000000"/>
                <w:sz w:val="20"/>
                <w:szCs w:val="20"/>
              </w:rPr>
              <w:t xml:space="preserve">2</w:t>
            </w:r>
          </w:p>
        </w:tc>
        <w:tc>
          <w:tcPr>
            <w:tcW w:type="dxa" w:w="4700"/>
          </w:tcPr>
          <w:p>
            <w:r>
              <w:rPr>
                <w:b w:val="false"/>
                <w:bCs w:val="false"/>
                <w:color w:val="000000"/>
                <w:sz w:val="20"/>
                <w:szCs w:val="20"/>
              </w:rPr>
              <w:t xml:space="preserve">Dos sistemas de herramientas paralelos (sección 2.3)</w:t>
            </w:r>
          </w:p>
        </w:tc>
        <w:tc>
          <w:tcPr>
            <w:tcW w:type="dxa" w:w="3800"/>
          </w:tcPr>
          <w:p>
            <w:r>
              <w:rPr>
                <w:b w:val="false"/>
                <w:bCs w:val="false"/>
                <w:color w:val="000000"/>
                <w:sz w:val="20"/>
                <w:szCs w:val="20"/>
              </w:rPr>
              <w:t xml:space="preserve">Confusión sobre dónde registrar una tool nueva; firmas de handle_input() incompatibles</w:t>
            </w:r>
          </w:p>
        </w:tc>
      </w:tr>
      <w:tr>
        <w:tc>
          <w:tcPr>
            <w:tcW w:type="dxa" w:w="500"/>
          </w:tcPr>
          <w:p>
            <w:r>
              <w:rPr>
                <w:b w:val="false"/>
                <w:bCs w:val="false"/>
                <w:color w:val="000000"/>
                <w:sz w:val="20"/>
                <w:szCs w:val="20"/>
              </w:rPr>
              <w:t xml:space="preserve">3</w:t>
            </w:r>
          </w:p>
        </w:tc>
        <w:tc>
          <w:tcPr>
            <w:tcW w:type="dxa" w:w="4700"/>
          </w:tcPr>
          <w:p>
            <w:r>
              <w:rPr>
                <w:b w:val="false"/>
                <w:bCs w:val="false"/>
                <w:color w:val="000000"/>
                <w:sz w:val="20"/>
                <w:szCs w:val="20"/>
              </w:rPr>
              <w:t xml:space="preserve">DataRepository es un god object (1349L)</w:t>
            </w:r>
          </w:p>
        </w:tc>
        <w:tc>
          <w:tcPr>
            <w:tcW w:type="dxa" w:w="3800"/>
          </w:tcPr>
          <w:p>
            <w:r>
              <w:rPr>
                <w:b w:val="false"/>
                <w:bCs w:val="false"/>
                <w:color w:val="000000"/>
                <w:sz w:val="20"/>
                <w:szCs w:val="20"/>
              </w:rPr>
              <w:t xml:space="preserve">CRUD + undo/redo + auto-save + recovery + snap + serialización en una sola clase</w:t>
            </w:r>
          </w:p>
        </w:tc>
      </w:tr>
      <w:tr>
        <w:tc>
          <w:tcPr>
            <w:tcW w:type="dxa" w:w="500"/>
          </w:tcPr>
          <w:p>
            <w:r>
              <w:rPr>
                <w:b w:val="false"/>
                <w:bCs w:val="false"/>
                <w:color w:val="000000"/>
                <w:sz w:val="20"/>
                <w:szCs w:val="20"/>
              </w:rPr>
              <w:t xml:space="preserve">4</w:t>
            </w:r>
          </w:p>
        </w:tc>
        <w:tc>
          <w:tcPr>
            <w:tcW w:type="dxa" w:w="4700"/>
          </w:tcPr>
          <w:p>
            <w:r>
              <w:rPr>
                <w:b w:val="false"/>
                <w:bCs w:val="false"/>
                <w:color w:val="000000"/>
                <w:sz w:val="20"/>
                <w:szCs w:val="20"/>
              </w:rPr>
              <w:t xml:space="preserve">ToolManager.get_available_tools() usa name en vez de tool_name (línea 258)</w:t>
            </w:r>
          </w:p>
        </w:tc>
        <w:tc>
          <w:tcPr>
            <w:tcW w:type="dxa" w:w="3800"/>
          </w:tcPr>
          <w:p>
            <w:r>
              <w:rPr>
                <w:b w:val="false"/>
                <w:bCs w:val="false"/>
                <w:color w:val="000000"/>
                <w:sz w:val="20"/>
                <w:szCs w:val="20"/>
              </w:rPr>
              <w:t xml:space="preserve">Devuelve un array con el nombre del propio ToolManager repetido, no los nombres de herramientas — confirmado leyendo el archivo</w:t>
            </w:r>
          </w:p>
        </w:tc>
      </w:tr>
      <w:tr>
        <w:tc>
          <w:tcPr>
            <w:tcW w:type="dxa" w:w="500"/>
          </w:tcPr>
          <w:p>
            <w:r>
              <w:rPr>
                <w:b w:val="false"/>
                <w:bCs w:val="false"/>
                <w:color w:val="000000"/>
                <w:sz w:val="20"/>
                <w:szCs w:val="20"/>
              </w:rPr>
              <w:t xml:space="preserve">5</w:t>
            </w:r>
          </w:p>
        </w:tc>
        <w:tc>
          <w:tcPr>
            <w:tcW w:type="dxa" w:w="4700"/>
          </w:tcPr>
          <w:p>
            <w:r>
              <w:rPr>
                <w:b w:val="false"/>
                <w:bCs w:val="false"/>
                <w:color w:val="000000"/>
                <w:sz w:val="20"/>
                <w:szCs w:val="20"/>
              </w:rPr>
              <w:t xml:space="preserve">Sin tests</w:t>
            </w:r>
          </w:p>
        </w:tc>
        <w:tc>
          <w:tcPr>
            <w:tcW w:type="dxa" w:w="3800"/>
          </w:tcPr>
          <w:p>
            <w:r>
              <w:rPr>
                <w:b w:val="false"/>
                <w:bCs w:val="false"/>
                <w:color w:val="000000"/>
                <w:sz w:val="20"/>
                <w:szCs w:val="20"/>
              </w:rPr>
              <w:t xml:space="preserve">0% de cobertura en ~128 scripts, 40K+ líneas</w:t>
            </w:r>
          </w:p>
        </w:tc>
      </w:tr>
    </w:tbl>
    <w:p>
      <w:pPr>
        <w:spacing w:after="160"/>
      </w:pPr>
      <w:r>
        <w:t xml:space="preserve"/>
      </w:r>
    </w:p>
    <w:p>
      <w:pPr>
        <w:pStyle w:val="Heading3"/>
        <w:spacing w:after="100" w:before="200"/>
      </w:pPr>
      <w:r>
        <w:t xml:space="preserve">3.2 Medios</w:t>
      </w:r>
    </w:p>
    <w:p>
      <w:pPr>
        <w:pStyle w:val="ListParagraph"/>
        <w:numPr>
          <w:ilvl w:val="0"/>
          <w:numId w:val="2"/>
        </w:numPr>
        <w:spacing w:after="80"/>
      </w:pPr>
      <w:r>
        <w:t xml:space="preserve">Scripts dispersos en 6 directorios: scripts/, script_gdscript/, scenes/canvas/, scenes/ui/, Scene/, tools/.</w:t>
      </w:r>
    </w:p>
    <w:p>
      <w:pPr>
        <w:pStyle w:val="ListParagraph"/>
        <w:numPr>
          <w:ilvl w:val="0"/>
          <w:numId w:val="2"/>
        </w:numPr>
        <w:spacing w:after="80"/>
      </w:pPr>
      <w:r>
        <w:t xml:space="preserve">Mezcla de idiomas en nombres de archivo: español (regla.gd, button_circulo.gd) e inglés (MoveTool.gd, PenTool.gd).</w:t>
      </w:r>
    </w:p>
    <w:p>
      <w:pPr>
        <w:pStyle w:val="ListParagraph"/>
        <w:numPr>
          <w:ilvl w:val="0"/>
          <w:numId w:val="2"/>
        </w:numPr>
        <w:spacing w:after="80"/>
      </w:pPr>
      <w:r>
        <w:t xml:space="preserve">Modelo de datos dual (clases internas + Resources) con DataResourceManager.gd como puente frágil.</w:t>
      </w:r>
    </w:p>
    <w:p>
      <w:pPr>
        <w:pStyle w:val="ListParagraph"/>
        <w:numPr>
          <w:ilvl w:val="0"/>
          <w:numId w:val="2"/>
        </w:numPr>
        <w:spacing w:after="80"/>
      </w:pPr>
      <w:r>
        <w:t xml:space="preserve">ObjectPool._reset_instance() referencia escenas eliminadas del POOL_CONFIG (SelectionBox, ShapePreview, ArtboardTitle).</w:t>
      </w:r>
    </w:p>
    <w:p>
      <w:pPr>
        <w:pStyle w:val="ListParagraph"/>
        <w:numPr>
          <w:ilvl w:val="0"/>
          <w:numId w:val="2"/>
        </w:numPr>
        <w:spacing w:after="80"/>
      </w:pPr>
      <w:r>
        <w:t xml:space="preserve">SmartCursor conecta señales action_confirmed e interactive_element_hovered que no están declaradas en GlobalEvents (protegido con has_signal(), pero nunca se emiten).</w:t>
      </w:r>
    </w:p>
    <w:p>
      <w:pPr>
        <w:pStyle w:val="ListParagraph"/>
        <w:numPr>
          <w:ilvl w:val="0"/>
          <w:numId w:val="2"/>
        </w:numPr>
        <w:spacing w:after="80"/>
      </w:pPr>
      <w:r>
        <w:t xml:space="preserve">anti_aliasing/quality/msaa_2d=3 en project.godot pese a que gl_compatibility no lo soporta (ver 2.4).</w:t>
      </w:r>
    </w:p>
    <w:p>
      <w:pPr>
        <w:pStyle w:val="ListParagraph"/>
        <w:numPr>
          <w:ilvl w:val="0"/>
          <w:numId w:val="2"/>
        </w:numPr>
        <w:spacing w:after="80"/>
      </w:pPr>
      <w:r>
        <w:t xml:space="preserve">PerformanceManager._process() emite performance_degraded cada 5s aunque no haya cambios.</w:t>
      </w:r>
    </w:p>
    <w:p>
      <w:pPr>
        <w:pStyle w:val="Heading3"/>
        <w:spacing w:after="100" w:before="200"/>
      </w:pPr>
      <w:r>
        <w:t xml:space="preserve">3.3 Menores</w:t>
      </w:r>
    </w:p>
    <w:p>
      <w:pPr>
        <w:pStyle w:val="ListParagraph"/>
        <w:numPr>
          <w:ilvl w:val="0"/>
          <w:numId w:val="2"/>
        </w:numPr>
        <w:spacing w:after="80"/>
      </w:pPr>
      <w:r>
        <w:t xml:space="preserve">MoveTool.gd referencia el global Canvas en vez de CanvasEditor.</w:t>
      </w:r>
    </w:p>
    <w:p>
      <w:pPr>
        <w:pStyle w:val="ListParagraph"/>
        <w:numPr>
          <w:ilvl w:val="0"/>
          <w:numId w:val="2"/>
        </w:numPr>
        <w:spacing w:after="80"/>
      </w:pPr>
      <w:r>
        <w:t xml:space="preserve">ArtboardTool.gd usa "is Artboard" en vez de "is ArtboardEditor".</w:t>
      </w:r>
    </w:p>
    <w:p>
      <w:pPr>
        <w:pStyle w:val="ListParagraph"/>
        <w:numPr>
          <w:ilvl w:val="0"/>
          <w:numId w:val="2"/>
        </w:numPr>
        <w:spacing w:after="80"/>
      </w:pPr>
      <w:r>
        <w:t xml:space="preserve">12 scripts de botones de toolbar (button_circulo.gd y similares) con ~45L casi idénticas cada uno, ~540L duplicadas en total.</w:t>
      </w:r>
    </w:p>
    <w:p>
      <w:pPr>
        <w:pStyle w:val="ListParagraph"/>
        <w:numPr>
          <w:ilvl w:val="0"/>
          <w:numId w:val="2"/>
        </w:numPr>
        <w:spacing w:after="80"/>
      </w:pPr>
      <w:r>
        <w:t xml:space="preserve">Archivos residuales: .csproj.old, .af~lock~.</w:t>
      </w:r>
    </w:p>
    <w:p>
      <w:pPr>
        <w:pStyle w:val="Heading1"/>
        <w:spacing w:after="160" w:before="320"/>
      </w:pPr>
      <w:r>
        <w:t xml:space="preserve">4. Diseño propuesto: VectoSDF (no implementado)</w:t>
      </w:r>
    </w:p>
    <w:p>
      <w:pPr>
        <w:shd w:fill="EEF3FB" w:val="clear"/>
        <w:spacing w:after="100"/>
      </w:pPr>
      <w:r>
        <w:rPr>
          <w:b/>
          <w:bCs/>
          <w:color w:val="2F5496"/>
          <w:sz w:val="18"/>
          <w:szCs w:val="18"/>
        </w:rPr>
        <w:t xml:space="preserve">○ DISEÑO PROPUESTO — no existe todavía en el código</w:t>
      </w:r>
    </w:p>
    <w:p>
      <w:pPr>
        <w:spacing w:after="160"/>
      </w:pPr>
      <w:r>
        <w:t xml:space="preserve">Esta sección conserva el contenido técnico de la v2 del informe — con las correcciones discutidas en la revisión técnica posterior — pero reclasificado explícitamente como arquitectura objetivo. Ningún nodo, shader compuesto ni sistema booleano descrito aquí existe hoy en el repositorio; el punto de partida real es el prototipo de un solo círculo documentado en 2.4.</w:t>
      </w:r>
    </w:p>
    <w:p>
      <w:pPr>
        <w:pStyle w:val="Heading2"/>
        <w:spacing w:after="120" w:before="240"/>
      </w:pPr>
      <w:r>
        <w:t xml:space="preserve">4.1 Motivación y arquitectura objetivo</w:t>
      </w:r>
    </w:p>
    <w:p>
      <w:pPr>
        <w:spacing w:after="160"/>
      </w:pPr>
      <w:r>
        <w:t xml:space="preserve">La premisa central es aprovechar el pipeline de renderizado acelerado por GPU de Godot (CanvasItem) para la edición interactiva, reservando cálculo preciso en CPU únicamente para las operaciones donde la exactitud matemática importa más que la velocidad de refresco: exportación final, hit-testing y operaciones booleanas. Es la respuesta directa a la limitación real confirmada en 2.4: gl_compatibility no soporta MSAA 2D, y cambiar a Forward+ para conseguirlo entra en conflicto con el requisito de 2 GB de RAM.</w:t>
      </w:r>
    </w:p>
    <w:p>
      <w:pPr>
        <w:pStyle w:val="Heading2"/>
        <w:spacing w:after="120" w:before="240"/>
      </w:pPr>
      <w:r>
        <w:t xml:space="preserve">4.2 Shader SDF unificado (extensión de sdf_circle.gdshader)</w:t>
      </w:r>
    </w:p>
    <w:p>
      <w:pPr>
        <w:spacing w:after="160"/>
      </w:pPr>
      <w:r>
        <w:t xml:space="preserve">El shader real (sdf_circle.gdshader) ya resuelve el caso círculo con fwidth() para antialiasing independiente del zoom. La propuesta es generalizarlo a un shader único (sdf_shape.gdshader) parametrizado por shape_type, implementando las fórmulas de distancia cerradas estándar (Inigo Quilez) para cada primitiva adicional: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c>
          <w:tcPr>
            <w:tcW w:type="dxa" w:w="1400"/>
            <w:shd w:fill="1F3864" w:val="clear"/>
          </w:tcPr>
          <w:p>
            <w:r>
              <w:rPr>
                <w:b/>
                <w:bCs/>
                <w:color w:val="FFFFFF"/>
                <w:sz w:val="20"/>
                <w:szCs w:val="20"/>
              </w:rPr>
              <w:t xml:space="preserve">shape_type</w:t>
            </w:r>
          </w:p>
        </w:tc>
        <w:tc>
          <w:tcPr>
            <w:tcW w:type="dxa" w:w="3400"/>
            <w:shd w:fill="1F3864" w:val="clear"/>
          </w:tcPr>
          <w:p>
            <w:r>
              <w:rPr>
                <w:b/>
                <w:bCs/>
                <w:color w:val="FFFFFF"/>
                <w:sz w:val="20"/>
                <w:szCs w:val="20"/>
              </w:rPr>
              <w:t xml:space="preserve">Forma</w:t>
            </w:r>
          </w:p>
        </w:tc>
        <w:tc>
          <w:tcPr>
            <w:tcW w:type="dxa" w:w="4200"/>
            <w:shd w:fill="1F3864" w:val="clear"/>
          </w:tcPr>
          <w:p>
            <w:r>
              <w:rPr>
                <w:b/>
                <w:bCs/>
                <w:color w:val="FFFFFF"/>
                <w:sz w:val="20"/>
                <w:szCs w:val="20"/>
              </w:rPr>
              <w:t xml:space="preserve">Función SDF</w:t>
            </w:r>
          </w:p>
        </w:tc>
      </w:tr>
      <w:tr>
        <w:tc>
          <w:tcPr>
            <w:tcW w:type="dxa" w:w="1400"/>
          </w:tcPr>
          <w:p>
            <w:r>
              <w:rPr>
                <w:b w:val="false"/>
                <w:bCs w:val="false"/>
                <w:color w:val="000000"/>
                <w:sz w:val="20"/>
                <w:szCs w:val="20"/>
              </w:rPr>
              <w:t xml:space="preserve">0</w:t>
            </w:r>
          </w:p>
        </w:tc>
        <w:tc>
          <w:tcPr>
            <w:tcW w:type="dxa" w:w="3400"/>
          </w:tcPr>
          <w:p>
            <w:r>
              <w:rPr>
                <w:b w:val="false"/>
                <w:bCs w:val="false"/>
                <w:color w:val="000000"/>
                <w:sz w:val="20"/>
                <w:szCs w:val="20"/>
              </w:rPr>
              <w:t xml:space="preserve">Círculo</w:t>
            </w:r>
          </w:p>
        </w:tc>
        <w:tc>
          <w:tcPr>
            <w:tcW w:type="dxa" w:w="4200"/>
          </w:tcPr>
          <w:p>
            <w:r>
              <w:rPr>
                <w:b w:val="false"/>
                <w:bCs w:val="false"/>
                <w:color w:val="000000"/>
                <w:sz w:val="20"/>
                <w:szCs w:val="20"/>
              </w:rPr>
              <w:t xml:space="preserve">sd_circle — length(p) - r (ya implementado en sdf_circle.gdshader)</w:t>
            </w:r>
          </w:p>
        </w:tc>
      </w:tr>
      <w:tr>
        <w:tc>
          <w:tcPr>
            <w:tcW w:type="dxa" w:w="1400"/>
          </w:tcPr>
          <w:p>
            <w:r>
              <w:rPr>
                <w:b w:val="false"/>
                <w:bCs w:val="false"/>
                <w:color w:val="000000"/>
                <w:sz w:val="20"/>
                <w:szCs w:val="20"/>
              </w:rPr>
              <w:t xml:space="preserve">1</w:t>
            </w:r>
          </w:p>
        </w:tc>
        <w:tc>
          <w:tcPr>
            <w:tcW w:type="dxa" w:w="3400"/>
          </w:tcPr>
          <w:p>
            <w:r>
              <w:rPr>
                <w:b w:val="false"/>
                <w:bCs w:val="false"/>
                <w:color w:val="000000"/>
                <w:sz w:val="20"/>
                <w:szCs w:val="20"/>
              </w:rPr>
              <w:t xml:space="preserve">Rectángulo (esquinas redondeadas)</w:t>
            </w:r>
          </w:p>
        </w:tc>
        <w:tc>
          <w:tcPr>
            <w:tcW w:type="dxa" w:w="4200"/>
          </w:tcPr>
          <w:p>
            <w:r>
              <w:rPr>
                <w:b w:val="false"/>
                <w:bCs w:val="false"/>
                <w:color w:val="000000"/>
                <w:sz w:val="20"/>
                <w:szCs w:val="20"/>
              </w:rPr>
              <w:t xml:space="preserve">sd_round_box — a construir</w:t>
            </w:r>
          </w:p>
        </w:tc>
      </w:tr>
      <w:tr>
        <w:tc>
          <w:tcPr>
            <w:tcW w:type="dxa" w:w="1400"/>
          </w:tcPr>
          <w:p>
            <w:r>
              <w:rPr>
                <w:b w:val="false"/>
                <w:bCs w:val="false"/>
                <w:color w:val="000000"/>
                <w:sz w:val="20"/>
                <w:szCs w:val="20"/>
              </w:rPr>
              <w:t xml:space="preserve">2</w:t>
            </w:r>
          </w:p>
        </w:tc>
        <w:tc>
          <w:tcPr>
            <w:tcW w:type="dxa" w:w="3400"/>
          </w:tcPr>
          <w:p>
            <w:r>
              <w:rPr>
                <w:b w:val="false"/>
                <w:bCs w:val="false"/>
                <w:color w:val="000000"/>
                <w:sz w:val="20"/>
                <w:szCs w:val="20"/>
              </w:rPr>
              <w:t xml:space="preserve">Triángulo equilátero</w:t>
            </w:r>
          </w:p>
        </w:tc>
        <w:tc>
          <w:tcPr>
            <w:tcW w:type="dxa" w:w="4200"/>
          </w:tcPr>
          <w:p>
            <w:r>
              <w:rPr>
                <w:b w:val="false"/>
                <w:bCs w:val="false"/>
                <w:color w:val="000000"/>
                <w:sz w:val="20"/>
                <w:szCs w:val="20"/>
              </w:rPr>
              <w:t xml:space="preserve">sd_equilateral_triangle — a construir</w:t>
            </w:r>
          </w:p>
        </w:tc>
      </w:tr>
      <w:tr>
        <w:tc>
          <w:tcPr>
            <w:tcW w:type="dxa" w:w="1400"/>
          </w:tcPr>
          <w:p>
            <w:r>
              <w:rPr>
                <w:b w:val="false"/>
                <w:bCs w:val="false"/>
                <w:color w:val="000000"/>
                <w:sz w:val="20"/>
                <w:szCs w:val="20"/>
              </w:rPr>
              <w:t xml:space="preserve">3</w:t>
            </w:r>
          </w:p>
        </w:tc>
        <w:tc>
          <w:tcPr>
            <w:tcW w:type="dxa" w:w="3400"/>
          </w:tcPr>
          <w:p>
            <w:r>
              <w:rPr>
                <w:b w:val="false"/>
                <w:bCs w:val="false"/>
                <w:color w:val="000000"/>
                <w:sz w:val="20"/>
                <w:szCs w:val="20"/>
              </w:rPr>
              <w:t xml:space="preserve">Estrella / polígono regular</w:t>
            </w:r>
          </w:p>
        </w:tc>
        <w:tc>
          <w:tcPr>
            <w:tcW w:type="dxa" w:w="4200"/>
          </w:tcPr>
          <w:p>
            <w:r>
              <w:rPr>
                <w:b w:val="false"/>
                <w:bCs w:val="false"/>
                <w:color w:val="000000"/>
                <w:sz w:val="20"/>
                <w:szCs w:val="20"/>
              </w:rPr>
              <w:t xml:space="preserve">sd_star — a construir</w:t>
            </w:r>
          </w:p>
        </w:tc>
      </w:tr>
    </w:tbl>
    <w:p>
      <w:pPr>
        <w:spacing w:after="160"/>
      </w:pPr>
      <w:r>
        <w:t xml:space="preserve"/>
      </w:r>
    </w:p>
    <w:p>
      <w:pPr>
        <w:spacing w:after="160"/>
      </w:pPr>
      <w:r>
        <w:t xml:space="preserve">Se evaluaron y descartaron como dependencia externa: Skia (peso de binario y build system propio GN/Ninja — no, como se argumentó en la v2, por "necesidad de recompositar salida rasterizada", ya que ese costo de composición a textura existiría igual con cualquier renderer externo), Blend2D (más liviano, candidato solo si se necesitan operaciones que SDF no resuelve bien) y NanoVG (mantenimiento limitado).</w:t>
      </w:r>
    </w:p>
    <w:p>
      <w:pPr>
        <w:pStyle w:val="Heading2"/>
        <w:spacing w:after="120" w:before="240"/>
      </w:pPr>
      <w:r>
        <w:t xml:space="preserve">4.3 Nodo SDFShape2D (propuesto)</w:t>
      </w:r>
    </w:p>
    <w:p>
      <w:pPr>
        <w:spacing w:after="160"/>
      </w:pPr>
      <w:r>
        <w:t xml:space="preserve">Nodo Node2D (@tool) que envolvería el shader, exponiendo tipo, tamaño, radio de esquina, lados, ratio de estrella y colores desde el Inspector.</w:t>
      </w:r>
    </w:p>
    <w:p>
      <w:pPr>
        <w:pBdr>
          <w:left w:val="single" w:color="2F5496" w:sz="16" w:space="8"/>
        </w:pBdr>
        <w:shd w:fill="EEF3FB" w:val="clear"/>
        <w:spacing w:after="160"/>
        <w:ind w:left="120"/>
      </w:pPr>
      <w:r>
        <w:rPr>
          <w:b/>
          <w:bCs/>
          <w:color w:val="2F5496"/>
        </w:rPr>
        <w:t xml:space="preserve">Nota de diseño: </w:t>
      </w:r>
      <w:r>
        <w:t xml:space="preserve">El diseño original de la v2 apoyaba el shader sobre un ColorRect interno. ColorRect es un Control, no un Node2D — mezclar la rama de UI (Control) dentro de un árbol de escena pensado en Node2D es el mismo tipo de mismatch de sistemas de coordenadas que ya causó bugs de overlay documentados en este proyecto (bounding box, sección de fundamentos previos). La alternativa más consistente con el resto de la arquitectura es un Node2D propio con _draw() + ShaderMaterial, que evita el Control sin perder precisión analítica a cualquier zoom.</w:t>
      </w:r>
    </w:p>
    <w:p>
      <w:pPr>
        <w:spacing w:after="160"/>
      </w:pPr>
      <w:r>
        <w:t xml:space="preserve">Al abandonar Polygon2D se pierde el hit-testing nativo que ese nodo ofrece. La propuesta original resolvía esto replicando las fórmulas SDF en GDScript puro (is_point_inside()). Es la decisión correcta pero implica dos fuentes de verdad — shader GLSL y GDScript — que deben mantenerse matemáticamente idénticas; sin un test de regresión que muestree puntos y compare ambas evaluaciones, divergirán con el primer cambio de fórmula que se edite en un solo lado.</w:t>
      </w:r>
    </w:p>
    <w:p>
      <w:pPr>
        <w:pStyle w:val="Heading2"/>
        <w:spacing w:after="120" w:before="240"/>
      </w:pPr>
      <w:r>
        <w:t xml:space="preserve">4.4 Operaciones booleanas no destructivas (propuesto)</w:t>
      </w:r>
    </w:p>
    <w:p>
      <w:pPr>
        <w:shd w:fill="F2F2F2" w:val="clear"/>
        <w:spacing w:after="160"/>
      </w:pPr>
      <w:r>
        <w:rPr>
          <w:rFonts w:ascii="Consolas" w:cs="Consolas" w:eastAsia="Consolas" w:hAnsi="Consolas"/>
          <w:sz w:val="19"/>
          <w:szCs w:val="19"/>
        </w:rPr>
        <w:t xml:space="preserve">union      = min(sdf_a, sdf_b)
intersect  = max(sdf_a, sdf_b)
subtract   = max(sdf_a, -sdf_b)
smooth_u   = -log2(exp2(-k*sdf_a) + exp2(-k*sdf_b)) / k</w:t>
      </w:r>
    </w:p>
    <w:p>
      <w:pPr>
        <w:spacing w:after="160"/>
      </w:pPr>
      <w:r>
        <w:t xml:space="preserve">Con operadores duros (no smooth_u), la clasificación interior/exterior del resultado sí coincide con la de un boolean subtract clásico tipo Weiler–Atherton — el conjunto de puntos "dentro" es el mismo recorte que un usuario de Illustrator esperaría. Lo que sí es cierto es que el campo de distancia combinado deja de ser una distancia euclidiana exacta lejos del borde tras la composición (es una cota, no una distancia real), lo que puede degradar el antialiasing con smoothstep()/fwidth() cerca de las zonas de unión entre formas, sobre todo con smooth_u. Es el matiz a documentar, más preciso que descartar la equivalencia booleana por completo.</w:t>
      </w:r>
    </w:p>
    <w:p>
      <w:pPr>
        <w:pBdr>
          <w:left w:val="single" w:color="2F5496" w:sz="16" w:space="8"/>
        </w:pBdr>
        <w:shd w:fill="EEF3FB" w:val="clear"/>
        <w:spacing w:after="160"/>
        <w:ind w:left="120"/>
      </w:pPr>
      <w:r>
        <w:rPr>
          <w:b/>
          <w:bCs/>
          <w:color w:val="2F5496"/>
        </w:rPr>
        <w:t xml:space="preserve">Nota de diseño: </w:t>
      </w:r>
      <w:r>
        <w:t xml:space="preserve">El shader combinado crece con cada forma del grupo: una evaluación SDF adicional por unión/intersección. En GPU móvil de gama baja, recompilar ese shader al añadir una forma más a un grupo grande puede introducir una pausa perceptible (del orden de 1–2s), distinta del costo de evaluación por frame que sí resuelve el cacheo a SubViewport. Antes de fijar VectoSDF como objetivo de la sección 5, hace falta perfilar este caso en hardware real (Mali-400 / Adreno 305) con grupos de tamaño creciente (5, 15, 30+ formas) para fijar un límite práctico recomendado.</w:t>
      </w:r>
    </w:p>
    <w:p>
      <w:pPr>
        <w:pBdr>
          <w:left w:val="single" w:color="2F5496" w:sz="16" w:space="8"/>
        </w:pBdr>
        <w:shd w:fill="EEF3FB" w:val="clear"/>
        <w:spacing w:after="160"/>
        <w:ind w:left="120"/>
      </w:pPr>
      <w:r>
        <w:rPr>
          <w:b/>
          <w:bCs/>
          <w:color w:val="2F5496"/>
        </w:rPr>
        <w:t xml:space="preserve">Nota de diseño: </w:t>
      </w:r>
      <w:r>
        <w:t xml:space="preserve">El SubViewport cacheado hornea el resultado a una resolución de píxeles fija en el momento de la captura. Si luego se hace zoom in agresivo sobre ese grupo, el resultado cacheado se pixela — la garantía de "precisión infinita a cualquier zoom" que sí vale para una forma SDF individual no se sostiene automáticamente para un grupo booleano cacheado. La invalidación del cache debe disparase no solo cuando cambia el árbol de operaciones, sino también cuando el nivel de zoom supera la resolución de bake.</w:t>
      </w:r>
    </w:p>
    <w:p>
      <w:pPr>
        <w:pBdr>
          <w:left w:val="single" w:color="2F5496" w:sz="16" w:space="8"/>
        </w:pBdr>
        <w:shd w:fill="EEF3FB" w:val="clear"/>
        <w:spacing w:after="160"/>
        <w:ind w:left="120"/>
      </w:pPr>
      <w:r>
        <w:rPr>
          <w:b/>
          <w:bCs/>
          <w:color w:val="2F5496"/>
        </w:rPr>
        <w:t xml:space="preserve">Nota de diseño: </w:t>
      </w:r>
      <w:r>
        <w:t xml:space="preserve">El proyecto tendría, en este diseño, dos pipelines de renderizado completamente distintos: SDF para primitivas y geometría teselada (Line2D/Path2D) para trazo libre. Cualquier operación entre ambos —por ejemplo recortar un path Bézier con un círculo SDF— no tiene un camino directo y probablemente exige caer a CPU/rasterización intermedia. No hay que resolverlo en la primera iteración, pero conviene documentarlo como límite conocido desde el diseño, no descubrirlo en producción.</w:t>
      </w:r>
    </w:p>
    <w:p>
      <w:pPr>
        <w:pStyle w:val="Heading2"/>
        <w:spacing w:after="120" w:before="240"/>
      </w:pPr>
      <w:r>
        <w:t xml:space="preserve">4.5 Interoperabilidad: SVG y .tscn (propuesto)</w:t>
      </w:r>
    </w:p>
    <w:p>
      <w:pPr>
        <w:spacing w:after="160"/>
      </w:pPr>
      <w:r>
        <w:t xml:space="preserve">El objetivo es compatibilidad SVG bidireccional completa: importar un SVG externo debería reconstruir un árbol de nodos SDFShape2D / curvas Bézier editable, no una imagen rasterizada. Esto es una ampliación real de lo que ya existe (2.5): el parser SVG actual sí lee comandos M/L/Z pero no reconstruye curvas Bézier — ese es el trabajo pendiente concreto, no un sistema nuevo desde cero.</w:t>
      </w:r>
    </w:p>
    <w:p>
      <w:pPr>
        <w:spacing w:after="160"/>
      </w:pPr>
      <w:r>
        <w:t xml:space="preserve">La exportación .tscn nativa, tal como está soñada en la v2 (nodos SDFShape2D reales dentro de un .tscn válido), requiere además resolver un problema de distribución no mencionado antes: un .tscn con un nodo custom como SDFShape2D solo se abre correctamente en un proyecto Godot que tenga el addon correspondiente registrado; sin él, el nodo aparece como "missing". Esto es indiferente al estado actual del exportador (que, como se documentó en 2.5, ni siquiera escribe un .tscn real todavía) — es una restricción a documentar antes de anunciar la función como lista.</w:t>
      </w:r>
    </w:p>
    <w:p>
      <w:pPr>
        <w:pStyle w:val="Heading2"/>
        <w:spacing w:after="120" w:before="240"/>
      </w:pPr>
      <w:r>
        <w:t xml:space="preserve">4.6 Extensibilidad: plugins y motor de scripting (propuesto)</w:t>
      </w:r>
    </w:p>
    <w:p>
      <w:pPr>
        <w:spacing w:after="160"/>
      </w:pPr>
      <w:r>
        <w:t xml:space="preserve">Al estar construido sobre Godot, el editor podría heredar el propio sistema de plugins del motor (EditorPlugin, @tool scripts) en vez de diseñar un formato propio. GDScript cubriría la mayoría de extensiones; C++ vía GDExtension quedaría reservado para casos de alto rendimiento, en línea con el port ya realizado de "Scalable Vector Shapes 2D" documentado como fundamento previo del proyecto.</w:t>
      </w:r>
    </w:p>
    <w:p>
      <w:pPr>
        <w:spacing w:after="160"/>
      </w:pPr>
      <w:r>
        <w:t xml:space="preserve">Un motor de scripting embebido (candidato natural: GDScript, sobre la misma API pública que usarían los plugins) permitiría automatizar tareas repetitivas sobre el árbol de nodos del artboard: generación paramétrica de formas, procesamiento por lotes, exportación programática.</w:t>
      </w:r>
    </w:p>
    <w:p>
      <w:pPr>
        <w:pStyle w:val="Heading2"/>
        <w:spacing w:after="120" w:before="240"/>
      </w:pPr>
      <w:r>
        <w:t xml:space="preserve">4.7 Exportación e integración web (propuesto, exploratorio)</w:t>
      </w:r>
    </w:p>
    <w:p>
      <w:pPr>
        <w:spacing w:after="160"/>
      </w:pPr>
      <w:r>
        <w:t xml:space="preserve">Un árbol de nodos tipado con formas definidas matemáticamente (SDF, curvas Bézier) tiene, en principio, la información necesaria para exportar no solo una imagen sino un gráfico interactivo: coordenadas y agrupaciones traducibles a SVG animable o a marcado HTML/CSS por capa. Condicionado a que la exportación SVG real (4.5) esté primero completa, ya que la comparte como formato subyacente.</w:t>
      </w:r>
    </w:p>
    <w:p>
      <w:pPr>
        <w:pStyle w:val="Heading2"/>
        <w:spacing w:after="120" w:before="240"/>
      </w:pPr>
      <w:r>
        <w:t xml:space="preserve">4.8 Colaboración en tiempo real (propuesto, largo plazo)</w:t>
      </w:r>
    </w:p>
    <w:p>
      <w:pPr>
        <w:spacing w:after="160"/>
      </w:pPr>
      <w:r>
        <w:t xml:space="preserve">La pieza de mayor complejidad de todo el diseño: requiere resolución de conflictos sobre el árbol de nodos (o un modelo tipo CRDT/OT independiente), sincronización de red de baja latencia, y una capa de presencia visual (cursores remotos, reutilizando el patrón de overlay a z_index alto que ya usa el BoundingBox real de selección, sección 2). Se documenta como dirección de exploración, condicionada a que la arquitectura de nodos y el modelo no destructivo de 4.3–4.4 estén estables — para no rediseñar la sincronización si el modelo de datos subyacente cambia.</w:t>
      </w:r>
    </w:p>
    <w:p>
      <w:pPr>
        <w:pStyle w:val="Heading1"/>
        <w:spacing w:after="160" w:before="320"/>
      </w:pPr>
      <w:r>
        <w:t xml:space="preserve">5. Hoja de ruta priorizada</w:t>
      </w:r>
    </w:p>
    <w:p>
      <w:pPr>
        <w:pStyle w:val="Heading3"/>
        <w:spacing w:after="100" w:before="200"/>
      </w:pPr>
      <w:r>
        <w:t xml:space="preserve">5.1 Prioridad inmediata — bugs confirmados en el código actual</w:t>
      </w:r>
    </w:p>
    <w:p>
      <w:pPr>
        <w:pStyle w:val="ListParagraph"/>
        <w:numPr>
          <w:ilvl w:val="0"/>
          <w:numId w:val="2"/>
        </w:numPr>
        <w:spacing w:after="80"/>
      </w:pPr>
      <w:r>
        <w:t xml:space="preserve">Corregir ToolManager.get_available_tools() (línea 258): usa name en vez de tool_name.</w:t>
      </w:r>
    </w:p>
    <w:p>
      <w:pPr>
        <w:pStyle w:val="ListParagraph"/>
        <w:numPr>
          <w:ilvl w:val="0"/>
          <w:numId w:val="2"/>
        </w:numPr>
        <w:spacing w:after="80"/>
      </w:pPr>
      <w:r>
        <w:t xml:space="preserve">Poner anti_aliasing/quality/msaa_2d=0 en project.godot — el valor actual (3) es incompatible con gl_compatibility y produce error al iniciar.</w:t>
      </w:r>
    </w:p>
    <w:p>
      <w:pPr>
        <w:pStyle w:val="ListParagraph"/>
        <w:numPr>
          <w:ilvl w:val="0"/>
          <w:numId w:val="2"/>
        </w:numPr>
        <w:spacing w:after="80"/>
      </w:pPr>
      <w:r>
        <w:t xml:space="preserve">Activar antialiased=true (o migrar a SDF) en CircleTool, TriangleTool y RectangleTool — hoy ninguna de las tres lo tiene, no solo en preview.</w:t>
      </w:r>
    </w:p>
    <w:p>
      <w:pPr>
        <w:pStyle w:val="ListParagraph"/>
        <w:numPr>
          <w:ilvl w:val="0"/>
          <w:numId w:val="2"/>
        </w:numPr>
        <w:spacing w:after="80"/>
      </w:pPr>
      <w:r>
        <w:t xml:space="preserve">Corregir ObjectPool._reset_instance() para dejar de referenciar SelectionBox, ShapePreview y ArtboardTitle, eliminados del POOL_CONFIG.</w:t>
      </w:r>
    </w:p>
    <w:p>
      <w:pPr>
        <w:pStyle w:val="ListParagraph"/>
        <w:numPr>
          <w:ilvl w:val="0"/>
          <w:numId w:val="2"/>
        </w:numPr>
        <w:spacing w:after="80"/>
      </w:pPr>
      <w:r>
        <w:t xml:space="preserve">Decidir y unificar el sistema de herramientas (ToolManager scene-based vs. CanvasEditor direct-script) como fuente única de verdad.</w:t>
      </w:r>
    </w:p>
    <w:p>
      <w:pPr>
        <w:pStyle w:val="Heading3"/>
        <w:spacing w:after="100" w:before="200"/>
      </w:pPr>
      <w:r>
        <w:t xml:space="preserve">5.2 Corto plazo</w:t>
      </w:r>
    </w:p>
    <w:p>
      <w:pPr>
        <w:pStyle w:val="ListParagraph"/>
        <w:numPr>
          <w:ilvl w:val="0"/>
          <w:numId w:val="2"/>
        </w:numPr>
        <w:spacing w:after="80"/>
      </w:pPr>
      <w:r>
        <w:t xml:space="preserve">Declarar data_export_started en GlobalEvents en vez de emitirlo directamente desde ImportExportManager.</w:t>
      </w:r>
    </w:p>
    <w:p>
      <w:pPr>
        <w:pStyle w:val="ListParagraph"/>
        <w:numPr>
          <w:ilvl w:val="0"/>
          <w:numId w:val="2"/>
        </w:numPr>
        <w:spacing w:after="80"/>
      </w:pPr>
      <w:r>
        <w:t xml:space="preserve">Implementar de verdad _export_tscn() y _export_scn() (hoy escriben JSON con extensión .tscn/.scn, no una escena Godot válida).</w:t>
      </w:r>
    </w:p>
    <w:p>
      <w:pPr>
        <w:pStyle w:val="ListParagraph"/>
        <w:numPr>
          <w:ilvl w:val="0"/>
          <w:numId w:val="2"/>
        </w:numPr>
        <w:spacing w:after="80"/>
      </w:pPr>
      <w:r>
        <w:t xml:space="preserve">Completar los casos declarados-pero-no-implementados: JPEG real, WEBP, EPS real.</w:t>
      </w:r>
    </w:p>
    <w:p>
      <w:pPr>
        <w:pStyle w:val="ListParagraph"/>
        <w:numPr>
          <w:ilvl w:val="0"/>
          <w:numId w:val="2"/>
        </w:numPr>
        <w:spacing w:after="80"/>
      </w:pPr>
      <w:r>
        <w:t xml:space="preserve">Eliminar las ~540L duplicadas entre scripts de botones de toolbar, parametrizando un único componente.</w:t>
      </w:r>
    </w:p>
    <w:p>
      <w:pPr>
        <w:pStyle w:val="ListParagraph"/>
        <w:numPr>
          <w:ilvl w:val="0"/>
          <w:numId w:val="2"/>
        </w:numPr>
        <w:spacing w:after="80"/>
      </w:pPr>
      <w:r>
        <w:t xml:space="preserve">Consolidar los 6 directorios de scripts dispersos en una estructura única.</w:t>
      </w:r>
    </w:p>
    <w:p>
      <w:pPr>
        <w:pStyle w:val="ListParagraph"/>
        <w:numPr>
          <w:ilvl w:val="0"/>
          <w:numId w:val="2"/>
        </w:numPr>
        <w:spacing w:after="80"/>
      </w:pPr>
      <w:r>
        <w:t xml:space="preserve">Agregar tests (gdUnit4) para DataRepository: CRUD y undo/redo como mínimo, dado 0% de cobertura actual.</w:t>
      </w:r>
    </w:p>
    <w:p>
      <w:pPr>
        <w:pStyle w:val="Heading3"/>
        <w:spacing w:after="100" w:before="200"/>
      </w:pPr>
      <w:r>
        <w:t xml:space="preserve">5.3 Medio plazo</w:t>
      </w:r>
    </w:p>
    <w:p>
      <w:pPr>
        <w:pStyle w:val="ListParagraph"/>
        <w:numPr>
          <w:ilvl w:val="0"/>
          <w:numId w:val="2"/>
        </w:numPr>
        <w:spacing w:after="80"/>
      </w:pPr>
      <w:r>
        <w:t xml:space="preserve">Separar DataRepository (1349L) en ProjectManager + UndoRedoManager + SessionManager.</w:t>
      </w:r>
    </w:p>
    <w:p>
      <w:pPr>
        <w:pStyle w:val="ListParagraph"/>
        <w:numPr>
          <w:ilvl w:val="0"/>
          <w:numId w:val="2"/>
        </w:numPr>
        <w:spacing w:after="80"/>
      </w:pPr>
      <w:r>
        <w:t xml:space="preserve">Reconstrucción real de curvas Bézier en el importador SVG (hoy solo M/L/Z).</w:t>
      </w:r>
    </w:p>
    <w:p>
      <w:pPr>
        <w:pStyle w:val="ListParagraph"/>
        <w:numPr>
          <w:ilvl w:val="0"/>
          <w:numId w:val="2"/>
        </w:numPr>
        <w:spacing w:after="80"/>
      </w:pPr>
      <w:r>
        <w:t xml:space="preserve">Generalizar el shader real (sdf_circle.gdshader) a sd_round_box y sd_equilateral_triangle — primeras dos primitivas de VectoSDF (sección 4.2), como paso previo a SDFShape2D completo.</w:t>
      </w:r>
    </w:p>
    <w:p>
      <w:pPr>
        <w:pStyle w:val="ListParagraph"/>
        <w:numPr>
          <w:ilvl w:val="0"/>
          <w:numId w:val="2"/>
        </w:numPr>
        <w:spacing w:after="80"/>
      </w:pPr>
      <w:r>
        <w:t xml:space="preserve">Perfilar el prototipo SDF en hardware de gama baja antes de comprometer el resto de VectoSDF al roadmap.</w:t>
      </w:r>
    </w:p>
    <w:p>
      <w:pPr>
        <w:pStyle w:val="Heading3"/>
        <w:spacing w:after="100" w:before="200"/>
      </w:pPr>
      <w:r>
        <w:t xml:space="preserve">5.4 Largo plazo — VectoSDF completo y exploratorio</w:t>
      </w:r>
    </w:p>
    <w:p>
      <w:pPr>
        <w:pStyle w:val="ListParagraph"/>
        <w:numPr>
          <w:ilvl w:val="0"/>
          <w:numId w:val="2"/>
        </w:numPr>
        <w:spacing w:after="80"/>
      </w:pPr>
      <w:r>
        <w:t xml:space="preserve">Nodo SDFShape2D, hit-testing en CPU con test de regresión shader↔GDScript, operaciones booleanas con SubViewport cacheado (sección 4.3–4.4).</w:t>
      </w:r>
    </w:p>
    <w:p>
      <w:pPr>
        <w:pStyle w:val="ListParagraph"/>
        <w:numPr>
          <w:ilvl w:val="0"/>
          <w:numId w:val="2"/>
        </w:numPr>
        <w:spacing w:after="80"/>
      </w:pPr>
      <w:r>
        <w:t xml:space="preserve">Exportación .tscn nativa con nodos reales, resolviendo la dependencia de addon en el proyecto destino (sección 4.5).</w:t>
      </w:r>
    </w:p>
    <w:p>
      <w:pPr>
        <w:pStyle w:val="ListParagraph"/>
        <w:numPr>
          <w:ilvl w:val="0"/>
          <w:numId w:val="2"/>
        </w:numPr>
        <w:spacing w:after="80"/>
      </w:pPr>
      <w:r>
        <w:t xml:space="preserve">Sistema de plugins (GDScript + GDExtension C++) y motor de scripting para automatización (sección 4.6).</w:t>
      </w:r>
    </w:p>
    <w:p>
      <w:pPr>
        <w:pStyle w:val="ListParagraph"/>
        <w:numPr>
          <w:ilvl w:val="0"/>
          <w:numId w:val="2"/>
        </w:numPr>
        <w:spacing w:after="80"/>
      </w:pPr>
      <w:r>
        <w:t xml:space="preserve">Exportación HTML/CSS para gráficos interactivos (sección 4.7).</w:t>
      </w:r>
    </w:p>
    <w:p>
      <w:pPr>
        <w:pStyle w:val="ListParagraph"/>
        <w:numPr>
          <w:ilvl w:val="0"/>
          <w:numId w:val="2"/>
        </w:numPr>
        <w:spacing w:after="80"/>
      </w:pPr>
      <w:r>
        <w:t xml:space="preserve">Colaboración en tiempo real multi-usuario (sección 4.8).</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2026-07-18T16:04:02.999Z</dcterms:created>
  <dcterms:modified xsi:type="dcterms:W3CDTF">2026-07-18T16:04:03.012Z</dcterms:modified>
</cp:coreProperties>
</file>

<file path=docProps/custom.xml><?xml version="1.0" encoding="utf-8"?>
<Properties xmlns="http://schemas.openxmlformats.org/officeDocument/2006/custom-properties" xmlns:vt="http://schemas.openxmlformats.org/officeDocument/2006/docPropsVTypes"/>
</file>