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5FEE" w:rsidRDefault="00776C4E">
      <w:r>
        <w:t xml:space="preserve">Caria’s </w:t>
      </w:r>
    </w:p>
    <w:p w:rsidR="00776C4E" w:rsidRDefault="00776C4E" w:rsidP="00776C4E">
      <w:pPr>
        <w:pStyle w:val="p1"/>
        <w:numPr>
          <w:ilvl w:val="0"/>
          <w:numId w:val="1"/>
        </w:numPr>
      </w:pPr>
      <w:r>
        <w:rPr>
          <w:b/>
          <w:bCs/>
        </w:rPr>
        <w:t>Dynamic assignment means history matters</w:t>
      </w:r>
    </w:p>
    <w:p w:rsidR="00776C4E" w:rsidRDefault="00776C4E" w:rsidP="00776C4E">
      <w:pPr>
        <w:pStyle w:val="p2"/>
        <w:ind w:left="720"/>
      </w:pPr>
      <w:r>
        <w:t> </w:t>
      </w:r>
      <w:r>
        <w:t>1.1 In Caria’s adaptive setup, a person (or unit) may have been treated in earlier iterations and later drawn as control.</w:t>
      </w:r>
    </w:p>
    <w:p w:rsidR="00776C4E" w:rsidRDefault="00776C4E" w:rsidP="00776C4E">
      <w:pPr>
        <w:pStyle w:val="p2"/>
        <w:ind w:left="720"/>
      </w:pPr>
      <w:r>
        <w:t> </w:t>
      </w:r>
      <w:r>
        <w:t xml:space="preserve">1.2 When that happens, their current outcome reflects both </w:t>
      </w:r>
      <w:r>
        <w:rPr>
          <w:rStyle w:val="s1"/>
          <w:rFonts w:eastAsiaTheme="majorEastAsia"/>
          <w:b/>
          <w:bCs/>
        </w:rPr>
        <w:t>current assignment</w:t>
      </w:r>
      <w:r>
        <w:t xml:space="preserve"> and </w:t>
      </w:r>
      <w:r>
        <w:rPr>
          <w:rStyle w:val="s1"/>
          <w:rFonts w:eastAsiaTheme="majorEastAsia"/>
          <w:b/>
          <w:bCs/>
        </w:rPr>
        <w:t>past exposure history</w:t>
      </w:r>
      <w:r>
        <w:t xml:space="preserve"> — so they’re not a “pure” control in the traditional sense.</w:t>
      </w:r>
    </w:p>
    <w:p w:rsidR="00776C4E" w:rsidRDefault="00776C4E" w:rsidP="00776C4E">
      <w:pPr>
        <w:pStyle w:val="p1"/>
        <w:numPr>
          <w:ilvl w:val="0"/>
          <w:numId w:val="1"/>
        </w:numPr>
      </w:pPr>
      <w:r>
        <w:rPr>
          <w:b/>
          <w:bCs/>
        </w:rPr>
        <w:t>How this is handled statistically</w:t>
      </w:r>
    </w:p>
    <w:p w:rsidR="00776C4E" w:rsidRDefault="00776C4E" w:rsidP="00776C4E">
      <w:pPr>
        <w:pStyle w:val="p2"/>
        <w:ind w:left="720"/>
      </w:pPr>
      <w:r>
        <w:t> </w:t>
      </w:r>
      <w:r>
        <w:t xml:space="preserve">2.1 The algorithm and estimation framework recognize that treatment assignment is </w:t>
      </w:r>
      <w:r>
        <w:rPr>
          <w:rStyle w:val="s1"/>
          <w:rFonts w:eastAsiaTheme="majorEastAsia"/>
          <w:b/>
          <w:bCs/>
        </w:rPr>
        <w:t>sequentially random but history-dependent.</w:t>
      </w:r>
    </w:p>
    <w:p w:rsidR="00776C4E" w:rsidRDefault="00776C4E" w:rsidP="00776C4E">
      <w:pPr>
        <w:pStyle w:val="p2"/>
        <w:ind w:left="720"/>
      </w:pPr>
      <w:r>
        <w:t> </w:t>
      </w:r>
      <w:r>
        <w:t>2.2 To obtain unbiased estimates of period-</w:t>
      </w:r>
      <w:r>
        <w:rPr>
          <w:rStyle w:val="s2"/>
          <w:rFonts w:eastAsiaTheme="majorEastAsia"/>
        </w:rPr>
        <w:t>t</w:t>
      </w:r>
      <w:r>
        <w:t xml:space="preserve"> treatment effects, the analysis conditions on the assignment probabilities and uses </w:t>
      </w:r>
      <w:r>
        <w:rPr>
          <w:rStyle w:val="s1"/>
          <w:rFonts w:eastAsiaTheme="majorEastAsia"/>
          <w:b/>
          <w:bCs/>
        </w:rPr>
        <w:t>inverse-probability weighting (IPW)</w:t>
      </w:r>
      <w:r>
        <w:t xml:space="preserve"> or Bayesian updating.</w:t>
      </w:r>
    </w:p>
    <w:p w:rsidR="00776C4E" w:rsidRDefault="00776C4E" w:rsidP="00776C4E">
      <w:pPr>
        <w:pStyle w:val="p2"/>
        <w:ind w:left="720"/>
      </w:pPr>
      <w:r>
        <w:t> </w:t>
      </w:r>
      <w:r>
        <w:t> </w:t>
      </w:r>
      <w:r>
        <w:t xml:space="preserve">– Each observation gets weighted by </w:t>
      </w:r>
      <w:r>
        <w:rPr>
          <w:rStyle w:val="s2"/>
          <w:rFonts w:eastAsiaTheme="majorEastAsia"/>
        </w:rPr>
        <w:t>1 / p_{</w:t>
      </w:r>
      <w:proofErr w:type="spellStart"/>
      <w:proofErr w:type="gramStart"/>
      <w:r>
        <w:rPr>
          <w:rStyle w:val="s2"/>
          <w:rFonts w:eastAsiaTheme="majorEastAsia"/>
        </w:rPr>
        <w:t>i,t</w:t>
      </w:r>
      <w:proofErr w:type="spellEnd"/>
      <w:proofErr w:type="gramEnd"/>
      <w:r>
        <w:rPr>
          <w:rStyle w:val="s2"/>
          <w:rFonts w:eastAsiaTheme="majorEastAsia"/>
        </w:rPr>
        <w:t>}</w:t>
      </w:r>
      <w:r>
        <w:t xml:space="preserve"> (if treated) or </w:t>
      </w:r>
      <w:r>
        <w:rPr>
          <w:rStyle w:val="s2"/>
          <w:rFonts w:eastAsiaTheme="majorEastAsia"/>
        </w:rPr>
        <w:t>1 / (1 - p_{</w:t>
      </w:r>
      <w:proofErr w:type="spellStart"/>
      <w:proofErr w:type="gramStart"/>
      <w:r>
        <w:rPr>
          <w:rStyle w:val="s2"/>
          <w:rFonts w:eastAsiaTheme="majorEastAsia"/>
        </w:rPr>
        <w:t>i,t</w:t>
      </w:r>
      <w:proofErr w:type="spellEnd"/>
      <w:proofErr w:type="gramEnd"/>
      <w:r>
        <w:rPr>
          <w:rStyle w:val="s2"/>
          <w:rFonts w:eastAsiaTheme="majorEastAsia"/>
        </w:rPr>
        <w:t>})</w:t>
      </w:r>
      <w:r>
        <w:t xml:space="preserve"> (if untreated).</w:t>
      </w:r>
    </w:p>
    <w:p w:rsidR="00776C4E" w:rsidRDefault="00776C4E" w:rsidP="00776C4E">
      <w:pPr>
        <w:pStyle w:val="p2"/>
        <w:ind w:left="720"/>
      </w:pPr>
      <w:r>
        <w:t> </w:t>
      </w:r>
      <w:r>
        <w:t> </w:t>
      </w:r>
      <w:r>
        <w:t>– This rebalances the sample to what it would look like under a uniform (non-adaptive) randomization scheme.</w:t>
      </w:r>
    </w:p>
    <w:p w:rsidR="00776C4E" w:rsidRDefault="00776C4E" w:rsidP="00776C4E">
      <w:pPr>
        <w:pStyle w:val="p1"/>
        <w:numPr>
          <w:ilvl w:val="0"/>
          <w:numId w:val="1"/>
        </w:numPr>
      </w:pPr>
      <w:r>
        <w:rPr>
          <w:b/>
          <w:bCs/>
        </w:rPr>
        <w:t>Intuition for identification</w:t>
      </w:r>
    </w:p>
    <w:p w:rsidR="00776C4E" w:rsidRDefault="00776C4E" w:rsidP="00776C4E">
      <w:pPr>
        <w:pStyle w:val="p2"/>
        <w:ind w:left="720"/>
      </w:pPr>
      <w:r>
        <w:t> </w:t>
      </w:r>
      <w:r>
        <w:t xml:space="preserve">– Even though an individual’s past treatment may affect current outcomes, the key identifying variation comes from the </w:t>
      </w:r>
      <w:r>
        <w:rPr>
          <w:rStyle w:val="s1"/>
          <w:rFonts w:eastAsiaTheme="majorEastAsia"/>
          <w:b/>
          <w:bCs/>
        </w:rPr>
        <w:t>current-period randomization conditional on the algorithm’s information set</w:t>
      </w:r>
      <w:r>
        <w:t>.</w:t>
      </w:r>
    </w:p>
    <w:p w:rsidR="00776C4E" w:rsidRDefault="00776C4E" w:rsidP="00776C4E">
      <w:pPr>
        <w:pStyle w:val="p2"/>
        <w:ind w:left="720"/>
      </w:pPr>
      <w:r>
        <w:t> </w:t>
      </w:r>
      <w:r>
        <w:t>– The IPW correction accounts for the fact that some units were more (or less) likely to receive treatment given their history.</w:t>
      </w:r>
    </w:p>
    <w:p w:rsidR="00776C4E" w:rsidRDefault="00776C4E" w:rsidP="00776C4E">
      <w:pPr>
        <w:pStyle w:val="p2"/>
        <w:ind w:left="720"/>
      </w:pPr>
      <w:r>
        <w:t> </w:t>
      </w:r>
      <w:r>
        <w:t xml:space="preserve">– In other words, the estimation uses the </w:t>
      </w:r>
      <w:r>
        <w:rPr>
          <w:i/>
          <w:iCs/>
        </w:rPr>
        <w:t>known randomization probabilities</w:t>
      </w:r>
      <w:r>
        <w:t xml:space="preserve"> to reconstruct the proper counterfactual mean.</w:t>
      </w:r>
    </w:p>
    <w:p w:rsidR="00776C4E" w:rsidRDefault="00776C4E" w:rsidP="00776C4E">
      <w:pPr>
        <w:pStyle w:val="p1"/>
        <w:numPr>
          <w:ilvl w:val="0"/>
          <w:numId w:val="1"/>
        </w:numPr>
      </w:pPr>
      <w:r>
        <w:rPr>
          <w:b/>
          <w:bCs/>
        </w:rPr>
        <w:t>Resulting benchmark</w:t>
      </w:r>
    </w:p>
    <w:p w:rsidR="00776C4E" w:rsidRDefault="00776C4E" w:rsidP="00776C4E">
      <w:pPr>
        <w:pStyle w:val="p2"/>
        <w:ind w:left="720"/>
      </w:pPr>
      <w:r>
        <w:t> </w:t>
      </w:r>
      <w:r>
        <w:t>– Yes, some “controls” may have prior treatment history.</w:t>
      </w:r>
    </w:p>
    <w:p w:rsidR="00776C4E" w:rsidRDefault="00776C4E" w:rsidP="00776C4E">
      <w:pPr>
        <w:pStyle w:val="p2"/>
        <w:ind w:left="720"/>
      </w:pPr>
      <w:r>
        <w:t> </w:t>
      </w:r>
      <w:r>
        <w:t>– But as long as the algorithm keeps some non-zero exploration probability and the analysis weights correctly by assignment probabilities, the estimator remains unbiased for the average contemporaneous treatment effect.</w:t>
      </w:r>
    </w:p>
    <w:p w:rsidR="00776C4E" w:rsidRDefault="00776C4E" w:rsidP="00776C4E">
      <w:pPr>
        <w:pStyle w:val="p2"/>
        <w:ind w:left="720"/>
      </w:pPr>
      <w:r>
        <w:t> </w:t>
      </w:r>
      <w:r>
        <w:t xml:space="preserve">– The control group becomes </w:t>
      </w:r>
      <w:r>
        <w:rPr>
          <w:i/>
          <w:iCs/>
        </w:rPr>
        <w:t>statistically adjusted</w:t>
      </w:r>
      <w:r>
        <w:t>, not “pure untreated,” but still valid for causal inference.</w:t>
      </w:r>
    </w:p>
    <w:p w:rsidR="00776C4E" w:rsidRDefault="00776C4E"/>
    <w:sectPr w:rsidR="00776C4E" w:rsidSect="00510B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66976"/>
    <w:multiLevelType w:val="multilevel"/>
    <w:tmpl w:val="2064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73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4E"/>
    <w:rsid w:val="005044B9"/>
    <w:rsid w:val="00510B7D"/>
    <w:rsid w:val="00642244"/>
    <w:rsid w:val="00645FEE"/>
    <w:rsid w:val="00776C4E"/>
    <w:rsid w:val="00995E1A"/>
    <w:rsid w:val="00AE492D"/>
    <w:rsid w:val="00C04F3D"/>
    <w:rsid w:val="00C30589"/>
    <w:rsid w:val="00DA4368"/>
    <w:rsid w:val="00D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327368"/>
  <w15:chartTrackingRefBased/>
  <w15:docId w15:val="{D4816B4E-E593-9A4A-8DF1-E96EDD11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4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7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76C4E"/>
  </w:style>
  <w:style w:type="paragraph" w:customStyle="1" w:styleId="p2">
    <w:name w:val="p2"/>
    <w:basedOn w:val="Normal"/>
    <w:rsid w:val="0077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76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Ariza Malagutti</dc:creator>
  <cp:keywords/>
  <dc:description/>
  <cp:lastModifiedBy>Flavio Ariza Malagutti</cp:lastModifiedBy>
  <cp:revision>1</cp:revision>
  <dcterms:created xsi:type="dcterms:W3CDTF">2025-10-29T22:40:00Z</dcterms:created>
  <dcterms:modified xsi:type="dcterms:W3CDTF">2025-10-29T22:40:00Z</dcterms:modified>
</cp:coreProperties>
</file>