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svg" ContentType="image/svg+xml"/>
  <Override PartName="/word/media/rId2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feature-reference"/>
    <w:p>
      <w:pPr>
        <w:pStyle w:val="Heading1"/>
      </w:pPr>
      <w:r>
        <w:t xml:space="preserve">Feature reference</w:t>
      </w:r>
    </w:p>
    <w:p>
      <w:pPr>
        <w:pStyle w:val="FirstParagraph"/>
      </w:pPr>
      <w:r>
        <w:t xml:space="preserve">Everything holo-convert has to carry through, in one document: inline marks,</w:t>
      </w:r>
      <w:r>
        <w:t xml:space="preserve"> </w:t>
      </w:r>
      <w:r>
        <w:t xml:space="preserve">lists, tables, code, maths, images, links, breaks - and the characters the</w:t>
      </w:r>
      <w:r>
        <w:t xml:space="preserve"> </w:t>
      </w:r>
      <w:r>
        <w:t xml:space="preserve">pre-passes rewrite: arrows →, dashes — and ticks ✓, and a wikilink to</w:t>
      </w:r>
      <w:r>
        <w:t xml:space="preserve"> </w:t>
      </w:r>
      <w:r>
        <w:t xml:space="preserve">[[Other note|a label]] or [[Plain target#a-heading]].</w:t>
      </w:r>
    </w:p>
    <w:bookmarkStart w:id="22" w:name="text"/>
    <w:p>
      <w:pPr>
        <w:pStyle w:val="Heading2"/>
      </w:pPr>
      <w:r>
        <w:t xml:space="preserve">Text</w:t>
      </w:r>
    </w:p>
    <w:p>
      <w:pPr>
        <w:pStyle w:val="FirstParagraph"/>
      </w:pPr>
      <w:r>
        <w:t xml:space="preserve">Plain,</w:t>
      </w:r>
      <w:r>
        <w:t xml:space="preserve"> </w:t>
      </w:r>
      <w:r>
        <w:rPr>
          <w:i/>
          <w:iCs/>
        </w:rPr>
        <w:t xml:space="preserve">emphasis</w:t>
      </w:r>
      <w:r>
        <w:t xml:space="preserve">,</w:t>
      </w:r>
      <w:r>
        <w:t xml:space="preserve"> </w:t>
      </w:r>
      <w:r>
        <w:rPr>
          <w:b/>
          <w:bCs/>
        </w:rPr>
        <w:t xml:space="preserve">strong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both</w:t>
      </w:r>
      <w:r>
        <w:t xml:space="preserve">,</w:t>
      </w:r>
      <w:r>
        <w:t xml:space="preserve"> </w:t>
      </w:r>
      <w:r>
        <w:rPr>
          <w:strike/>
        </w:rPr>
        <w:t xml:space="preserve">strike</w:t>
      </w:r>
      <w:r>
        <w:t xml:space="preserve">,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,</w:t>
      </w:r>
      <w:r>
        <w:t xml:space="preserve"> </w:t>
      </w:r>
      <w:r>
        <w:rPr>
          <w:vertAlign w:val="superscript"/>
        </w:rPr>
        <w:t xml:space="preserve">super</w:t>
      </w:r>
      <w:r>
        <w:t xml:space="preserve">,</w:t>
      </w:r>
      <w:r>
        <w:t xml:space="preserve"> </w:t>
      </w:r>
      <w:r>
        <w:rPr>
          <w:vertAlign w:val="subscript"/>
        </w:rPr>
        <w:t xml:space="preserve">sub</w:t>
      </w:r>
      <w:r>
        <w:t xml:space="preserve">, a footnote</w:t>
      </w:r>
      <w:r>
        <w:rPr>
          <w:rStyle w:val="FootnoteReference"/>
        </w:rPr>
        <w:footnoteReference w:id="20"/>
      </w:r>
      <w:r>
        <w:t xml:space="preserve">, an</w:t>
      </w:r>
      <w:r>
        <w:t xml:space="preserve"> </w:t>
      </w:r>
      <w:hyperlink r:id="rId21">
        <w:r>
          <w:rPr>
            <w:rStyle w:val="Hyperlink"/>
          </w:rPr>
          <w:t xml:space="preserve">external link</w:t>
        </w:r>
      </w:hyperlink>
      <w:r>
        <w:t xml:space="preserve">, and an</w:t>
      </w:r>
      <w:r>
        <w:t xml:space="preserve"> </w:t>
      </w:r>
      <w:hyperlink w:anchor="tables">
        <w:r>
          <w:rPr>
            <w:rStyle w:val="Hyperlink"/>
          </w:rPr>
          <w:t xml:space="preserve">internal link</w:t>
        </w:r>
      </w:hyperlink>
      <w:r>
        <w:t xml:space="preserve">. A</w:t>
      </w:r>
      <w:r>
        <w:t xml:space="preserve"> </w:t>
      </w:r>
      <w:hyperlink w:anchor="nowhere-at-all">
        <w:r>
          <w:rPr>
            <w:rStyle w:val="Hyperlink"/>
          </w:rPr>
          <w:t xml:space="preserve">broken anchor</w:t>
        </w:r>
      </w:hyperlink>
      <w:r>
        <w:t xml:space="preserve"> </w:t>
      </w:r>
      <w:r>
        <w:t xml:space="preserve">and a near miss</w:t>
      </w:r>
      <w:r>
        <w:t xml:space="preserve"> </w:t>
      </w:r>
      <w:r>
        <w:t xml:space="preserve">to</w:t>
      </w:r>
      <w:r>
        <w:t xml:space="preserve"> </w:t>
      </w:r>
      <w:hyperlink w:anchor="tabels">
        <w:r>
          <w:rPr>
            <w:rStyle w:val="Hyperlink"/>
          </w:rPr>
          <w:t xml:space="preserve">the tables</w:t>
        </w:r>
      </w:hyperlink>
      <w:r>
        <w:t xml:space="preserve">.</w:t>
      </w:r>
    </w:p>
    <w:p>
      <w:pPr>
        <w:pStyle w:val="BlockText"/>
      </w:pPr>
      <w:r>
        <w:t xml:space="preserve">A block quote, with</w:t>
      </w:r>
      <w:r>
        <w:t xml:space="preserve"> </w:t>
      </w:r>
      <w:r>
        <w:rPr>
          <w:b/>
          <w:bCs/>
        </w:rPr>
        <w:t xml:space="preserve">strong</w:t>
      </w:r>
      <w:r>
        <w:t xml:space="preserve"> </w:t>
      </w:r>
      <w:r>
        <w:t xml:space="preserve">text inside.</w:t>
      </w:r>
    </w:p>
    <w:p>
      <w:pPr>
        <w:pStyle w:val="Compact"/>
        <w:numPr>
          <w:ilvl w:val="0"/>
          <w:numId w:val="1001"/>
        </w:numPr>
      </w:pPr>
      <w:r>
        <w:t xml:space="preserve">☐ an open task</w:t>
      </w:r>
    </w:p>
    <w:p>
      <w:pPr>
        <w:pStyle w:val="Compact"/>
        <w:numPr>
          <w:ilvl w:val="0"/>
          <w:numId w:val="1001"/>
        </w:numPr>
      </w:pPr>
      <w:r>
        <w:t xml:space="preserve">☒ a done task</w:t>
      </w:r>
    </w:p>
    <w:p>
      <w:pPr>
        <w:pStyle w:val="Compact"/>
        <w:numPr>
          <w:ilvl w:val="0"/>
          <w:numId w:val="1002"/>
        </w:numPr>
      </w:pPr>
      <w:r>
        <w:t xml:space="preserve">first</w:t>
      </w:r>
    </w:p>
    <w:p>
      <w:pPr>
        <w:pStyle w:val="Compact"/>
        <w:numPr>
          <w:ilvl w:val="0"/>
          <w:numId w:val="1002"/>
        </w:numPr>
      </w:pPr>
      <w:r>
        <w:t xml:space="preserve">second</w:t>
      </w:r>
    </w:p>
    <w:p>
      <w:pPr>
        <w:pStyle w:val="Compact"/>
        <w:numPr>
          <w:ilvl w:val="1"/>
          <w:numId w:val="1003"/>
        </w:numPr>
      </w:pPr>
      <w:r>
        <w:t xml:space="preserve">nested bullet</w:t>
      </w:r>
    </w:p>
    <w:p>
      <w:pPr>
        <w:pStyle w:val="Compact"/>
        <w:numPr>
          <w:ilvl w:val="1"/>
          <w:numId w:val="1003"/>
        </w:numPr>
      </w:pPr>
      <w:r>
        <w:t xml:space="preserve">another</w:t>
      </w:r>
    </w:p>
    <w:p>
      <w:pPr>
        <w:pStyle w:val="FirstParagraph"/>
      </w:pPr>
      <w:r>
        <w:rPr>
          <w:b/>
          <w:bCs/>
        </w:rPr>
        <w:t xml:space="preserve">A label, then a list with no blank line between:</w:t>
      </w:r>
      <w:r>
        <w:t xml:space="preserve"> </w:t>
      </w:r>
      <w:r>
        <w:t xml:space="preserve">- first, as GitHub renders it</w:t>
      </w:r>
      <w:r>
        <w:t xml:space="preserve"> </w:t>
      </w:r>
      <w:r>
        <w:t xml:space="preserve">- second</w:t>
      </w:r>
      <w:r>
        <w:t xml:space="preserve"> </w:t>
      </w:r>
      <w:r>
        <w:t xml:space="preserve">- nested</w:t>
      </w:r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Its definition.</w:t>
      </w:r>
    </w:p>
    <w:p>
      <w:r>
        <w:pict>
          <v:rect style="width:0;height:1.5pt" o:hralign="center" o:hrstd="t" o:hr="t"/>
        </w:pict>
      </w:r>
    </w:p>
    <w:bookmarkEnd w:id="22"/>
    <w:bookmarkStart w:id="23" w:name="tables"/>
    <w:p>
      <w:pPr>
        <w:pStyle w:val="Heading2"/>
      </w:pPr>
      <w:r>
        <w:t xml:space="preserve">Tables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very long cell that has to wrap across the column width when rendered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/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converter-services-2026-10-10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long identifier in the first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ode"/>
    <w:p>
      <w:pPr>
        <w:pStyle w:val="Heading2"/>
      </w:pPr>
      <w:r>
        <w:t xml:space="preserve">Code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f(x):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arrows → and dashes — and ticks ✓ stay as they are in code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“quotes”, ≈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A --&gt; B</w:t>
      </w:r>
    </w:p>
    <w:bookmarkEnd w:id="24"/>
    <w:bookmarkStart w:id="25" w:name="maths"/>
    <w:p>
      <w:pPr>
        <w:pStyle w:val="Heading2"/>
      </w:pPr>
      <w:r>
        <w:t xml:space="preserve">Maths</w:t>
      </w:r>
    </w:p>
    <w:p>
      <w:pPr>
        <w:pStyle w:val="FirstParagraph"/>
      </w:pPr>
      <w:r>
        <w:t xml:space="preserve">Inline</w:t>
      </w:r>
      <w:r>
        <w:t xml:space="preserve"> </w:t>
      </w:r>
      <m:oMath>
        <m:sSup>
          <m:e>
            <m:r>
              <m:t>e</m:t>
            </m:r>
          </m:e>
          <m:sup>
            <m:r>
              <m:t>i</m:t>
            </m:r>
            <m:r>
              <m:t>π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display: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k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bookmarkEnd w:id="25"/>
    <w:bookmarkStart w:id="33" w:name="images"/>
    <w:p>
      <w:pPr>
        <w:pStyle w:val="Heading2"/>
      </w:pPr>
      <w:r>
        <w:t xml:space="preserve">Images</w:t>
      </w:r>
    </w:p>
    <w:p>
      <w:pPr>
        <w:pStyle w:val="CaptionedFigure"/>
      </w:pPr>
      <w:r>
        <w:drawing>
          <wp:inline>
            <wp:extent cx="1143000" cy="571500"/>
            <wp:effectExtent b="0" l="0" r="0" t="0"/>
            <wp:docPr descr="A vector diagram" title="" id="27" name="Picture"/>
            <a:graphic>
              <a:graphicData uri="http://schemas.openxmlformats.org/drawingml/2006/picture">
                <pic:pic>
                  <pic:nvPicPr>
                    <pic:cNvPr descr="diagram.sv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vector diagram</w:t>
      </w:r>
    </w:p>
    <w:p>
      <w:pPr>
        <w:pStyle w:val="CaptionedFigure"/>
      </w:pPr>
      <w:r>
        <w:drawing>
          <wp:inline>
            <wp:extent cx="203200" cy="203200"/>
            <wp:effectExtent b="0" l="0" r="0" t="0"/>
            <wp:docPr descr="A small picture" title="A title" id="31" name="Picture"/>
            <a:graphic>
              <a:graphicData uri="http://schemas.openxmlformats.org/drawingml/2006/picture">
                <pic:pic>
                  <pic:nvPicPr>
                    <pic:cNvPr descr="pixe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small picture</w:t>
      </w:r>
    </w:p>
    <w:p>
      <w:pPr>
        <w:pStyle w:val="BodyText"/>
      </w:pPr>
      <w:r>
        <w:t xml:space="preserve">Line one</w:t>
      </w:r>
      <w:r>
        <w:br/>
      </w:r>
      <w:r>
        <w:t xml:space="preserve">line two, after a hard break.</w:t>
      </w:r>
    </w:p>
    <w:bookmarkEnd w:id="33"/>
    <w:bookmarkStart w:id="34" w:name="after-a-page-break"/>
    <w:p>
      <w:pPr>
        <w:pStyle w:val="Heading2"/>
      </w:pPr>
      <w:r>
        <w:t xml:space="preserve">After a page break</w:t>
      </w:r>
    </w:p>
    <w:p>
      <w:pPr>
        <w:pStyle w:val="FirstParagraph"/>
      </w:pPr>
      <w:r>
        <w:t xml:space="preserve">The end.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footnote, with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svg" /><Relationship Type="http://schemas.openxmlformats.org/officeDocument/2006/relationships/image" Id="rId29" Target="media/rId29.png" /><Relationship Type="http://schemas.openxmlformats.org/officeDocument/2006/relationships/image" Id="rId30" Target="media/rId30.png" /><Relationship Type="http://schemas.openxmlformats.org/officeDocument/2006/relationships/hyperlink" Id="rId21" Target="https://exampl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example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