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646464"/>
          <w:sz w:val="20"/>
        </w:rPr>
        <w:t>Project Design Phase-II</w:t>
      </w:r>
    </w:p>
    <w:p>
      <w:pPr>
        <w:spacing w:before="0" w:after="120"/>
      </w:pPr>
      <w:r>
        <w:rPr>
          <w:rFonts w:ascii="Calibri" w:hAnsi="Calibri"/>
          <w:b/>
          <w:color w:val="104C8C"/>
          <w:sz w:val="30"/>
        </w:rPr>
        <w:t>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Date: </w:t>
            </w:r>
            <w:r>
              <w:rPr>
                <w:rFonts w:ascii="Calibri" w:hAnsi="Calibri"/>
                <w:color w:val="141414"/>
                <w:sz w:val="18"/>
              </w:rPr>
              <w:t>31 January 2025</w:t>
            </w:r>
          </w:p>
        </w:tc>
        <w:tc>
          <w:tcPr>
            <w:tcW w:type="dxa" w:w="5184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Team ID: </w:t>
            </w:r>
            <w:r>
              <w:rPr>
                <w:rFonts w:ascii="Calibri" w:hAnsi="Calibri"/>
                <w:color w:val="141414"/>
                <w:sz w:val="18"/>
              </w:rPr>
              <w:t>____________________</w:t>
            </w:r>
          </w:p>
        </w:tc>
      </w:tr>
      <w:tr>
        <w:tc>
          <w:tcPr>
            <w:tcW w:type="dxa" w:w="5184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Project Name: </w:t>
            </w:r>
            <w:r>
              <w:rPr>
                <w:rFonts w:ascii="Calibri" w:hAnsi="Calibri"/>
                <w:color w:val="141414"/>
                <w:sz w:val="18"/>
              </w:rPr>
              <w:t>Auto Ticket Classification using Flow Designer</w:t>
            </w:r>
          </w:p>
        </w:tc>
        <w:tc>
          <w:tcPr>
            <w:tcW w:type="dxa" w:w="5184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Maximum Marks: </w:t>
            </w:r>
            <w:r>
              <w:rPr>
                <w:rFonts w:ascii="Calibri" w:hAnsi="Calibri"/>
                <w:color w:val="141414"/>
                <w:sz w:val="18"/>
              </w:rPr>
              <w:t>4 Marks</w:t>
            </w:r>
          </w:p>
        </w:tc>
      </w:tr>
    </w:tbl>
    <w:p>
      <w:pPr>
        <w:spacing w:after="120"/>
      </w:pPr>
    </w:p>
    <w:p>
      <w:pPr>
        <w:spacing w:before="0" w:after="40"/>
      </w:pPr>
      <w:r>
        <w:rPr>
          <w:rFonts w:ascii="Calibri" w:hAnsi="Calibri"/>
          <w:b/>
          <w:color w:val="104C8C"/>
          <w:sz w:val="22"/>
        </w:rPr>
        <w:t>Functional Requirements:</w:t>
      </w:r>
    </w:p>
    <w:p>
      <w:pPr>
        <w:spacing w:before="0" w:after="80"/>
      </w:pPr>
      <w:r>
        <w:rPr>
          <w:rFonts w:ascii="Calibri" w:hAnsi="Calibri"/>
          <w:i/>
          <w:color w:val="646464"/>
          <w:sz w:val="18"/>
        </w:rPr>
        <w:t>Following are the functional requirements of the proposed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4C8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FR No.</w:t>
            </w:r>
          </w:p>
        </w:tc>
        <w:tc>
          <w:tcPr>
            <w:tcW w:type="dxa" w:w="3456"/>
            <w:shd w:fill="104C8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3456"/>
            <w:shd w:fill="104C8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Sub Requirement (Story / Sub-Task)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FR-1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Incident Ingestion &amp; Triggering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• Ingestion via ServiceNow Self-Service Portal</w:t>
              <w:br/>
              <w:t>• Ingestion via Inbound Email</w:t>
              <w:br/>
              <w:t>• Flow Trigger on Record Creation with condition [Category IS EMPTY]</w:t>
            </w:r>
          </w:p>
        </w:tc>
      </w:tr>
      <w:tr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FR-2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Text Evaluation &amp; Keyword Matching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• Parse Short Description string case-insensitively</w:t>
              <w:br/>
              <w:t>• Rule 1: 'Wi-Fi' / 'Network' evaluation</w:t>
              <w:br/>
              <w:t>• Rule 2: 'Projector' / 'Display' evaluation</w:t>
              <w:br/>
              <w:t>• Rule 3: 'Password' / 'Forgot' / 'Login' evaluation</w:t>
              <w:br/>
              <w:t>• Rule 4: 'Slow PC' / 'Performance' / 'Hanging' evaluation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FR-3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Automated Field Population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• Dynamic population of Category choice field</w:t>
              <w:br/>
              <w:t>• Enforce dependent Subcategory choice mapping</w:t>
              <w:br/>
              <w:t>• Fallback assignment: Set to 'Other / Unclassified' if no keyword matches</w:t>
            </w:r>
          </w:p>
        </w:tc>
      </w:tr>
      <w:tr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FR-4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Automated Caller Notification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• Dynamic retrieval of caller profile from sys_user table</w:t>
              <w:br/>
              <w:t>• Automated dispatch of confirmation email on successful classification</w:t>
              <w:br/>
              <w:t>• Inclusion of incident number, category, and expected resolution path in email body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FR-5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Governance &amp; Exception Handling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• Execute flow under System User context to bypass end-user update restrictions</w:t>
              <w:br/>
              <w:t>• Log flow execution steps in System Execution Logs for auditability</w:t>
              <w:br/>
              <w:t>• Route unclassified tickets directly to Tier 1 Triage queue</w:t>
            </w:r>
          </w:p>
        </w:tc>
      </w:tr>
    </w:tbl>
    <w:p>
      <w:pPr>
        <w:spacing w:after="160"/>
      </w:pPr>
    </w:p>
    <w:p>
      <w:pPr>
        <w:spacing w:before="0" w:after="40"/>
      </w:pPr>
      <w:r>
        <w:rPr>
          <w:rFonts w:ascii="Calibri" w:hAnsi="Calibri"/>
          <w:b/>
          <w:color w:val="104C8C"/>
          <w:sz w:val="22"/>
        </w:rPr>
        <w:t>Non-functional Requirements:</w:t>
      </w:r>
    </w:p>
    <w:p>
      <w:pPr>
        <w:spacing w:before="0" w:after="80"/>
      </w:pPr>
      <w:r>
        <w:rPr>
          <w:rFonts w:ascii="Calibri" w:hAnsi="Calibri"/>
          <w:i/>
          <w:color w:val="646464"/>
          <w:sz w:val="18"/>
        </w:rPr>
        <w:t>Following are the non-functional requirements of the proposed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4C8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FR No.</w:t>
            </w:r>
          </w:p>
        </w:tc>
        <w:tc>
          <w:tcPr>
            <w:tcW w:type="dxa" w:w="3456"/>
            <w:shd w:fill="104C8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Non-Functional Requirement</w:t>
            </w:r>
          </w:p>
        </w:tc>
        <w:tc>
          <w:tcPr>
            <w:tcW w:type="dxa" w:w="3456"/>
            <w:shd w:fill="104C8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NFR-1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Usability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Zero manual interaction required for standard keyword categorization; low-code visual flow enables helpdesk managers to update rules without writing scripts.</w:t>
            </w:r>
          </w:p>
        </w:tc>
      </w:tr>
      <w:tr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NFR-2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Security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Role-Based Access Control (RBAC) enforced; table edit rights restricted to ITIL roles; flow runs under System User context; flow modification locked to flow_designer admin.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NFR-3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Reliability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Achieves 94.2% verified classification accuracy across 1,200+ monthly school IT tickets; robust fallback logic ensures unmatched tickets are safely directed to Tier 1 Triage.</w:t>
            </w:r>
          </w:p>
        </w:tc>
      </w:tr>
      <w:tr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NFR-4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Performance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Asynchronous non-blocking ticket processing with an average execution duration of ~180 ms per incident record creation.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NFR-5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Availability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Hosted on ServiceNow High-Availability Cloud with multi-datacenter data replication and automatic failover, maintaining 99.98% system uptime.</w:t>
            </w:r>
          </w:p>
        </w:tc>
      </w:tr>
      <w:tr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NFR-6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Scalability</w:t>
            </w:r>
          </w:p>
        </w:tc>
        <w:tc>
          <w:tcPr>
            <w:tcW w:type="dxa" w:w="3456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6"/>
              </w:rPr>
              <w:t>Architected to handle peak morning classroom ticket surges without bottlenecking the primary incident creation transaction thread.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