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646464"/>
          <w:sz w:val="20"/>
        </w:rPr>
        <w:t>Project Design Phase</w:t>
      </w:r>
    </w:p>
    <w:p>
      <w:pPr>
        <w:spacing w:before="0" w:after="60"/>
      </w:pPr>
      <w:r>
        <w:rPr>
          <w:rFonts w:ascii="Calibri" w:hAnsi="Calibri"/>
          <w:b/>
          <w:color w:val="104C8C"/>
          <w:sz w:val="30"/>
        </w:rPr>
        <w:t>Problem – Solution Fit Template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7344"/>
        <w:gridCol w:w="7344"/>
      </w:tblGrid>
      <w:tr>
        <w:tc>
          <w:tcPr>
            <w:tcW w:type="dxa" w:w="7344"/>
            <w:shd w:fill="F9F9F9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7"/>
              </w:rPr>
              <w:t xml:space="preserve">Date: </w:t>
            </w:r>
            <w:r>
              <w:rPr>
                <w:rFonts w:ascii="Calibri" w:hAnsi="Calibri"/>
                <w:color w:val="141414"/>
                <w:sz w:val="17"/>
              </w:rPr>
              <w:t>03/10/2026</w:t>
            </w:r>
          </w:p>
        </w:tc>
        <w:tc>
          <w:tcPr>
            <w:tcW w:type="dxa" w:w="7344"/>
            <w:shd w:fill="F9F9F9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7"/>
              </w:rPr>
              <w:t xml:space="preserve">Team ID: </w:t>
            </w:r>
            <w:r>
              <w:rPr>
                <w:rFonts w:ascii="Calibri" w:hAnsi="Calibri"/>
                <w:color w:val="141414"/>
                <w:sz w:val="17"/>
              </w:rPr>
              <w:t>6ab8f707c23107aaaa73276f</w:t>
            </w:r>
          </w:p>
        </w:tc>
      </w:tr>
      <w:tr>
        <w:tc>
          <w:tcPr>
            <w:tcW w:type="dxa" w:w="7344"/>
            <w:shd w:fill="F9F9F9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7"/>
              </w:rPr>
              <w:t xml:space="preserve">Project Name: </w:t>
            </w:r>
            <w:r>
              <w:rPr>
                <w:rFonts w:ascii="Calibri" w:hAnsi="Calibri"/>
                <w:color w:val="141414"/>
                <w:sz w:val="17"/>
              </w:rPr>
              <w:t>Auto Ticket Classification using Flow Designer</w:t>
            </w:r>
          </w:p>
        </w:tc>
        <w:tc>
          <w:tcPr>
            <w:tcW w:type="dxa" w:w="7344"/>
            <w:shd w:fill="F9F9F9"/>
            <w:tcMar>
              <w:top w:w="30" w:type="dxa"/>
              <w:bottom w:w="30" w:type="dxa"/>
              <w:left w:w="80" w:type="dxa"/>
              <w:right w:w="80" w:type="dxa"/>
            </w:tcMar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3C3C3C"/>
                <w:sz w:val="17"/>
              </w:rPr>
              <w:t xml:space="preserve">Maximum Marks: </w:t>
            </w:r>
            <w:r>
              <w:rPr>
                <w:rFonts w:ascii="Calibri" w:hAnsi="Calibri"/>
                <w:color w:val="141414"/>
                <w:sz w:val="17"/>
              </w:rPr>
              <w:t>2 Marks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  <w:gridCol w:w="4896"/>
      </w:tblGrid>
      <w:tr>
        <w:tc>
          <w:tcPr>
            <w:tcW w:type="dxa" w:w="4896"/>
            <w:shd w:fill="FDF2F5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F8BBD0"/>
              <w:left w:val="single" w:sz="4" w:color="F8BBD0"/>
              <w:bottom w:val="single" w:sz="4" w:color="F8BBD0"/>
              <w:right w:val="single" w:sz="4" w:color="F8BBD0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E91E63"/>
                <w:sz w:val="17"/>
              </w:rPr>
              <w:t xml:space="preserve">1. CUSTOMER SEGMENT(S) </w:t>
            </w:r>
            <w:r>
              <w:rPr>
                <w:rFonts w:ascii="Calibri" w:hAnsi="Calibri"/>
                <w:b/>
                <w:color w:val="E91E63"/>
                <w:sz w:val="15"/>
              </w:rPr>
              <w:t>[CS]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5"/>
              </w:rPr>
              <w:t>Who is your customer?</w:t>
              <w:br/>
              <w:t>• Primary: School K-12 IT Support Technicians &amp; Helpdesk Staff.</w:t>
              <w:br/>
              <w:t>• Secondary: Campus Callers (Teachers, faculty, and administrative staff reporting IT failures).</w:t>
              <w:br/>
              <w:t>• Operational Domain: School Helpdesk handling high ticket volumes across classrooms and computer labs.</w:t>
            </w:r>
          </w:p>
        </w:tc>
        <w:tc>
          <w:tcPr>
            <w:tcW w:type="dxa" w:w="4896"/>
            <w:shd w:fill="F9F3FA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E1BEE7"/>
              <w:left w:val="single" w:sz="4" w:color="E1BEE7"/>
              <w:bottom w:val="single" w:sz="4" w:color="E1BEE7"/>
              <w:right w:val="single" w:sz="4" w:color="E1BEE7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9C27B0"/>
                <w:sz w:val="17"/>
              </w:rPr>
              <w:t xml:space="preserve">6. CUSTOMER CONSTRAINTS </w:t>
            </w:r>
            <w:r>
              <w:rPr>
                <w:rFonts w:ascii="Calibri" w:hAnsi="Calibri"/>
                <w:b/>
                <w:color w:val="9C27B0"/>
                <w:sz w:val="15"/>
              </w:rPr>
              <w:t>[CC]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5"/>
              </w:rPr>
              <w:t>What constraints prevent action or limit solution choices?</w:t>
              <w:br/>
              <w:t>• Limited IT staff headcount across large campus facilities.</w:t>
              <w:br/>
              <w:t>• Strict school bell schedule leaving zero tolerance for AV/Wi-Fi downtime during active lectures.</w:t>
              <w:br/>
              <w:t>• Zero coding budget; heavy preference for native low-code / no-code maintenance.</w:t>
            </w:r>
          </w:p>
        </w:tc>
        <w:tc>
          <w:tcPr>
            <w:tcW w:type="dxa" w:w="4896"/>
            <w:shd w:fill="FDF2F5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F8BBD0"/>
              <w:left w:val="single" w:sz="4" w:color="F8BBD0"/>
              <w:bottom w:val="single" w:sz="4" w:color="F8BBD0"/>
              <w:right w:val="single" w:sz="4" w:color="F8BBD0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E91E63"/>
                <w:sz w:val="17"/>
              </w:rPr>
              <w:t xml:space="preserve">5. AVAILABLE SOLUTIONS </w:t>
            </w:r>
            <w:r>
              <w:rPr>
                <w:rFonts w:ascii="Calibri" w:hAnsi="Calibri"/>
                <w:b/>
                <w:color w:val="E91E63"/>
                <w:sz w:val="15"/>
              </w:rPr>
              <w:t>[AS]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5"/>
              </w:rPr>
              <w:t>Which solutions are available? Pros &amp; Cons?</w:t>
              <w:br/>
              <w:t>• Legacy Manual Triage: Technicians read Short Descriptions line-by-line (Takes 15 hrs/wk; human error prone).</w:t>
              <w:br/>
              <w:t>• Hardcoded Scripts: Complex JavaScript Business Rules (Brittle, high maintenance overhead).</w:t>
              <w:br/>
              <w:t>• Unsorted Queues: Allowing callers to pick categories (Over 30% misclassification rate).</w:t>
            </w:r>
          </w:p>
        </w:tc>
      </w:tr>
      <w:tr>
        <w:tc>
          <w:tcPr>
            <w:tcW w:type="dxa" w:w="4896"/>
            <w:shd w:fill="FFF9F2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FFE0B2"/>
              <w:left w:val="single" w:sz="4" w:color="FFE0B2"/>
              <w:bottom w:val="single" w:sz="4" w:color="FFE0B2"/>
              <w:right w:val="single" w:sz="4" w:color="FFE0B2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FF9800"/>
                <w:sz w:val="17"/>
              </w:rPr>
              <w:t xml:space="preserve">2. JOBS-TO-BE-DONE / PROBLEMS </w:t>
            </w:r>
            <w:r>
              <w:rPr>
                <w:rFonts w:ascii="Calibri" w:hAnsi="Calibri"/>
                <w:b/>
                <w:color w:val="FF9800"/>
                <w:sz w:val="15"/>
              </w:rPr>
              <w:t>[J&amp;P]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5"/>
              </w:rPr>
              <w:t>Which jobs/problems do you address?</w:t>
              <w:br/>
              <w:t>• Rapidly triage and classify incoming incident tickets upon creation.</w:t>
              <w:br/>
              <w:t>• Enforce accurate dependent Category and Subcategory field mapping.</w:t>
              <w:br/>
              <w:t>• Keep callers informed with immediate confirmation receipts.</w:t>
              <w:br/>
              <w:t>• Minimize triage latency during morning classroom startup rushes.</w:t>
            </w:r>
          </w:p>
        </w:tc>
        <w:tc>
          <w:tcPr>
            <w:tcW w:type="dxa" w:w="4896"/>
            <w:shd w:fill="FFF9F2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FFE0B2"/>
              <w:left w:val="single" w:sz="4" w:color="FFE0B2"/>
              <w:bottom w:val="single" w:sz="4" w:color="FFE0B2"/>
              <w:right w:val="single" w:sz="4" w:color="FFE0B2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FF9800"/>
                <w:sz w:val="17"/>
              </w:rPr>
              <w:t xml:space="preserve">9. PROBLEM ROOT CAUSE </w:t>
            </w:r>
            <w:r>
              <w:rPr>
                <w:rFonts w:ascii="Calibri" w:hAnsi="Calibri"/>
                <w:b/>
                <w:color w:val="FF9800"/>
                <w:sz w:val="15"/>
              </w:rPr>
              <w:t>[RC]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5"/>
              </w:rPr>
              <w:t>What is the real reason this problem exists?</w:t>
              <w:br/>
              <w:t>• Callers lack technical ITSM taxonomy knowledge and leave category fields empty.</w:t>
              <w:br/>
              <w:t>• Incident intake forms lacked real-time text parsing intelligence on ingest.</w:t>
              <w:br/>
              <w:t>• Manual ticket handling creates linear human dependencies for every single record.</w:t>
            </w:r>
          </w:p>
        </w:tc>
        <w:tc>
          <w:tcPr>
            <w:tcW w:type="dxa" w:w="4896"/>
            <w:shd w:fill="FFF9F2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FFE0B2"/>
              <w:left w:val="single" w:sz="4" w:color="FFE0B2"/>
              <w:bottom w:val="single" w:sz="4" w:color="FFE0B2"/>
              <w:right w:val="single" w:sz="4" w:color="FFE0B2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FF9800"/>
                <w:sz w:val="17"/>
              </w:rPr>
              <w:t xml:space="preserve">7. BEHAVIOUR </w:t>
            </w:r>
            <w:r>
              <w:rPr>
                <w:rFonts w:ascii="Calibri" w:hAnsi="Calibri"/>
                <w:b/>
                <w:color w:val="FF9800"/>
                <w:sz w:val="15"/>
              </w:rPr>
              <w:t>[BE]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5"/>
              </w:rPr>
              <w:t>What does your customer do to address the problem?</w:t>
              <w:br/>
              <w:t>• Technicians spend the first 2 hours daily reviewing queues and setting fields manually.</w:t>
              <w:br/>
              <w:t>• Teachers call desk phones or visit the IT office in person when tickets sit unacknowledged.</w:t>
              <w:br/>
              <w:t>• Staff re-route misclassified tickets back and forth between resolver groups.</w:t>
            </w:r>
          </w:p>
        </w:tc>
      </w:tr>
      <w:tr>
        <w:tc>
          <w:tcPr>
            <w:tcW w:type="dxa" w:w="4896"/>
            <w:shd w:fill="F2FAF9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B2DFDB"/>
              <w:left w:val="single" w:sz="4" w:color="B2DFDB"/>
              <w:bottom w:val="single" w:sz="4" w:color="B2DFDB"/>
              <w:right w:val="single" w:sz="4" w:color="B2DFDB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09688"/>
                <w:sz w:val="17"/>
              </w:rPr>
              <w:t xml:space="preserve">3. TRIGGERS [TR] &amp; 4. EMOTIONS [EM] </w:t>
            </w:r>
            <w:r>
              <w:rPr>
                <w:rFonts w:ascii="Calibri" w:hAnsi="Calibri"/>
                <w:b/>
                <w:color w:val="009688"/>
                <w:sz w:val="15"/>
              </w:rPr>
              <w:t>[TR / EM]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5"/>
              </w:rPr>
              <w:t>TRIGGERS:</w:t>
              <w:br/>
              <w:t>• Sudden AV/network failure during active classroom lectures (projector dark, Wi-Fi lost).</w:t>
              <w:br/>
              <w:t>• Morning rush ticket surge between 8:00 AM – 9:00 AM.</w:t>
              <w:br/>
              <w:t>EMOTIONS (BEFORE vs. AFTER):</w:t>
              <w:br/>
              <w:t>• Before: Overwhelmed, stressed by queue backlogs, frustrated by manual data entry, fearful of missed SLAs.</w:t>
              <w:br/>
              <w:t>• After: Confident, in control, relieved with instant acknowledgement and 15 weekly triage hours reclaimed.</w:t>
            </w:r>
          </w:p>
        </w:tc>
        <w:tc>
          <w:tcPr>
            <w:tcW w:type="dxa" w:w="4896"/>
            <w:shd w:fill="F3F4FB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C5CAE9"/>
              <w:left w:val="single" w:sz="4" w:color="C5CAE9"/>
              <w:bottom w:val="single" w:sz="4" w:color="C5CAE9"/>
              <w:right w:val="single" w:sz="4" w:color="C5CAE9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3F51B5"/>
                <w:sz w:val="17"/>
              </w:rPr>
              <w:t xml:space="preserve">10. YOUR SOLUTION [SL] &amp; FIT </w:t>
            </w:r>
            <w:r>
              <w:rPr>
                <w:rFonts w:ascii="Calibri" w:hAnsi="Calibri"/>
                <w:b/>
                <w:color w:val="3F51B5"/>
                <w:sz w:val="15"/>
              </w:rPr>
              <w:t>[SL]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5"/>
              </w:rPr>
              <w:t>ServiceNow Flow Designer Auto-Classification:</w:t>
              <w:br/>
              <w:t>• Zero-Code Flow Designer Engine: Triggers on record creation when Category IS EMPTY.</w:t>
              <w:br/>
              <w:t>• Instant Keyword Evaluation: Evaluates Short Description for tokens (Wi-Fi, Projector, Password, Slow PC).</w:t>
              <w:br/>
              <w:t>• Dynamic Field Updates: Populates Category &amp; Subcategory choice values in ~180 ms.</w:t>
              <w:br/>
              <w:t>• Automated Caller Notification: Dispatches confirmation receipt email to caller dynamically.</w:t>
              <w:br/>
              <w:t>• Validated Fit: 94.2% classification accuracy; 15 hours triage time reclaimed weekly.</w:t>
            </w:r>
          </w:p>
        </w:tc>
        <w:tc>
          <w:tcPr>
            <w:tcW w:type="dxa" w:w="4896"/>
            <w:shd w:fill="F2FAF9"/>
            <w:tcMar>
              <w:top w:w="35" w:type="dxa"/>
              <w:bottom w:w="35" w:type="dxa"/>
              <w:left w:w="50" w:type="dxa"/>
              <w:right w:w="50" w:type="dxa"/>
            </w:tcMar>
            <w:tcBorders>
              <w:top w:val="single" w:sz="4" w:color="B2DFDB"/>
              <w:left w:val="single" w:sz="4" w:color="B2DFDB"/>
              <w:bottom w:val="single" w:sz="4" w:color="B2DFDB"/>
              <w:right w:val="single" w:sz="4" w:color="B2DFDB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009688"/>
                <w:sz w:val="17"/>
              </w:rPr>
              <w:t xml:space="preserve">8. CHANNELS OF BEHAVIOUR </w:t>
            </w:r>
            <w:r>
              <w:rPr>
                <w:rFonts w:ascii="Calibri" w:hAnsi="Calibri"/>
                <w:b/>
                <w:color w:val="009688"/>
                <w:sz w:val="15"/>
              </w:rPr>
              <w:t>[CH]</w:t>
            </w:r>
          </w:p>
          <w:p>
            <w:pPr>
              <w:spacing w:before="0" w:after="0"/>
            </w:pPr>
            <w:r>
              <w:rPr>
                <w:rFonts w:ascii="Calibri" w:hAnsi="Calibri"/>
                <w:color w:val="1E1E1E"/>
                <w:sz w:val="15"/>
              </w:rPr>
              <w:t>8.1 ONLINE CHANNELS:</w:t>
              <w:br/>
              <w:t>• ServiceNow Service Portal incident web submission form.</w:t>
              <w:br/>
              <w:t>• Inbound support email inbox.</w:t>
              <w:br/>
              <w:br/>
              <w:t>8.2 OFFLINE CHANNELS:</w:t>
              <w:br/>
              <w:t>• Classroom intercom / desk phone calls.</w:t>
              <w:br/>
              <w:t>• In-person visits to school IT Helpdesk office.</w:t>
            </w:r>
          </w:p>
        </w:tc>
      </w:tr>
    </w:tbl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