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646464"/>
          <w:sz w:val="20"/>
        </w:rPr>
        <w:t>Project Design Phase</w:t>
      </w:r>
    </w:p>
    <w:p>
      <w:pPr>
        <w:spacing w:before="0" w:after="100"/>
      </w:pPr>
      <w:r>
        <w:rPr>
          <w:rFonts w:ascii="Calibri" w:hAnsi="Calibri"/>
          <w:b/>
          <w:color w:val="104C8C"/>
          <w:sz w:val="32"/>
        </w:rPr>
        <w:t>Proposed Solution Template</w:t>
      </w:r>
    </w:p>
    <w:tbl>
      <w:tblPr>
        <w:tblW w:type="auto" w:w="0"/>
        <w:jc w:val="center"/>
        <w:tblLook w:firstColumn="1" w:firstRow="1" w:lastColumn="0" w:lastRow="0" w:noHBand="0" w:noVBand="1" w:val="04A0"/>
      </w:tblPr>
      <w:tblGrid>
        <w:gridCol w:w="5184"/>
        <w:gridCol w:w="5184"/>
      </w:tblGrid>
      <w:tr>
        <w:tc>
          <w:tcPr>
            <w:tcW w:type="dxa" w:w="5184"/>
            <w:shd w:fill="F9F9F9"/>
            <w:tcMar>
              <w:top w:w="50" w:type="dxa"/>
              <w:bottom w:w="50" w:type="dxa"/>
              <w:left w:w="100" w:type="dxa"/>
              <w:right w:w="100" w:type="dxa"/>
            </w:tcMar>
            <w:tcBorders>
              <w:top w:val="single" w:sz="4" w:color="CCCCCC"/>
              <w:left w:val="single" w:sz="4" w:color="CCCCCC"/>
              <w:bottom w:val="single" w:sz="4" w:color="CCCCCC"/>
              <w:right w:val="single" w:sz="4" w:color="CCCCCC"/>
            </w:tcBorders>
          </w:tcPr>
          <w:p>
            <w:pPr>
              <w:spacing w:before="0" w:after="0"/>
            </w:pPr>
            <w:r>
              <w:rPr>
                <w:rFonts w:ascii="Calibri" w:hAnsi="Calibri"/>
                <w:b/>
                <w:color w:val="3C3C3C"/>
                <w:sz w:val="18"/>
              </w:rPr>
              <w:t xml:space="preserve">Date: </w:t>
            </w:r>
            <w:r>
              <w:rPr>
                <w:rFonts w:ascii="Calibri" w:hAnsi="Calibri"/>
                <w:color w:val="141414"/>
                <w:sz w:val="18"/>
              </w:rPr>
              <w:t>03/10/2026</w:t>
            </w:r>
          </w:p>
        </w:tc>
        <w:tc>
          <w:tcPr>
            <w:tcW w:type="dxa" w:w="5184"/>
            <w:shd w:fill="F9F9F9"/>
            <w:tcMar>
              <w:top w:w="50" w:type="dxa"/>
              <w:bottom w:w="50" w:type="dxa"/>
              <w:left w:w="100" w:type="dxa"/>
              <w:right w:w="100" w:type="dxa"/>
            </w:tcMar>
            <w:tcBorders>
              <w:top w:val="single" w:sz="4" w:color="CCCCCC"/>
              <w:left w:val="single" w:sz="4" w:color="CCCCCC"/>
              <w:bottom w:val="single" w:sz="4" w:color="CCCCCC"/>
              <w:right w:val="single" w:sz="4" w:color="CCCCCC"/>
            </w:tcBorders>
          </w:tcPr>
          <w:p>
            <w:pPr>
              <w:spacing w:before="0" w:after="0"/>
            </w:pPr>
            <w:r>
              <w:rPr>
                <w:rFonts w:ascii="Calibri" w:hAnsi="Calibri"/>
                <w:b/>
                <w:color w:val="3C3C3C"/>
                <w:sz w:val="18"/>
              </w:rPr>
              <w:t xml:space="preserve">Team ID: </w:t>
            </w:r>
            <w:r>
              <w:rPr>
                <w:rFonts w:ascii="Calibri" w:hAnsi="Calibri"/>
                <w:color w:val="141414"/>
                <w:sz w:val="18"/>
              </w:rPr>
              <w:t>6ab8f707c23107aaaa73276f</w:t>
            </w:r>
          </w:p>
        </w:tc>
      </w:tr>
      <w:tr>
        <w:tc>
          <w:tcPr>
            <w:tcW w:type="dxa" w:w="5184"/>
            <w:shd w:fill="F9F9F9"/>
            <w:tcMar>
              <w:top w:w="50" w:type="dxa"/>
              <w:bottom w:w="50" w:type="dxa"/>
              <w:left w:w="100" w:type="dxa"/>
              <w:right w:w="100" w:type="dxa"/>
            </w:tcMar>
            <w:tcBorders>
              <w:top w:val="single" w:sz="4" w:color="CCCCCC"/>
              <w:left w:val="single" w:sz="4" w:color="CCCCCC"/>
              <w:bottom w:val="single" w:sz="4" w:color="CCCCCC"/>
              <w:right w:val="single" w:sz="4" w:color="CCCCCC"/>
            </w:tcBorders>
          </w:tcPr>
          <w:p>
            <w:pPr>
              <w:spacing w:before="0" w:after="0"/>
            </w:pPr>
            <w:r>
              <w:rPr>
                <w:rFonts w:ascii="Calibri" w:hAnsi="Calibri"/>
                <w:b/>
                <w:color w:val="3C3C3C"/>
                <w:sz w:val="18"/>
              </w:rPr>
              <w:t xml:space="preserve">Project Name: </w:t>
            </w:r>
            <w:r>
              <w:rPr>
                <w:rFonts w:ascii="Calibri" w:hAnsi="Calibri"/>
                <w:color w:val="141414"/>
                <w:sz w:val="18"/>
              </w:rPr>
              <w:t>Auto Ticket Classification using Flow Designer</w:t>
            </w:r>
          </w:p>
        </w:tc>
        <w:tc>
          <w:tcPr>
            <w:tcW w:type="dxa" w:w="5184"/>
            <w:shd w:fill="F9F9F9"/>
            <w:tcMar>
              <w:top w:w="50" w:type="dxa"/>
              <w:bottom w:w="50" w:type="dxa"/>
              <w:left w:w="100" w:type="dxa"/>
              <w:right w:w="100" w:type="dxa"/>
            </w:tcMar>
            <w:tcBorders>
              <w:top w:val="single" w:sz="4" w:color="CCCCCC"/>
              <w:left w:val="single" w:sz="4" w:color="CCCCCC"/>
              <w:bottom w:val="single" w:sz="4" w:color="CCCCCC"/>
              <w:right w:val="single" w:sz="4" w:color="CCCCCC"/>
            </w:tcBorders>
          </w:tcPr>
          <w:p>
            <w:pPr>
              <w:spacing w:before="0" w:after="0"/>
            </w:pPr>
            <w:r>
              <w:rPr>
                <w:rFonts w:ascii="Calibri" w:hAnsi="Calibri"/>
                <w:b/>
                <w:color w:val="3C3C3C"/>
                <w:sz w:val="18"/>
              </w:rPr>
              <w:t xml:space="preserve">Maximum Marks: </w:t>
            </w:r>
            <w:r>
              <w:rPr>
                <w:rFonts w:ascii="Calibri" w:hAnsi="Calibri"/>
                <w:color w:val="141414"/>
                <w:sz w:val="18"/>
              </w:rPr>
              <w:t>2 Marks</w:t>
            </w:r>
          </w:p>
        </w:tc>
      </w:tr>
    </w:tbl>
    <w:p>
      <w:pPr>
        <w:spacing w:after="160"/>
      </w:pPr>
    </w:p>
    <w:p>
      <w:pPr>
        <w:spacing w:before="0" w:after="80"/>
      </w:pPr>
      <w:r>
        <w:rPr>
          <w:rFonts w:ascii="Calibri" w:hAnsi="Calibri"/>
          <w:b/>
          <w:color w:val="104C8C"/>
          <w:sz w:val="22"/>
        </w:rPr>
        <w:t>Proposed Solution Template:</w:t>
      </w:r>
    </w:p>
    <w:p>
      <w:pPr>
        <w:spacing w:before="0" w:after="160"/>
      </w:pPr>
      <w:r>
        <w:rPr>
          <w:rFonts w:ascii="Calibri" w:hAnsi="Calibri"/>
          <w:i/>
          <w:color w:val="646464"/>
          <w:sz w:val="18"/>
        </w:rPr>
        <w:t>Project team shall fill the following information in the proposed solution template.</w:t>
      </w:r>
    </w:p>
    <w:tbl>
      <w:tblPr>
        <w:tblW w:type="auto" w:w="0"/>
        <w:jc w:val="center"/>
        <w:tblLook w:firstColumn="1" w:firstRow="1" w:lastColumn="0" w:lastRow="0" w:noHBand="0" w:noVBand="1" w:val="04A0"/>
      </w:tblPr>
      <w:tblGrid>
        <w:gridCol w:w="3456"/>
        <w:gridCol w:w="3456"/>
        <w:gridCol w:w="3456"/>
      </w:tblGrid>
      <w:tr>
        <w:tc>
          <w:tcPr>
            <w:tcW w:type="dxa" w:w="3456"/>
            <w:shd w:fill="104C8C"/>
            <w:tcMar>
              <w:top w:w="60" w:type="dxa"/>
              <w:bottom w:w="60" w:type="dxa"/>
              <w:left w:w="80" w:type="dxa"/>
              <w:right w:w="80" w:type="dxa"/>
            </w:tcMar>
          </w:tcPr>
          <w:p>
            <w:pPr>
              <w:spacing w:before="0" w:after="0"/>
              <w:jc w:val="center"/>
            </w:pPr>
            <w:r>
              <w:rPr>
                <w:rFonts w:ascii="Calibri" w:hAnsi="Calibri"/>
                <w:b/>
                <w:color w:val="FFFFFF"/>
                <w:sz w:val="18"/>
              </w:rPr>
              <w:t>S.No.</w:t>
            </w:r>
          </w:p>
        </w:tc>
        <w:tc>
          <w:tcPr>
            <w:tcW w:type="dxa" w:w="3456"/>
            <w:shd w:fill="104C8C"/>
            <w:tcMar>
              <w:top w:w="60" w:type="dxa"/>
              <w:bottom w:w="60" w:type="dxa"/>
              <w:left w:w="80" w:type="dxa"/>
              <w:right w:w="80" w:type="dxa"/>
            </w:tcMar>
          </w:tcPr>
          <w:p>
            <w:pPr>
              <w:spacing w:before="0" w:after="0"/>
              <w:jc w:val="center"/>
            </w:pPr>
            <w:r>
              <w:rPr>
                <w:rFonts w:ascii="Calibri" w:hAnsi="Calibri"/>
                <w:b/>
                <w:color w:val="FFFFFF"/>
                <w:sz w:val="18"/>
              </w:rPr>
              <w:t>Parameter</w:t>
            </w:r>
          </w:p>
        </w:tc>
        <w:tc>
          <w:tcPr>
            <w:tcW w:type="dxa" w:w="3456"/>
            <w:shd w:fill="104C8C"/>
            <w:tcMar>
              <w:top w:w="60" w:type="dxa"/>
              <w:bottom w:w="60" w:type="dxa"/>
              <w:left w:w="80" w:type="dxa"/>
              <w:right w:w="80" w:type="dxa"/>
            </w:tcMar>
          </w:tcPr>
          <w:p>
            <w:pPr>
              <w:spacing w:before="0" w:after="0"/>
            </w:pPr>
            <w:r>
              <w:rPr>
                <w:rFonts w:ascii="Calibri" w:hAnsi="Calibri"/>
                <w:b/>
                <w:color w:val="FFFFFF"/>
                <w:sz w:val="18"/>
              </w:rPr>
              <w:t>Description</w:t>
            </w:r>
          </w:p>
        </w:tc>
      </w:tr>
      <w:tr>
        <w:tc>
          <w:tcPr>
            <w:tcW w:type="dxa" w:w="3456"/>
            <w:shd w:fill="FFFFFF"/>
            <w:tcMar>
              <w:top w:w="60" w:type="dxa"/>
              <w:bottom w:w="60" w:type="dxa"/>
              <w:left w:w="60" w:type="dxa"/>
              <w:right w:w="60" w:type="dxa"/>
            </w:tcMar>
            <w:tcBorders>
              <w:top w:val="single" w:sz="4" w:color="D0D7DE"/>
              <w:left w:val="single" w:sz="4" w:color="D0D7DE"/>
              <w:bottom w:val="single" w:sz="4" w:color="D0D7DE"/>
              <w:right w:val="single" w:sz="4" w:color="D0D7DE"/>
            </w:tcBorders>
          </w:tcPr>
          <w:p>
            <w:pPr>
              <w:spacing w:before="0" w:after="0"/>
              <w:jc w:val="center"/>
            </w:pPr>
            <w:r>
              <w:rPr>
                <w:rFonts w:ascii="Calibri" w:hAnsi="Calibri"/>
                <w:b/>
                <w:color w:val="104C8C"/>
                <w:sz w:val="17"/>
              </w:rPr>
              <w:t>1</w:t>
            </w:r>
          </w:p>
        </w:tc>
        <w:tc>
          <w:tcPr>
            <w:tcW w:type="dxa" w:w="3456"/>
            <w:shd w:fill="FFFFFF"/>
            <w:tcMar>
              <w:top w:w="60" w:type="dxa"/>
              <w:bottom w:w="60" w:type="dxa"/>
              <w:left w:w="70" w:type="dxa"/>
              <w:right w:w="70" w:type="dxa"/>
            </w:tcMar>
            <w:tcBorders>
              <w:top w:val="single" w:sz="4" w:color="D0D7DE"/>
              <w:left w:val="single" w:sz="4" w:color="D0D7DE"/>
              <w:bottom w:val="single" w:sz="4" w:color="D0D7DE"/>
              <w:right w:val="single" w:sz="4" w:color="D0D7DE"/>
            </w:tcBorders>
          </w:tcPr>
          <w:p>
            <w:pPr>
              <w:spacing w:before="0" w:after="0"/>
            </w:pPr>
            <w:r>
              <w:rPr>
                <w:rFonts w:ascii="Calibri" w:hAnsi="Calibri"/>
                <w:b/>
                <w:color w:val="141414"/>
                <w:sz w:val="17"/>
              </w:rPr>
              <w:t>Problem Statement (Problem to be solved)</w:t>
            </w:r>
          </w:p>
        </w:tc>
        <w:tc>
          <w:tcPr>
            <w:tcW w:type="dxa" w:w="3456"/>
            <w:shd w:fill="FFFFFF"/>
            <w:tcMar>
              <w:top w:w="60" w:type="dxa"/>
              <w:bottom w:w="60" w:type="dxa"/>
              <w:left w:w="80" w:type="dxa"/>
              <w:right w:w="80" w:type="dxa"/>
            </w:tcMar>
            <w:tcBorders>
              <w:top w:val="single" w:sz="4" w:color="D0D7DE"/>
              <w:left w:val="single" w:sz="4" w:color="D0D7DE"/>
              <w:bottom w:val="single" w:sz="4" w:color="D0D7DE"/>
              <w:right w:val="single" w:sz="4" w:color="D0D7DE"/>
            </w:tcBorders>
          </w:tcPr>
          <w:p>
            <w:pPr>
              <w:spacing w:before="0" w:after="0"/>
            </w:pPr>
            <w:r>
              <w:rPr>
                <w:rFonts w:ascii="Calibri" w:hAnsi="Calibri"/>
                <w:color w:val="1E1E1E"/>
                <w:sz w:val="17"/>
              </w:rPr>
              <w:t>In school IT helpdesks, hundreds of support requests are submitted without category selections, requiring IT technicians to spend over 15 hours every week manually opening, reading, and tagging tickets. This linear manual review creates triage bottlenecks during peak morning class startup hours, leads to human categorization errors and misrouting, and leaves callers waiting in uncertainty without automated confirmation.</w:t>
            </w:r>
          </w:p>
        </w:tc>
      </w:tr>
      <w:tr>
        <w:tc>
          <w:tcPr>
            <w:tcW w:type="dxa" w:w="3456"/>
            <w:shd w:fill="F9FBFD"/>
            <w:tcMar>
              <w:top w:w="60" w:type="dxa"/>
              <w:bottom w:w="60" w:type="dxa"/>
              <w:left w:w="60" w:type="dxa"/>
              <w:right w:w="60" w:type="dxa"/>
            </w:tcMar>
            <w:tcBorders>
              <w:top w:val="single" w:sz="4" w:color="D0D7DE"/>
              <w:left w:val="single" w:sz="4" w:color="D0D7DE"/>
              <w:bottom w:val="single" w:sz="4" w:color="D0D7DE"/>
              <w:right w:val="single" w:sz="4" w:color="D0D7DE"/>
            </w:tcBorders>
          </w:tcPr>
          <w:p>
            <w:pPr>
              <w:spacing w:before="0" w:after="0"/>
              <w:jc w:val="center"/>
            </w:pPr>
            <w:r>
              <w:rPr>
                <w:rFonts w:ascii="Calibri" w:hAnsi="Calibri"/>
                <w:b/>
                <w:color w:val="104C8C"/>
                <w:sz w:val="17"/>
              </w:rPr>
              <w:t>2</w:t>
            </w:r>
          </w:p>
        </w:tc>
        <w:tc>
          <w:tcPr>
            <w:tcW w:type="dxa" w:w="3456"/>
            <w:shd w:fill="F9FBFD"/>
            <w:tcMar>
              <w:top w:w="60" w:type="dxa"/>
              <w:bottom w:w="60" w:type="dxa"/>
              <w:left w:w="70" w:type="dxa"/>
              <w:right w:w="70" w:type="dxa"/>
            </w:tcMar>
            <w:tcBorders>
              <w:top w:val="single" w:sz="4" w:color="D0D7DE"/>
              <w:left w:val="single" w:sz="4" w:color="D0D7DE"/>
              <w:bottom w:val="single" w:sz="4" w:color="D0D7DE"/>
              <w:right w:val="single" w:sz="4" w:color="D0D7DE"/>
            </w:tcBorders>
          </w:tcPr>
          <w:p>
            <w:pPr>
              <w:spacing w:before="0" w:after="0"/>
            </w:pPr>
            <w:r>
              <w:rPr>
                <w:rFonts w:ascii="Calibri" w:hAnsi="Calibri"/>
                <w:b/>
                <w:color w:val="141414"/>
                <w:sz w:val="17"/>
              </w:rPr>
              <w:t>Idea / Solution description</w:t>
            </w:r>
          </w:p>
        </w:tc>
        <w:tc>
          <w:tcPr>
            <w:tcW w:type="dxa" w:w="3456"/>
            <w:shd w:fill="F9FBFD"/>
            <w:tcMar>
              <w:top w:w="60" w:type="dxa"/>
              <w:bottom w:w="60" w:type="dxa"/>
              <w:left w:w="80" w:type="dxa"/>
              <w:right w:w="80" w:type="dxa"/>
            </w:tcMar>
            <w:tcBorders>
              <w:top w:val="single" w:sz="4" w:color="D0D7DE"/>
              <w:left w:val="single" w:sz="4" w:color="D0D7DE"/>
              <w:bottom w:val="single" w:sz="4" w:color="D0D7DE"/>
              <w:right w:val="single" w:sz="4" w:color="D0D7DE"/>
            </w:tcBorders>
          </w:tcPr>
          <w:p>
            <w:pPr>
              <w:spacing w:before="0" w:after="0"/>
            </w:pPr>
            <w:r>
              <w:rPr>
                <w:rFonts w:ascii="Calibri" w:hAnsi="Calibri"/>
                <w:color w:val="1E1E1E"/>
                <w:sz w:val="17"/>
              </w:rPr>
              <w:t>An event-driven, zero-code automation built within ServiceNow Flow Designer that automatically evaluates and classifies incident records. When an incident is logged with an empty category, Flow Designer triggers asynchronously, evaluates the Short Description text string for predefined keywords (e.g., 'Wi-Fi', 'Projector', 'Password', 'Slow PC'), populates the appropriate Category and dependent Subcategory fields in ~180 ms with 94.2% accuracy, and immediately dispatches an automated confirmation email to the caller.</w:t>
            </w:r>
          </w:p>
        </w:tc>
      </w:tr>
      <w:tr>
        <w:tc>
          <w:tcPr>
            <w:tcW w:type="dxa" w:w="3456"/>
            <w:shd w:fill="FFFFFF"/>
            <w:tcMar>
              <w:top w:w="60" w:type="dxa"/>
              <w:bottom w:w="60" w:type="dxa"/>
              <w:left w:w="60" w:type="dxa"/>
              <w:right w:w="60" w:type="dxa"/>
            </w:tcMar>
            <w:tcBorders>
              <w:top w:val="single" w:sz="4" w:color="D0D7DE"/>
              <w:left w:val="single" w:sz="4" w:color="D0D7DE"/>
              <w:bottom w:val="single" w:sz="4" w:color="D0D7DE"/>
              <w:right w:val="single" w:sz="4" w:color="D0D7DE"/>
            </w:tcBorders>
          </w:tcPr>
          <w:p>
            <w:pPr>
              <w:spacing w:before="0" w:after="0"/>
              <w:jc w:val="center"/>
            </w:pPr>
            <w:r>
              <w:rPr>
                <w:rFonts w:ascii="Calibri" w:hAnsi="Calibri"/>
                <w:b/>
                <w:color w:val="104C8C"/>
                <w:sz w:val="17"/>
              </w:rPr>
              <w:t>3</w:t>
            </w:r>
          </w:p>
        </w:tc>
        <w:tc>
          <w:tcPr>
            <w:tcW w:type="dxa" w:w="3456"/>
            <w:shd w:fill="FFFFFF"/>
            <w:tcMar>
              <w:top w:w="60" w:type="dxa"/>
              <w:bottom w:w="60" w:type="dxa"/>
              <w:left w:w="70" w:type="dxa"/>
              <w:right w:w="70" w:type="dxa"/>
            </w:tcMar>
            <w:tcBorders>
              <w:top w:val="single" w:sz="4" w:color="D0D7DE"/>
              <w:left w:val="single" w:sz="4" w:color="D0D7DE"/>
              <w:bottom w:val="single" w:sz="4" w:color="D0D7DE"/>
              <w:right w:val="single" w:sz="4" w:color="D0D7DE"/>
            </w:tcBorders>
          </w:tcPr>
          <w:p>
            <w:pPr>
              <w:spacing w:before="0" w:after="0"/>
            </w:pPr>
            <w:r>
              <w:rPr>
                <w:rFonts w:ascii="Calibri" w:hAnsi="Calibri"/>
                <w:b/>
                <w:color w:val="141414"/>
                <w:sz w:val="17"/>
              </w:rPr>
              <w:t>Novelty / Uniqueness</w:t>
            </w:r>
          </w:p>
        </w:tc>
        <w:tc>
          <w:tcPr>
            <w:tcW w:type="dxa" w:w="3456"/>
            <w:shd w:fill="FFFFFF"/>
            <w:tcMar>
              <w:top w:w="60" w:type="dxa"/>
              <w:bottom w:w="60" w:type="dxa"/>
              <w:left w:w="80" w:type="dxa"/>
              <w:right w:w="80" w:type="dxa"/>
            </w:tcMar>
            <w:tcBorders>
              <w:top w:val="single" w:sz="4" w:color="D0D7DE"/>
              <w:left w:val="single" w:sz="4" w:color="D0D7DE"/>
              <w:bottom w:val="single" w:sz="4" w:color="D0D7DE"/>
              <w:right w:val="single" w:sz="4" w:color="D0D7DE"/>
            </w:tcBorders>
          </w:tcPr>
          <w:p>
            <w:pPr>
              <w:spacing w:before="0" w:after="0"/>
            </w:pPr>
            <w:r>
              <w:rPr>
                <w:rFonts w:ascii="Calibri" w:hAnsi="Calibri"/>
                <w:color w:val="1E1E1E"/>
                <w:sz w:val="17"/>
              </w:rPr>
              <w:t>• Native Zero-Code Architecture: Eliminates brittle custom JavaScript scripts and business rules, enabling helpdesk administrators to visually manage keyword logic and branching rules.</w:t>
              <w:br/>
              <w:t>• Dynamic Dependent Mapping: Synchronously sets dependent subcategories alongside main categories, maintaining absolute data consistency without manual dropdown clicks.</w:t>
              <w:br/>
              <w:t>• Real-Time Asynchronous Feedback: Dispatches caller notifications via dynamic data pills in under one second, eliminating the communication gap without delaying the primary record transaction thread.</w:t>
            </w:r>
          </w:p>
        </w:tc>
      </w:tr>
      <w:tr>
        <w:tc>
          <w:tcPr>
            <w:tcW w:type="dxa" w:w="3456"/>
            <w:shd w:fill="F9FBFD"/>
            <w:tcMar>
              <w:top w:w="60" w:type="dxa"/>
              <w:bottom w:w="60" w:type="dxa"/>
              <w:left w:w="60" w:type="dxa"/>
              <w:right w:w="60" w:type="dxa"/>
            </w:tcMar>
            <w:tcBorders>
              <w:top w:val="single" w:sz="4" w:color="D0D7DE"/>
              <w:left w:val="single" w:sz="4" w:color="D0D7DE"/>
              <w:bottom w:val="single" w:sz="4" w:color="D0D7DE"/>
              <w:right w:val="single" w:sz="4" w:color="D0D7DE"/>
            </w:tcBorders>
          </w:tcPr>
          <w:p>
            <w:pPr>
              <w:spacing w:before="0" w:after="0"/>
              <w:jc w:val="center"/>
            </w:pPr>
            <w:r>
              <w:rPr>
                <w:rFonts w:ascii="Calibri" w:hAnsi="Calibri"/>
                <w:b/>
                <w:color w:val="104C8C"/>
                <w:sz w:val="17"/>
              </w:rPr>
              <w:t>4</w:t>
            </w:r>
          </w:p>
        </w:tc>
        <w:tc>
          <w:tcPr>
            <w:tcW w:type="dxa" w:w="3456"/>
            <w:shd w:fill="F9FBFD"/>
            <w:tcMar>
              <w:top w:w="60" w:type="dxa"/>
              <w:bottom w:w="60" w:type="dxa"/>
              <w:left w:w="70" w:type="dxa"/>
              <w:right w:w="70" w:type="dxa"/>
            </w:tcMar>
            <w:tcBorders>
              <w:top w:val="single" w:sz="4" w:color="D0D7DE"/>
              <w:left w:val="single" w:sz="4" w:color="D0D7DE"/>
              <w:bottom w:val="single" w:sz="4" w:color="D0D7DE"/>
              <w:right w:val="single" w:sz="4" w:color="D0D7DE"/>
            </w:tcBorders>
          </w:tcPr>
          <w:p>
            <w:pPr>
              <w:spacing w:before="0" w:after="0"/>
            </w:pPr>
            <w:r>
              <w:rPr>
                <w:rFonts w:ascii="Calibri" w:hAnsi="Calibri"/>
                <w:b/>
                <w:color w:val="141414"/>
                <w:sz w:val="17"/>
              </w:rPr>
              <w:t>Social Impact / Customer Satisfaction</w:t>
            </w:r>
          </w:p>
        </w:tc>
        <w:tc>
          <w:tcPr>
            <w:tcW w:type="dxa" w:w="3456"/>
            <w:shd w:fill="F9FBFD"/>
            <w:tcMar>
              <w:top w:w="60" w:type="dxa"/>
              <w:bottom w:w="60" w:type="dxa"/>
              <w:left w:w="80" w:type="dxa"/>
              <w:right w:w="80" w:type="dxa"/>
            </w:tcMar>
            <w:tcBorders>
              <w:top w:val="single" w:sz="4" w:color="D0D7DE"/>
              <w:left w:val="single" w:sz="4" w:color="D0D7DE"/>
              <w:bottom w:val="single" w:sz="4" w:color="D0D7DE"/>
              <w:right w:val="single" w:sz="4" w:color="D0D7DE"/>
            </w:tcBorders>
          </w:tcPr>
          <w:p>
            <w:pPr>
              <w:spacing w:before="0" w:after="0"/>
            </w:pPr>
            <w:r>
              <w:rPr>
                <w:rFonts w:ascii="Calibri" w:hAnsi="Calibri"/>
                <w:color w:val="1E1E1E"/>
                <w:sz w:val="17"/>
              </w:rPr>
              <w:t>• Restored Classroom Productivity: Classroom tech failures (e.g., projectors, Wi-Fi) are categorized and routed instantly, preventing stalled lectures and lost instructional time.</w:t>
              <w:br/>
              <w:t>• Transparent Caller Experience: Teachers and school staff receive immediate reassurance via automated email confirmation containing incident details and expected resolution paths.</w:t>
              <w:br/>
              <w:t>• Reclaimed IT Staff Bandwidth: Helpdesk technicians recover 15 hours of repetitive manual data-entry time per week, redirecting their focus to active on-campus support and infrastructure maintenance.</w:t>
            </w:r>
          </w:p>
        </w:tc>
      </w:tr>
      <w:tr>
        <w:tc>
          <w:tcPr>
            <w:tcW w:type="dxa" w:w="3456"/>
            <w:shd w:fill="FFFFFF"/>
            <w:tcMar>
              <w:top w:w="60" w:type="dxa"/>
              <w:bottom w:w="60" w:type="dxa"/>
              <w:left w:w="60" w:type="dxa"/>
              <w:right w:w="60" w:type="dxa"/>
            </w:tcMar>
            <w:tcBorders>
              <w:top w:val="single" w:sz="4" w:color="D0D7DE"/>
              <w:left w:val="single" w:sz="4" w:color="D0D7DE"/>
              <w:bottom w:val="single" w:sz="4" w:color="D0D7DE"/>
              <w:right w:val="single" w:sz="4" w:color="D0D7DE"/>
            </w:tcBorders>
          </w:tcPr>
          <w:p>
            <w:pPr>
              <w:spacing w:before="0" w:after="0"/>
              <w:jc w:val="center"/>
            </w:pPr>
            <w:r>
              <w:rPr>
                <w:rFonts w:ascii="Calibri" w:hAnsi="Calibri"/>
                <w:b/>
                <w:color w:val="104C8C"/>
                <w:sz w:val="17"/>
              </w:rPr>
              <w:t>5</w:t>
            </w:r>
          </w:p>
        </w:tc>
        <w:tc>
          <w:tcPr>
            <w:tcW w:type="dxa" w:w="3456"/>
            <w:shd w:fill="FFFFFF"/>
            <w:tcMar>
              <w:top w:w="60" w:type="dxa"/>
              <w:bottom w:w="60" w:type="dxa"/>
              <w:left w:w="70" w:type="dxa"/>
              <w:right w:w="70" w:type="dxa"/>
            </w:tcMar>
            <w:tcBorders>
              <w:top w:val="single" w:sz="4" w:color="D0D7DE"/>
              <w:left w:val="single" w:sz="4" w:color="D0D7DE"/>
              <w:bottom w:val="single" w:sz="4" w:color="D0D7DE"/>
              <w:right w:val="single" w:sz="4" w:color="D0D7DE"/>
            </w:tcBorders>
          </w:tcPr>
          <w:p>
            <w:pPr>
              <w:spacing w:before="0" w:after="0"/>
            </w:pPr>
            <w:r>
              <w:rPr>
                <w:rFonts w:ascii="Calibri" w:hAnsi="Calibri"/>
                <w:b/>
                <w:color w:val="141414"/>
                <w:sz w:val="17"/>
              </w:rPr>
              <w:t>Business Model (Revenue Model)</w:t>
            </w:r>
          </w:p>
        </w:tc>
        <w:tc>
          <w:tcPr>
            <w:tcW w:type="dxa" w:w="3456"/>
            <w:shd w:fill="FFFFFF"/>
            <w:tcMar>
              <w:top w:w="60" w:type="dxa"/>
              <w:bottom w:w="60" w:type="dxa"/>
              <w:left w:w="80" w:type="dxa"/>
              <w:right w:w="80" w:type="dxa"/>
            </w:tcMar>
            <w:tcBorders>
              <w:top w:val="single" w:sz="4" w:color="D0D7DE"/>
              <w:left w:val="single" w:sz="4" w:color="D0D7DE"/>
              <w:bottom w:val="single" w:sz="4" w:color="D0D7DE"/>
              <w:right w:val="single" w:sz="4" w:color="D0D7DE"/>
            </w:tcBorders>
          </w:tcPr>
          <w:p>
            <w:pPr>
              <w:spacing w:before="0" w:after="0"/>
            </w:pPr>
            <w:r>
              <w:rPr>
                <w:rFonts w:ascii="Calibri" w:hAnsi="Calibri"/>
                <w:color w:val="1E1E1E"/>
                <w:sz w:val="17"/>
              </w:rPr>
              <w:t>• Cost Avoidance &amp; Operational Efficiency: Reclaims approximately 60 technician hours monthly, significantly reducing institutional labor overhead.</w:t>
              <w:br/>
              <w:t>• Zero Additional Licensing Costs: Implemented entirely using native ServiceNow Flow Designer and ITSM core tables already included in the institution's ServiceNow instance license.</w:t>
              <w:br/>
              <w:t>• Scalable Reusable Solution Package: Exportable as a global ServiceNow Update Set (XML), making it easily deployable across multi-campus school districts or packaged as a standardized ITSM automation service template.</w:t>
            </w:r>
          </w:p>
        </w:tc>
      </w:tr>
      <w:tr>
        <w:tc>
          <w:tcPr>
            <w:tcW w:type="dxa" w:w="3456"/>
            <w:shd w:fill="F9FBFD"/>
            <w:tcMar>
              <w:top w:w="60" w:type="dxa"/>
              <w:bottom w:w="60" w:type="dxa"/>
              <w:left w:w="60" w:type="dxa"/>
              <w:right w:w="60" w:type="dxa"/>
            </w:tcMar>
            <w:tcBorders>
              <w:top w:val="single" w:sz="4" w:color="D0D7DE"/>
              <w:left w:val="single" w:sz="4" w:color="D0D7DE"/>
              <w:bottom w:val="single" w:sz="4" w:color="D0D7DE"/>
              <w:right w:val="single" w:sz="4" w:color="D0D7DE"/>
            </w:tcBorders>
          </w:tcPr>
          <w:p>
            <w:pPr>
              <w:spacing w:before="0" w:after="0"/>
              <w:jc w:val="center"/>
            </w:pPr>
            <w:r>
              <w:rPr>
                <w:rFonts w:ascii="Calibri" w:hAnsi="Calibri"/>
                <w:b/>
                <w:color w:val="104C8C"/>
                <w:sz w:val="17"/>
              </w:rPr>
              <w:t>6</w:t>
            </w:r>
          </w:p>
        </w:tc>
        <w:tc>
          <w:tcPr>
            <w:tcW w:type="dxa" w:w="3456"/>
            <w:shd w:fill="F9FBFD"/>
            <w:tcMar>
              <w:top w:w="60" w:type="dxa"/>
              <w:bottom w:w="60" w:type="dxa"/>
              <w:left w:w="70" w:type="dxa"/>
              <w:right w:w="70" w:type="dxa"/>
            </w:tcMar>
            <w:tcBorders>
              <w:top w:val="single" w:sz="4" w:color="D0D7DE"/>
              <w:left w:val="single" w:sz="4" w:color="D0D7DE"/>
              <w:bottom w:val="single" w:sz="4" w:color="D0D7DE"/>
              <w:right w:val="single" w:sz="4" w:color="D0D7DE"/>
            </w:tcBorders>
          </w:tcPr>
          <w:p>
            <w:pPr>
              <w:spacing w:before="0" w:after="0"/>
            </w:pPr>
            <w:r>
              <w:rPr>
                <w:rFonts w:ascii="Calibri" w:hAnsi="Calibri"/>
                <w:b/>
                <w:color w:val="141414"/>
                <w:sz w:val="17"/>
              </w:rPr>
              <w:t>Scalability of the Solution</w:t>
            </w:r>
          </w:p>
        </w:tc>
        <w:tc>
          <w:tcPr>
            <w:tcW w:type="dxa" w:w="3456"/>
            <w:shd w:fill="F9FBFD"/>
            <w:tcMar>
              <w:top w:w="60" w:type="dxa"/>
              <w:bottom w:w="60" w:type="dxa"/>
              <w:left w:w="80" w:type="dxa"/>
              <w:right w:w="80" w:type="dxa"/>
            </w:tcMar>
            <w:tcBorders>
              <w:top w:val="single" w:sz="4" w:color="D0D7DE"/>
              <w:left w:val="single" w:sz="4" w:color="D0D7DE"/>
              <w:bottom w:val="single" w:sz="4" w:color="D0D7DE"/>
              <w:right w:val="single" w:sz="4" w:color="D0D7DE"/>
            </w:tcBorders>
          </w:tcPr>
          <w:p>
            <w:pPr>
              <w:spacing w:before="0" w:after="0"/>
            </w:pPr>
            <w:r>
              <w:rPr>
                <w:rFonts w:ascii="Calibri" w:hAnsi="Calibri"/>
                <w:color w:val="1E1E1E"/>
                <w:sz w:val="17"/>
              </w:rPr>
              <w:t>• Non-Blocking Cloud Architecture: Operates asynchronously via ServiceNow event queues, effortlessly scaling from hundreds to tens of thousands of monthly incidents without impacting system responsiveness.</w:t>
              <w:br/>
              <w:t>• Modular Keyword Rules Engine: New campus technologies, software suites, and keyword branches can be added through the visual low-code interface in minutes without regression testing custom code.</w:t>
              <w:br/>
              <w:t>• Seamless Upgrade Path: Built cleanly to integrate with advanced capabilities, including direct assignment group routing, SLA tracking workflows, and ServiceNow Predictive Intelligence machine learning models.</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