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646464"/>
          <w:sz w:val="20"/>
        </w:rPr>
        <w:t>Project Design Phase</w:t>
      </w:r>
    </w:p>
    <w:p>
      <w:pPr>
        <w:spacing w:before="0" w:after="80"/>
      </w:pPr>
      <w:r>
        <w:rPr>
          <w:rFonts w:ascii="Calibri" w:hAnsi="Calibri"/>
          <w:b/>
          <w:color w:val="104C8C"/>
          <w:sz w:val="30"/>
        </w:rPr>
        <w:t>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Date: </w:t>
            </w:r>
            <w:r>
              <w:rPr>
                <w:rFonts w:ascii="Calibri" w:hAnsi="Calibri"/>
                <w:color w:val="141414"/>
                <w:sz w:val="18"/>
              </w:rPr>
              <w:t>03/10/2026</w:t>
            </w:r>
          </w:p>
        </w:tc>
        <w:tc>
          <w:tcPr>
            <w:tcW w:type="dxa" w:w="5256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Team ID: </w:t>
            </w:r>
            <w:r>
              <w:rPr>
                <w:rFonts w:ascii="Calibri" w:hAnsi="Calibri"/>
                <w:color w:val="141414"/>
                <w:sz w:val="18"/>
              </w:rPr>
              <w:t>6ab8f707c23107aaaa73276f</w:t>
            </w:r>
          </w:p>
        </w:tc>
      </w:tr>
      <w:tr>
        <w:tc>
          <w:tcPr>
            <w:tcW w:type="dxa" w:w="5256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Project Name: </w:t>
            </w:r>
            <w:r>
              <w:rPr>
                <w:rFonts w:ascii="Calibri" w:hAnsi="Calibri"/>
                <w:color w:val="141414"/>
                <w:sz w:val="18"/>
              </w:rPr>
              <w:t>Auto Ticket Classification using Flow Designer</w:t>
            </w:r>
          </w:p>
        </w:tc>
        <w:tc>
          <w:tcPr>
            <w:tcW w:type="dxa" w:w="5256"/>
            <w:shd w:fill="F9F9F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Maximum Marks: </w:t>
            </w:r>
            <w:r>
              <w:rPr>
                <w:rFonts w:ascii="Calibri" w:hAnsi="Calibri"/>
                <w:color w:val="141414"/>
                <w:sz w:val="18"/>
              </w:rPr>
              <w:t>4 Marks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/>
          <w:b/>
          <w:color w:val="104C8C"/>
          <w:sz w:val="22"/>
        </w:rPr>
        <w:t>1. Solution Architecture Description</w:t>
      </w:r>
    </w:p>
    <w:p>
      <w:pPr>
        <w:spacing w:before="0" w:after="120"/>
      </w:pPr>
      <w:r>
        <w:rPr>
          <w:rFonts w:ascii="Calibri" w:hAnsi="Calibri"/>
          <w:color w:val="323232"/>
          <w:sz w:val="17"/>
        </w:rPr>
        <w:t>Solution architecture bridges the gap between campus ITSM operational bottlenecks and low-code cloud automation. The architecture establishes an event-driven, zero-code pipeline inside ServiceNow that detects incoming incidents with unpopulated categories, evaluates keyword patterns, assigns dependent category/subcategory taxonomies, and notifies callers asynchronously in sub-second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8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6" w:color="90CAF9"/>
              <w:left w:val="single" w:sz="6" w:color="90CAF9"/>
              <w:bottom w:val="single" w:sz="6" w:color="90CAF9"/>
              <w:right w:val="single" w:sz="6" w:color="90CAF9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42846"/>
                <w:sz w:val="15"/>
              </w:rPr>
              <w:t>FIGURE 1: END-TO-END SERVICENOW SOLUTION ARCHITECTURE FLOW</w:t>
              <w:br/>
              <w:br/>
              <w:t>[Layer 1: User Ingestion Channels]</w:t>
              <w:br/>
              <w:t xml:space="preserve">  ├─► Teacher / Staff Incident Submission via Service Portal Form</w:t>
              <w:br/>
              <w:t xml:space="preserve">  └─► Inbound Email Service (Automated Incident Generation)</w:t>
              <w:br/>
              <w:t xml:space="preserve">         │</w:t>
              <w:br/>
              <w:t xml:space="preserve">         ▼ (Creates incident with empty Category)</w:t>
              <w:br/>
              <w:t>[Layer 2: Data Persistence &amp; Event Engine]</w:t>
              <w:br/>
              <w:t xml:space="preserve">  ├─► Incident WorkFlow Table (sys_id, caller_id, short_description, category, subcategory)</w:t>
              <w:br/>
              <w:t xml:space="preserve">  └─► Event Trigger: Record Created [Trigger Condition: Category IS EMPTY]</w:t>
              <w:br/>
              <w:t xml:space="preserve">         │</w:t>
              <w:br/>
              <w:t xml:space="preserve">         ▼ (Asynchronous Execution Context: System User)</w:t>
              <w:br/>
              <w:t>[Layer 3: Flow Designer Low-Code Processing Engine]</w:t>
              <w:br/>
              <w:t xml:space="preserve">  ├─► Stage 1: Text Evaluation Action (Case-insensitive String Matching)</w:t>
              <w:br/>
              <w:t xml:space="preserve">  │     ├─ IF contains ('Wi-Fi' | 'Network') ──────► Category: Network | Subcategory: Wi-Fi</w:t>
              <w:br/>
              <w:t xml:space="preserve">  │     ├─ ELSE IF contains ('Projector') ─────────► Category: Hardware | Subcategory: Projector</w:t>
              <w:br/>
              <w:t xml:space="preserve">  │     ├─ ELSE IF contains ('Password' | 'Login') ─► Category: Access | Subcategory: Forgot Password</w:t>
              <w:br/>
              <w:t xml:space="preserve">  │     ├─ ELSE IF contains ('Slow' | 'Hanging') ──► Category: Performance | Subcategory: Slow Computer</w:t>
              <w:br/>
              <w:t xml:space="preserve">  │     └─ ELSE (No Keyword Match) ────────────────► Category: Other | Route to Tier 1 Triage Queue</w:t>
              <w:br/>
              <w:t xml:space="preserve">  ├─► Stage 2: Database Record Update Action (Dynamic field write in ~180 ms)</w:t>
              <w:br/>
              <w:t xml:space="preserve">  └─► Stage 3: Dynamic Caller Notification Action (Pulls sys_user profile &amp; dispatches receipt email)</w:t>
              <w:br/>
              <w:t xml:space="preserve">         │</w:t>
              <w:br/>
              <w:t xml:space="preserve">         ▼</w:t>
              <w:br/>
              <w:t>[Layer 4: Resolver Group &amp; Analytics Workspace]</w:t>
              <w:br/>
              <w:t xml:space="preserve">  ├─► IT Technician Helpdesk Workspace (Auto-triaged queue with correct categories)</w:t>
              <w:br/>
              <w:t xml:space="preserve">  └─► Management Reporting Engine (Clean ITSM analytics, eliminated 15 hrs/wk triage overhead)</w:t>
            </w:r>
          </w:p>
        </w:tc>
      </w:tr>
    </w:tbl>
    <w:p>
      <w:pPr>
        <w:spacing w:after="120"/>
      </w:pPr>
    </w:p>
    <w:p>
      <w:pPr>
        <w:spacing w:before="0" w:after="60"/>
      </w:pPr>
      <w:r>
        <w:rPr>
          <w:rFonts w:ascii="Calibri" w:hAnsi="Calibri"/>
          <w:b/>
          <w:color w:val="104C8C"/>
          <w:sz w:val="22"/>
        </w:rPr>
        <w:t>2. System Architecture Layers &amp; Detailed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04C8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Architecture Layer</w:t>
            </w:r>
          </w:p>
        </w:tc>
        <w:tc>
          <w:tcPr>
            <w:tcW w:type="dxa" w:w="2628"/>
            <w:shd w:fill="104C8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Core Component</w:t>
            </w:r>
          </w:p>
        </w:tc>
        <w:tc>
          <w:tcPr>
            <w:tcW w:type="dxa" w:w="2628"/>
            <w:shd w:fill="104C8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Design Specifications &amp; Role</w:t>
            </w:r>
          </w:p>
        </w:tc>
        <w:tc>
          <w:tcPr>
            <w:tcW w:type="dxa" w:w="2628"/>
            <w:shd w:fill="104C8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Key Tech / Artifact</w:t>
            </w:r>
          </w:p>
        </w:tc>
      </w:tr>
      <w:tr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04C8C"/>
                <w:sz w:val="16"/>
              </w:rPr>
              <w:t>Presentation Layer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Service Portal &amp; Workspace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Provides responsive UI for callers to log issues and gives IT technicians a categorized incident workspace.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ServiceNow Service Portal, Next Experience UI</w:t>
            </w:r>
          </w:p>
        </w:tc>
      </w:tr>
      <w:tr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04C8C"/>
                <w:sz w:val="16"/>
              </w:rPr>
              <w:t>Trigger &amp; Event Layer</w:t>
            </w:r>
          </w:p>
        </w:tc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Flow Trigger Engine</w:t>
            </w:r>
          </w:p>
        </w:tc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Listens for insert operations on the Incident WorkFlow table where Category is empty; fires asynchronous flow thread.</w:t>
            </w:r>
          </w:p>
        </w:tc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Flow Trigger Engine (sys_trigger, Asynchronous)</w:t>
            </w:r>
          </w:p>
        </w:tc>
      </w:tr>
      <w:tr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04C8C"/>
                <w:sz w:val="16"/>
              </w:rPr>
              <w:t>Business Logic Layer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Keyword Evaluation Action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Executes zero-code conditional branching checking Short Description against rules; sets dependent fields.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Flow Designer Conditional Logic (IF/ELSE IF)</w:t>
            </w:r>
          </w:p>
        </w:tc>
      </w:tr>
      <w:tr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04C8C"/>
                <w:sz w:val="16"/>
              </w:rPr>
              <w:t>Communication Layer</w:t>
            </w:r>
          </w:p>
        </w:tc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Automated Outbound Email</w:t>
            </w:r>
          </w:p>
        </w:tc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Retrieves caller's email via sys_user reference pill; formats and dispatches confirmation notification.</w:t>
            </w:r>
          </w:p>
        </w:tc>
        <w:tc>
          <w:tcPr>
            <w:tcW w:type="dxa" w:w="2628"/>
            <w:shd w:fill="F9FBFD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ServiceNow Notification Action / Outbound SMTP</w:t>
            </w:r>
          </w:p>
        </w:tc>
      </w:tr>
      <w:tr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04C8C"/>
                <w:sz w:val="16"/>
              </w:rPr>
              <w:t>Data &amp; Storage Layer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Incident &amp; User Schema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Maintains relational integrity, dependent choice fields, audit history, and execution context logs.</w:t>
            </w:r>
          </w:p>
        </w:tc>
        <w:tc>
          <w:tcPr>
            <w:tcW w:type="dxa" w:w="26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1E1E"/>
                <w:sz w:val="15"/>
              </w:rPr>
              <w:t>ServiceNow MariaDB/MySQL Relational Schema</w:t>
            </w:r>
          </w:p>
        </w:tc>
      </w:tr>
    </w:tbl>
    <w:p>
      <w:pPr>
        <w:spacing w:after="120"/>
      </w:pPr>
    </w:p>
    <w:p>
      <w:pPr>
        <w:spacing w:before="0" w:after="60"/>
      </w:pPr>
      <w:r>
        <w:rPr>
          <w:rFonts w:ascii="Calibri" w:hAnsi="Calibri"/>
          <w:b/>
          <w:color w:val="104C8C"/>
          <w:sz w:val="22"/>
        </w:rPr>
        <w:t>3. Behavioral &amp; Security Architecture Characteristics</w:t>
      </w:r>
    </w:p>
    <w:p>
      <w:pPr>
        <w:spacing w:before="0" w:after="40"/>
        <w:ind w:left="216"/>
      </w:pPr>
      <w:r>
        <w:rPr>
          <w:rFonts w:ascii="Calibri" w:hAnsi="Calibri"/>
          <w:b/>
          <w:color w:val="104C8C"/>
          <w:sz w:val="17"/>
        </w:rPr>
        <w:t xml:space="preserve">▪ Security &amp; Access Context: </w:t>
      </w:r>
      <w:r>
        <w:rPr>
          <w:rFonts w:ascii="Calibri" w:hAnsi="Calibri"/>
          <w:color w:val="1E1E1E"/>
          <w:sz w:val="17"/>
        </w:rPr>
        <w:t>The flow executes under the System User context, allowing the engine to update fields even if end-users have restricted write ACLs. Flow Designer editing is restricted to admins with flow_designer roles.</w:t>
      </w:r>
    </w:p>
    <w:p>
      <w:pPr>
        <w:spacing w:before="0" w:after="40"/>
        <w:ind w:left="216"/>
      </w:pPr>
      <w:r>
        <w:rPr>
          <w:rFonts w:ascii="Calibri" w:hAnsi="Calibri"/>
          <w:b/>
          <w:color w:val="104C8C"/>
          <w:sz w:val="17"/>
        </w:rPr>
        <w:t xml:space="preserve">▪ Non-Blocking Execution: </w:t>
      </w:r>
      <w:r>
        <w:rPr>
          <w:rFonts w:ascii="Calibri" w:hAnsi="Calibri"/>
          <w:color w:val="1E1E1E"/>
          <w:sz w:val="17"/>
        </w:rPr>
        <w:t>The classification logic executes asynchronously off the main transaction thread, guaranteeing zero UI delay for the teacher submitting the ticket (~180 ms processing duration).</w:t>
      </w:r>
    </w:p>
    <w:p>
      <w:pPr>
        <w:spacing w:before="0" w:after="40"/>
        <w:ind w:left="216"/>
      </w:pPr>
      <w:r>
        <w:rPr>
          <w:rFonts w:ascii="Calibri" w:hAnsi="Calibri"/>
          <w:b/>
          <w:color w:val="104C8C"/>
          <w:sz w:val="17"/>
        </w:rPr>
        <w:t xml:space="preserve">▪ Fallback &amp; Exception Architecture: </w:t>
      </w:r>
      <w:r>
        <w:rPr>
          <w:rFonts w:ascii="Calibri" w:hAnsi="Calibri"/>
          <w:color w:val="1E1E1E"/>
          <w:sz w:val="17"/>
        </w:rPr>
        <w:t>If an incoming incident does not match predefined keywords, the flow assigns Category as 'Other' and directs the record to the Tier 1 Triage fallback queue to avoid dropped incidents.</w:t>
      </w:r>
    </w:p>
    <w:p>
      <w:pPr>
        <w:spacing w:before="0" w:after="40"/>
        <w:ind w:left="216"/>
      </w:pPr>
      <w:r>
        <w:rPr>
          <w:rFonts w:ascii="Calibri" w:hAnsi="Calibri"/>
          <w:b/>
          <w:color w:val="104C8C"/>
          <w:sz w:val="17"/>
        </w:rPr>
        <w:t xml:space="preserve">▪ Release &amp; Deployment Management: </w:t>
      </w:r>
      <w:r>
        <w:rPr>
          <w:rFonts w:ascii="Calibri" w:hAnsi="Calibri"/>
          <w:color w:val="1E1E1E"/>
          <w:sz w:val="17"/>
        </w:rPr>
        <w:t>All tables, choice lists, system properties, and Flow Designer configurations are bundled into a dedicated ServiceNow Update Set for seamless migration between Dev, Test, and Prod instances.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