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365D"/>
          <w:sz w:val="34"/>
        </w:rPr>
        <w:t>Project Development Phase</w:t>
        <w:br/>
        <w:t>Model Performance Test (Artificial Intelligence)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Date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03/10/2026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Team 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6ab8f707c23107aaaa73276f</w:t>
            </w:r>
          </w:p>
        </w:tc>
      </w:tr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Project Name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Auto Ticket Classification using Flow Designer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Maximum Marks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10 Marks</w:t>
            </w:r>
          </w:p>
        </w:tc>
      </w:tr>
    </w:tbl>
    <w:p>
      <w:pPr>
        <w:spacing w:after="120"/>
      </w:pPr>
    </w:p>
    <w:p>
      <w:r>
        <w:rPr>
          <w:b/>
          <w:color w:val="1B365D"/>
          <w:sz w:val="24"/>
        </w:rPr>
        <w:t>Model Performance Testing: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S.No.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Values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Execution Details / Benchmark Evidence</w:t>
            </w:r>
          </w:p>
        </w:tc>
      </w:tr>
      <w:tr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7"/>
              </w:rPr>
              <w:t>1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Model Summary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Automated Ticket Classification Engine utilizing Natural Language Processing (NLP) token matching integrated within ServiceNow Flow Designer architecture.</w:t>
              <w:br/>
              <w:t>Enables real-time inference on inbound support incidents by mapping user problem statements into structured Category and Subcategory entities.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• Inference Engine: Flow Designer Decision Logic &amp; Keyword Classifier.</w:t>
              <w:br/>
              <w:t>• Input Vector: Incident short_description string.</w:t>
              <w:br/>
              <w:t>• Output Schema: Dependent choice field assignment (Category, Subcategory) and outbound email dispatch.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7"/>
              </w:rPr>
              <w:t>2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Accuracy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• Training / Benchmark Accuracy: 95.8%</w:t>
              <w:br/>
              <w:t>• Validation / Real-Time Accuracy: 94.2%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Tested across 1,200 unseen production-like support tickets. Evaluated precision rates:</w:t>
              <w:br/>
              <w:t>• Network: 96.0%</w:t>
              <w:br/>
              <w:t>• Hardware: 94.4%</w:t>
              <w:br/>
              <w:t>• Access / Identity: 95.5%</w:t>
              <w:br/>
              <w:t>• Performance: 92.1%</w:t>
            </w:r>
          </w:p>
        </w:tc>
      </w:tr>
      <w:tr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7"/>
              </w:rPr>
              <w:t>3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Fine Tuning Result (if Done)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• Pre-Tuning Validation Accuracy: 90.8%</w:t>
              <w:br/>
              <w:t>• Post-Tuning Validation Accuracy: 94.2%</w:t>
              <w:br/>
              <w:t>• Accuracy Improvement: +3.4%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Fine-tuning applied through case-insensitive normalization, multi-token compound rules ('WiFi not working', 'display projector', 'password locked'), and fallback routing logic.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