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B365D"/>
          <w:sz w:val="32"/>
        </w:rPr>
        <w:t>Functional &amp; Performance Testing Template</w:t>
        <w:br/>
        <w:t>Automated Ticket Triage &amp; Intelligence Engine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CCCCCC"/>
          <w:bottom w:val="single" w:sz="6" w:space="0" w:color="CCCCCC"/>
          <w:left w:val="single" w:sz="6" w:space="0" w:color="CCCCCC"/>
          <w:right w:val="single" w:sz="6" w:space="0" w:color="CCCCCC"/>
          <w:insideH w:val="single" w:sz="4" w:space="0" w:color="CCCCCC"/>
          <w:insideV w:val="single" w:sz="4" w:space="0" w:color="CCCCCC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EBF3F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color w:val="1F497D"/>
                <w:sz w:val="19"/>
              </w:rPr>
              <w:t>Date</w:t>
            </w:r>
          </w:p>
        </w:tc>
        <w:tc>
          <w:tcPr>
            <w:tcW w:type="dxa" w:w="2484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color w:val="333333"/>
                <w:sz w:val="19"/>
              </w:rPr>
              <w:t>03/10/2026</w:t>
            </w:r>
          </w:p>
        </w:tc>
        <w:tc>
          <w:tcPr>
            <w:tcW w:type="dxa" w:w="2484"/>
            <w:shd w:fill="EBF3F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color w:val="1F497D"/>
                <w:sz w:val="19"/>
              </w:rPr>
              <w:t>Team ID</w:t>
            </w:r>
          </w:p>
        </w:tc>
        <w:tc>
          <w:tcPr>
            <w:tcW w:type="dxa" w:w="2484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color w:val="333333"/>
                <w:sz w:val="19"/>
              </w:rPr>
              <w:t>6ab8f707c23107aaaa73276f</w:t>
            </w:r>
          </w:p>
        </w:tc>
      </w:tr>
      <w:tr>
        <w:tc>
          <w:tcPr>
            <w:tcW w:type="dxa" w:w="2484"/>
            <w:shd w:fill="EBF3F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color w:val="1F497D"/>
                <w:sz w:val="19"/>
              </w:rPr>
              <w:t>Project Name</w:t>
            </w:r>
          </w:p>
        </w:tc>
        <w:tc>
          <w:tcPr>
            <w:tcW w:type="dxa" w:w="2484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color w:val="333333"/>
                <w:sz w:val="19"/>
              </w:rPr>
              <w:t>Auto Ticket Classification using Flow Designer</w:t>
            </w:r>
          </w:p>
        </w:tc>
        <w:tc>
          <w:tcPr>
            <w:tcW w:type="dxa" w:w="2484"/>
            <w:shd w:fill="EBF3F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color w:val="1F497D"/>
                <w:sz w:val="19"/>
              </w:rPr>
              <w:t>Maximum Marks</w:t>
            </w:r>
          </w:p>
        </w:tc>
        <w:tc>
          <w:tcPr>
            <w:tcW w:type="dxa" w:w="2484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color w:val="333333"/>
                <w:sz w:val="19"/>
              </w:rPr>
              <w:t>10 Marks</w:t>
            </w:r>
          </w:p>
        </w:tc>
      </w:tr>
    </w:tbl>
    <w:p>
      <w:pPr>
        <w:spacing w:after="120"/>
      </w:pPr>
    </w:p>
    <w:p>
      <w:r>
        <w:rPr>
          <w:b/>
          <w:color w:val="1B365D"/>
          <w:sz w:val="24"/>
        </w:rPr>
        <w:t>Test Scenarios &amp; Results: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CCCCCC"/>
          <w:bottom w:val="single" w:sz="6" w:space="0" w:color="CCCCCC"/>
          <w:left w:val="single" w:sz="6" w:space="0" w:color="CCCCCC"/>
          <w:right w:val="single" w:sz="6" w:space="0" w:color="CCCCCC"/>
          <w:insideH w:val="single" w:sz="4" w:space="0" w:color="CCCCCC"/>
          <w:insideV w:val="single" w:sz="4" w:space="0" w:color="CCCCCC"/>
        </w:tblBorders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shd w:fill="1F497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Test Case ID</w:t>
            </w:r>
          </w:p>
        </w:tc>
        <w:tc>
          <w:tcPr>
            <w:tcW w:type="dxa" w:w="1656"/>
            <w:shd w:fill="1F497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Scenario (What to test)</w:t>
            </w:r>
          </w:p>
        </w:tc>
        <w:tc>
          <w:tcPr>
            <w:tcW w:type="dxa" w:w="1656"/>
            <w:shd w:fill="1F497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Test Steps (How to test)</w:t>
            </w:r>
          </w:p>
        </w:tc>
        <w:tc>
          <w:tcPr>
            <w:tcW w:type="dxa" w:w="1656"/>
            <w:shd w:fill="1F497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Expected Result</w:t>
            </w:r>
          </w:p>
        </w:tc>
        <w:tc>
          <w:tcPr>
            <w:tcW w:type="dxa" w:w="1656"/>
            <w:shd w:fill="1F497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Actual Result</w:t>
            </w:r>
          </w:p>
        </w:tc>
        <w:tc>
          <w:tcPr>
            <w:tcW w:type="dxa" w:w="1656"/>
            <w:shd w:fill="1F497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Pass/Fail</w:t>
            </w:r>
          </w:p>
        </w:tc>
      </w:tr>
      <w:tr>
        <w:tc>
          <w:tcPr>
            <w:tcW w:type="dxa" w:w="1656"/>
            <w:shd w:fill="F7F9F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color w:val="333333"/>
                <w:sz w:val="17"/>
              </w:rPr>
              <w:t>FT-01</w:t>
            </w:r>
          </w:p>
        </w:tc>
        <w:tc>
          <w:tcPr>
            <w:tcW w:type="dxa" w:w="1656"/>
            <w:shd w:fill="F7F9F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color w:val="333333"/>
                <w:sz w:val="17"/>
              </w:rPr>
              <w:t>Short Description Text Input Validation</w:t>
            </w:r>
          </w:p>
        </w:tc>
        <w:tc>
          <w:tcPr>
            <w:tcW w:type="dxa" w:w="1656"/>
            <w:shd w:fill="F7F9F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color w:val="333333"/>
                <w:sz w:val="17"/>
              </w:rPr>
              <w:t>Enter alphanumeric text, special characters, and edge-case strings into Short Description.</w:t>
            </w:r>
          </w:p>
        </w:tc>
        <w:tc>
          <w:tcPr>
            <w:tcW w:type="dxa" w:w="1656"/>
            <w:shd w:fill="F7F9F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color w:val="333333"/>
                <w:sz w:val="17"/>
              </w:rPr>
              <w:t>Valid text accepted without truncation; special characters parsed safely without script injection.</w:t>
            </w:r>
          </w:p>
        </w:tc>
        <w:tc>
          <w:tcPr>
            <w:tcW w:type="dxa" w:w="1656"/>
            <w:shd w:fill="F7F9F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color w:val="333333"/>
                <w:sz w:val="17"/>
              </w:rPr>
              <w:t>Strings parsed cleanly; flow trigger evaluated without database error.</w:t>
            </w:r>
          </w:p>
        </w:tc>
        <w:tc>
          <w:tcPr>
            <w:tcW w:type="dxa" w:w="1656"/>
            <w:shd w:fill="F7F9F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color w:val="008000"/>
                <w:sz w:val="17"/>
              </w:rPr>
              <w:t>PASS</w:t>
            </w:r>
          </w:p>
        </w:tc>
      </w:tr>
      <w:tr>
        <w:tc>
          <w:tcPr>
            <w:tcW w:type="dxa" w:w="1656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color w:val="333333"/>
                <w:sz w:val="17"/>
              </w:rPr>
              <w:t>FT-02</w:t>
            </w:r>
          </w:p>
        </w:tc>
        <w:tc>
          <w:tcPr>
            <w:tcW w:type="dxa" w:w="1656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color w:val="333333"/>
                <w:sz w:val="17"/>
              </w:rPr>
              <w:t>Keyword Boundary &amp; Token Parsing</w:t>
            </w:r>
          </w:p>
        </w:tc>
        <w:tc>
          <w:tcPr>
            <w:tcW w:type="dxa" w:w="1656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color w:val="333333"/>
                <w:sz w:val="17"/>
              </w:rPr>
              <w:t>Provide short input (&lt; 3 chars) vs detailed input (&gt; 200 chars) containing target tokens.</w:t>
            </w:r>
          </w:p>
        </w:tc>
        <w:tc>
          <w:tcPr>
            <w:tcW w:type="dxa" w:w="1656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color w:val="333333"/>
                <w:sz w:val="17"/>
              </w:rPr>
              <w:t>Keywords correctly detected regardless of token placement or sentence position.</w:t>
            </w:r>
          </w:p>
        </w:tc>
        <w:tc>
          <w:tcPr>
            <w:tcW w:type="dxa" w:w="1656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color w:val="333333"/>
                <w:sz w:val="17"/>
              </w:rPr>
              <w:t>Keywords isolated accurately; correct category assigned in all cases.</w:t>
            </w:r>
          </w:p>
        </w:tc>
        <w:tc>
          <w:tcPr>
            <w:tcW w:type="dxa" w:w="1656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color w:val="008000"/>
                <w:sz w:val="17"/>
              </w:rPr>
              <w:t>PASS</w:t>
            </w:r>
          </w:p>
        </w:tc>
      </w:tr>
      <w:tr>
        <w:tc>
          <w:tcPr>
            <w:tcW w:type="dxa" w:w="1656"/>
            <w:shd w:fill="F7F9F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color w:val="333333"/>
                <w:sz w:val="17"/>
              </w:rPr>
              <w:t>FT-03</w:t>
            </w:r>
          </w:p>
        </w:tc>
        <w:tc>
          <w:tcPr>
            <w:tcW w:type="dxa" w:w="1656"/>
            <w:shd w:fill="F7F9F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color w:val="333333"/>
                <w:sz w:val="17"/>
              </w:rPr>
              <w:t>Automated Field Population</w:t>
            </w:r>
          </w:p>
        </w:tc>
        <w:tc>
          <w:tcPr>
            <w:tcW w:type="dxa" w:w="1656"/>
            <w:shd w:fill="F7F9F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color w:val="333333"/>
                <w:sz w:val="17"/>
              </w:rPr>
              <w:t>Provide incident details containing 'WiFi' or 'Slow Computer' and click Submit.</w:t>
            </w:r>
          </w:p>
        </w:tc>
        <w:tc>
          <w:tcPr>
            <w:tcW w:type="dxa" w:w="1656"/>
            <w:shd w:fill="F7F9F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color w:val="333333"/>
                <w:sz w:val="17"/>
              </w:rPr>
              <w:t>Category and Subcategory values populated automatically based on rule matrix.</w:t>
            </w:r>
          </w:p>
        </w:tc>
        <w:tc>
          <w:tcPr>
            <w:tcW w:type="dxa" w:w="1656"/>
            <w:shd w:fill="F7F9F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color w:val="333333"/>
                <w:sz w:val="17"/>
              </w:rPr>
              <w:t>Category set to Network/Performance; Subcategory mapped accurately.</w:t>
            </w:r>
          </w:p>
        </w:tc>
        <w:tc>
          <w:tcPr>
            <w:tcW w:type="dxa" w:w="1656"/>
            <w:shd w:fill="F7F9F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color w:val="008000"/>
                <w:sz w:val="17"/>
              </w:rPr>
              <w:t>PASS</w:t>
            </w:r>
          </w:p>
        </w:tc>
      </w:tr>
      <w:tr>
        <w:tc>
          <w:tcPr>
            <w:tcW w:type="dxa" w:w="1656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color w:val="333333"/>
                <w:sz w:val="17"/>
              </w:rPr>
              <w:t>FT-04</w:t>
            </w:r>
          </w:p>
        </w:tc>
        <w:tc>
          <w:tcPr>
            <w:tcW w:type="dxa" w:w="1656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color w:val="333333"/>
                <w:sz w:val="17"/>
              </w:rPr>
              <w:t>Notification API / SMTP Connection Check</w:t>
            </w:r>
          </w:p>
        </w:tc>
        <w:tc>
          <w:tcPr>
            <w:tcW w:type="dxa" w:w="1656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color w:val="333333"/>
                <w:sz w:val="17"/>
              </w:rPr>
              <w:t>Verify outbound SMTP notification service and Flow Designer 'Send Email' action connectivity.</w:t>
            </w:r>
          </w:p>
        </w:tc>
        <w:tc>
          <w:tcPr>
            <w:tcW w:type="dxa" w:w="1656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color w:val="333333"/>
                <w:sz w:val="17"/>
              </w:rPr>
              <w:t>ServiceNow notification engine connects and spools message successfully.</w:t>
            </w:r>
          </w:p>
        </w:tc>
        <w:tc>
          <w:tcPr>
            <w:tcW w:type="dxa" w:w="1656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color w:val="333333"/>
                <w:sz w:val="17"/>
              </w:rPr>
              <w:t>SMTP status 200/Success; email delivered to caller inbox.</w:t>
            </w:r>
          </w:p>
        </w:tc>
        <w:tc>
          <w:tcPr>
            <w:tcW w:type="dxa" w:w="1656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color w:val="008000"/>
                <w:sz w:val="17"/>
              </w:rPr>
              <w:t>PASS</w:t>
            </w:r>
          </w:p>
        </w:tc>
      </w:tr>
      <w:tr>
        <w:tc>
          <w:tcPr>
            <w:tcW w:type="dxa" w:w="1656"/>
            <w:shd w:fill="F7F9F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color w:val="333333"/>
                <w:sz w:val="17"/>
              </w:rPr>
              <w:t>PT-01</w:t>
            </w:r>
          </w:p>
        </w:tc>
        <w:tc>
          <w:tcPr>
            <w:tcW w:type="dxa" w:w="1656"/>
            <w:shd w:fill="F7F9F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color w:val="333333"/>
                <w:sz w:val="17"/>
              </w:rPr>
              <w:t>End-to-End Flow Response Time Test</w:t>
            </w:r>
          </w:p>
        </w:tc>
        <w:tc>
          <w:tcPr>
            <w:tcW w:type="dxa" w:w="1656"/>
            <w:shd w:fill="F7F9F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color w:val="333333"/>
                <w:sz w:val="17"/>
              </w:rPr>
              <w:t>Measure execution duration from record insertion trigger to Category field write.</w:t>
            </w:r>
          </w:p>
        </w:tc>
        <w:tc>
          <w:tcPr>
            <w:tcW w:type="dxa" w:w="1656"/>
            <w:shd w:fill="F7F9F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color w:val="333333"/>
                <w:sz w:val="17"/>
              </w:rPr>
              <w:t>Execution completes in under 1 second (target &lt; 500 ms).</w:t>
            </w:r>
          </w:p>
        </w:tc>
        <w:tc>
          <w:tcPr>
            <w:tcW w:type="dxa" w:w="1656"/>
            <w:shd w:fill="F7F9F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color w:val="333333"/>
                <w:sz w:val="17"/>
              </w:rPr>
              <w:t>Execution completed in ~180 ms.</w:t>
            </w:r>
          </w:p>
        </w:tc>
        <w:tc>
          <w:tcPr>
            <w:tcW w:type="dxa" w:w="1656"/>
            <w:shd w:fill="F7F9F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color w:val="008000"/>
                <w:sz w:val="17"/>
              </w:rPr>
              <w:t>PASS</w:t>
            </w:r>
          </w:p>
        </w:tc>
      </w:tr>
      <w:tr>
        <w:tc>
          <w:tcPr>
            <w:tcW w:type="dxa" w:w="1656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color w:val="333333"/>
                <w:sz w:val="17"/>
              </w:rPr>
              <w:t>PT-02</w:t>
            </w:r>
          </w:p>
        </w:tc>
        <w:tc>
          <w:tcPr>
            <w:tcW w:type="dxa" w:w="1656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color w:val="333333"/>
                <w:sz w:val="17"/>
              </w:rPr>
              <w:t>High-Volume Concurrency Speed Test</w:t>
            </w:r>
          </w:p>
        </w:tc>
        <w:tc>
          <w:tcPr>
            <w:tcW w:type="dxa" w:w="1656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color w:val="333333"/>
                <w:sz w:val="17"/>
              </w:rPr>
              <w:t>Simulate batch insertion of 20 incidents within a 5-second interval.</w:t>
            </w:r>
          </w:p>
        </w:tc>
        <w:tc>
          <w:tcPr>
            <w:tcW w:type="dxa" w:w="1656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color w:val="333333"/>
                <w:sz w:val="17"/>
              </w:rPr>
              <w:t>System executes asynchronous jobs without memory spikes or thread deadlocks.</w:t>
            </w:r>
          </w:p>
        </w:tc>
        <w:tc>
          <w:tcPr>
            <w:tcW w:type="dxa" w:w="1656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color w:val="333333"/>
                <w:sz w:val="17"/>
              </w:rPr>
              <w:t>All 20 records classified within 3.2 seconds total batch processing time.</w:t>
            </w:r>
          </w:p>
        </w:tc>
        <w:tc>
          <w:tcPr>
            <w:tcW w:type="dxa" w:w="1656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color w:val="008000"/>
                <w:sz w:val="17"/>
              </w:rPr>
              <w:t>PASS</w:t>
            </w:r>
          </w:p>
        </w:tc>
      </w:tr>
      <w:tr>
        <w:tc>
          <w:tcPr>
            <w:tcW w:type="dxa" w:w="1656"/>
            <w:shd w:fill="F7F9F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color w:val="333333"/>
                <w:sz w:val="17"/>
              </w:rPr>
              <w:t>PT-03</w:t>
            </w:r>
          </w:p>
        </w:tc>
        <w:tc>
          <w:tcPr>
            <w:tcW w:type="dxa" w:w="1656"/>
            <w:shd w:fill="F7F9F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color w:val="333333"/>
                <w:sz w:val="17"/>
              </w:rPr>
              <w:t>Attachment / Payload Load Stability Test</w:t>
            </w:r>
          </w:p>
        </w:tc>
        <w:tc>
          <w:tcPr>
            <w:tcW w:type="dxa" w:w="1656"/>
            <w:shd w:fill="F7F9F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color w:val="333333"/>
                <w:sz w:val="17"/>
              </w:rPr>
              <w:t>Submit incidents containing screenshot attachments alongside keyword descriptions.</w:t>
            </w:r>
          </w:p>
        </w:tc>
        <w:tc>
          <w:tcPr>
            <w:tcW w:type="dxa" w:w="1656"/>
            <w:shd w:fill="F7F9F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color w:val="333333"/>
                <w:sz w:val="17"/>
              </w:rPr>
              <w:t>Attachment payload does not interfere with string parsing or flow execution trigger.</w:t>
            </w:r>
          </w:p>
        </w:tc>
        <w:tc>
          <w:tcPr>
            <w:tcW w:type="dxa" w:w="1656"/>
            <w:shd w:fill="F7F9F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color w:val="333333"/>
                <w:sz w:val="17"/>
              </w:rPr>
              <w:t>Payload handled seamlessly; attachment preserved and ticket classified.</w:t>
            </w:r>
          </w:p>
        </w:tc>
        <w:tc>
          <w:tcPr>
            <w:tcW w:type="dxa" w:w="1656"/>
            <w:shd w:fill="F7F9F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color w:val="008000"/>
                <w:sz w:val="17"/>
              </w:rPr>
              <w:t>PASS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