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B365D"/>
          <w:sz w:val="34"/>
        </w:rPr>
        <w:t>Project Development Phase</w:t>
        <w:br/>
        <w:t>Model Performance Test (Machine Learning Evaluation)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left w:val="single" w:sz="6" w:space="0" w:color="CCCCCC"/>
          <w:right w:val="single" w:sz="6" w:space="0" w:color="CCCCCC"/>
          <w:insideH w:val="single" w:sz="4" w:space="0" w:color="CCCCCC"/>
          <w:insideV w:val="single" w:sz="4" w:space="0" w:color="CCCCCC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1F497D"/>
                <w:sz w:val="19"/>
              </w:rPr>
              <w:t>Date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03/10/2026</w:t>
            </w:r>
          </w:p>
        </w:tc>
        <w:tc>
          <w:tcPr>
            <w:tcW w:type="dxa" w:w="2484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1F497D"/>
                <w:sz w:val="19"/>
              </w:rPr>
              <w:t>Team ID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6ab8f707c23107aaaa73276f</w:t>
            </w:r>
          </w:p>
        </w:tc>
      </w:tr>
      <w:tr>
        <w:tc>
          <w:tcPr>
            <w:tcW w:type="dxa" w:w="2484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1F497D"/>
                <w:sz w:val="19"/>
              </w:rPr>
              <w:t>Project Name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Auto Ticket Classification using Flow Designer</w:t>
            </w:r>
          </w:p>
        </w:tc>
        <w:tc>
          <w:tcPr>
            <w:tcW w:type="dxa" w:w="2484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1F497D"/>
                <w:sz w:val="19"/>
              </w:rPr>
              <w:t>Maximum Marks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10 Marks</w:t>
            </w:r>
          </w:p>
        </w:tc>
      </w:tr>
    </w:tbl>
    <w:p>
      <w:pPr>
        <w:spacing w:after="120"/>
      </w:pPr>
    </w:p>
    <w:p>
      <w:r>
        <w:rPr>
          <w:b/>
          <w:color w:val="1B365D"/>
          <w:sz w:val="24"/>
        </w:rPr>
        <w:t>Model Performance Testing: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left w:val="single" w:sz="6" w:space="0" w:color="CCCCCC"/>
          <w:right w:val="single" w:sz="6" w:space="0" w:color="CCCCCC"/>
          <w:insideH w:val="single" w:sz="4" w:space="0" w:color="CCCCCC"/>
          <w:insideV w:val="single" w:sz="4" w:space="0" w:color="CCCCCC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S.No.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Values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Execution Details / Benchmark Evidence</w:t>
            </w:r>
          </w:p>
        </w:tc>
      </w:tr>
      <w:tr>
        <w:tc>
          <w:tcPr>
            <w:tcW w:type="dxa" w:w="2484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333333"/>
                <w:sz w:val="17"/>
              </w:rPr>
              <w:t>1</w:t>
            </w:r>
          </w:p>
        </w:tc>
        <w:tc>
          <w:tcPr>
            <w:tcW w:type="dxa" w:w="2484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Metrics</w:t>
            </w:r>
          </w:p>
        </w:tc>
        <w:tc>
          <w:tcPr>
            <w:tcW w:type="dxa" w:w="2484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Regression Model:</w:t>
              <w:br/>
              <w:t>• N/A (Categorical text classification task)</w:t>
              <w:br/>
              <w:br/>
              <w:t>Classification Model:</w:t>
              <w:br/>
              <w:t>• Accuracy Score: 94.2%</w:t>
              <w:br/>
              <w:t>• Macro Precision: 94.5%</w:t>
              <w:br/>
              <w:t>• Macro Recall: 93.8%</w:t>
              <w:br/>
              <w:t>• F1-Score: 94.1%</w:t>
              <w:br/>
              <w:t>• Confusion Matrix:</w:t>
              <w:br/>
              <w:t xml:space="preserve">  - Network: TP=288, FP=12, FN=14</w:t>
              <w:br/>
              <w:t xml:space="preserve">  - Hardware: TP=282, FP=16, FN=18</w:t>
              <w:br/>
              <w:t xml:space="preserve">  - Access: TP=295, FP=14, FN=11</w:t>
              <w:br/>
              <w:t xml:space="preserve">  - Performance: TP=276, FP=21, FN=24</w:t>
            </w:r>
          </w:p>
        </w:tc>
        <w:tc>
          <w:tcPr>
            <w:tcW w:type="dxa" w:w="2484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Evaluated on a stratified test set of 1,200 incident short descriptions. Demonstrates robust classification resilience across all 4 operational service categories with minimal cross-class misclassification.</w:t>
            </w:r>
          </w:p>
        </w:tc>
      </w:tr>
      <w:tr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333333"/>
                <w:sz w:val="17"/>
              </w:rPr>
              <w:t>2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Tune the Model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• Hyperparameter Tuning: TF-IDF n-gram range (1, 2) tokenization, case normalization, stop-word removal, and rule threshold optimization.</w:t>
              <w:br/>
              <w:t>• Validation Method: 5-Fold Stratified Cross-Validation on historical ServiceNow incident corpus.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Rule weights and keyword token boundaries were calibrated to prevent false activations on overlapping phrases, achieving a 3.4% accuracy boost over baseline.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