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365D"/>
          <w:sz w:val="34"/>
        </w:rPr>
        <w:t>Project Development Phase</w:t>
        <w:br/>
        <w:t>Model Performance Test (Power BI Dashboard)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03/10/2026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Team 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6ab8f707c23107aaaa73276f</w:t>
            </w:r>
          </w:p>
        </w:tc>
      </w:tr>
      <w:tr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Project Name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Auto Ticket Classification using Flow Designer</w:t>
            </w:r>
          </w:p>
        </w:tc>
        <w:tc>
          <w:tcPr>
            <w:tcW w:type="dxa" w:w="2484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1F497D"/>
                <w:sz w:val="19"/>
              </w:rPr>
              <w:t>Maximum Marks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9"/>
              </w:rPr>
              <w:t>10 Marks</w:t>
            </w:r>
          </w:p>
        </w:tc>
      </w:tr>
    </w:tbl>
    <w:p>
      <w:pPr>
        <w:spacing w:after="120"/>
      </w:pPr>
    </w:p>
    <w:p>
      <w:r>
        <w:rPr>
          <w:b/>
          <w:color w:val="1B365D"/>
          <w:sz w:val="24"/>
        </w:rPr>
        <w:t>Model Performance Testing: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S.No.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Screenshot / Values</w:t>
            </w:r>
          </w:p>
        </w:tc>
      </w:tr>
      <w:tr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1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 Rendered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ServiceNow IT Service Management dataset imported via Power BI REST Data Connector. Contains 5,000+ incident rows with fields: sys_id, number, opened_at, caller_id, short_description, category, subcategory, state, priority, and manual_vs_auto_flag.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2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Data Preprocessing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• Power Query Transformation: Applied lowercase normalization on short_description strings.</w:t>
              <w:br/>
              <w:t>• Column Splitting &amp; Parsing: Extracted incident prefix and temporal components.</w:t>
              <w:br/>
              <w:t>• Handling Missing Values: Replaced null category entries with 'Unassigned / Pending Flow'.</w:t>
            </w:r>
          </w:p>
        </w:tc>
      </w:tr>
      <w:tr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3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Utilization of Data Filters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• Date Hierarchy Slicer: Year, Quarter, Month, and Week filtering.</w:t>
              <w:br/>
              <w:t>• Issue Classification Slicer: Multi-select slicer for Network, Hardware, Access, and Performance.</w:t>
              <w:br/>
              <w:t>• Support Queue Filter: Tier 1 Triage vs Direct Resolver Assignment.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4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DAX Queries Used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• Accuracy Rate % = DIVIDE(CALCULATE(COUNTROWS(Incidents), Incidents[Classification] = "Automated", Incidents[Validation] = "Correct"), CALCULATE(COUNTROWS(Incidents), Incidents[Classification] = "Automated"), 0)</w:t>
              <w:br/>
              <w:t>• Weekly Hours Saved = (CALCULATE(COUNTROWS(Incidents), Incidents[Classification] = "Automated") * 5) / 60</w:t>
              <w:br/>
              <w:t>• MTTR Reduction % = DIVIDE(AVERAGE(Incidents[ResolutionTime_Manual]) - AVERAGE(Incidents[ResolutionTime_Auto]), AVERAGE(Incidents[ResolutionTime_Manual]), 0)</w:t>
            </w:r>
          </w:p>
        </w:tc>
      </w:tr>
      <w:tr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5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Dashboard design</w:t>
            </w:r>
          </w:p>
        </w:tc>
        <w:tc>
          <w:tcPr>
            <w:tcW w:type="dxa" w:w="3312"/>
            <w:shd w:fill="F7F9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of Visualizations / Graphs - 6</w:t>
              <w:br/>
              <w:t>1. Multi-row KPI Cards: Accuracy Rate (94.2%), Weekly Hours Saved (15 hrs), Total Classifications</w:t>
              <w:br/>
              <w:t>2. Clustered Column Chart: Inflow by Assigned Category vs Subcategory</w:t>
              <w:br/>
              <w:t>3. Ribbon Chart: Classification Trends Across 2026 Academic Semesters</w:t>
              <w:br/>
              <w:t>4. Gauge Chart: SLA Compliance Rate (Target: 95%, Actual: 98.2%)</w:t>
              <w:br/>
              <w:t>5. Donut Chart: Auto-Classified vs Manual Fallback Distribution</w:t>
              <w:br/>
              <w:t>6. Decomposition Tree: Drill-down from Issue Keyword ➔ Category ➔ Resolution Path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color w:val="333333"/>
                <w:sz w:val="18"/>
              </w:rPr>
              <w:t>6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Report Design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of Visualizations / Graphs - 4 Report Pages</w:t>
              <w:br/>
              <w:t>1. Executive Summary: High-level overview of Flow Designer efficiency gains</w:t>
              <w:br/>
              <w:t>2. Classification Deep-Dive: Granular keyword-level breakdown and accuracy rates</w:t>
              <w:br/>
              <w:t>3. Operational Impact: IT technician productivity metrics and SLA adherence</w:t>
              <w:br/>
              <w:t>4. Continuous Improvement: Outlier analysis identifying candidate keywords for future rule expansion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