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B365D"/>
          <w:sz w:val="34"/>
        </w:rPr>
        <w:t>User Acceptance Testing (UAT) Template</w:t>
      </w:r>
    </w:p>
    <w:tbl>
      <w:tblPr>
        <w:tblW w:type="auto" w:w="0"/>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484"/>
        <w:gridCol w:w="2484"/>
        <w:gridCol w:w="2484"/>
        <w:gridCol w:w="2484"/>
      </w:tblGrid>
      <w:tr>
        <w:tc>
          <w:tcPr>
            <w:tcW w:type="dxa" w:w="2484"/>
            <w:shd w:fill="EBF3FA"/>
            <w:tcMar>
              <w:top w:w="120" w:type="dxa"/>
              <w:bottom w:w="120" w:type="dxa"/>
              <w:left w:w="150" w:type="dxa"/>
              <w:right w:w="150" w:type="dxa"/>
            </w:tcMar>
          </w:tcPr>
          <w:p>
            <w:pPr>
              <w:spacing w:before="40" w:after="40" w:line="276" w:lineRule="auto"/>
              <w:jc w:val="left"/>
            </w:pPr>
            <w:r>
              <w:rPr>
                <w:rFonts w:ascii="Calibri" w:hAnsi="Calibri"/>
                <w:b/>
                <w:color w:val="1F497D"/>
                <w:sz w:val="19"/>
              </w:rPr>
              <w:t>Date</w:t>
            </w:r>
          </w:p>
        </w:tc>
        <w:tc>
          <w:tcPr>
            <w:tcW w:type="dxa" w:w="2484"/>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9"/>
              </w:rPr>
              <w:t>03/10/2026</w:t>
            </w:r>
          </w:p>
        </w:tc>
        <w:tc>
          <w:tcPr>
            <w:tcW w:type="dxa" w:w="2484"/>
            <w:shd w:fill="EBF3FA"/>
            <w:tcMar>
              <w:top w:w="120" w:type="dxa"/>
              <w:bottom w:w="120" w:type="dxa"/>
              <w:left w:w="150" w:type="dxa"/>
              <w:right w:w="150" w:type="dxa"/>
            </w:tcMar>
          </w:tcPr>
          <w:p>
            <w:pPr>
              <w:spacing w:before="40" w:after="40" w:line="276" w:lineRule="auto"/>
              <w:jc w:val="left"/>
            </w:pPr>
            <w:r>
              <w:rPr>
                <w:rFonts w:ascii="Calibri" w:hAnsi="Calibri"/>
                <w:b/>
                <w:color w:val="1F497D"/>
                <w:sz w:val="19"/>
              </w:rPr>
              <w:t>Team ID</w:t>
            </w:r>
          </w:p>
        </w:tc>
        <w:tc>
          <w:tcPr>
            <w:tcW w:type="dxa" w:w="2484"/>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9"/>
              </w:rPr>
              <w:t>6ab8f707c23107aaaa73276f</w:t>
            </w:r>
          </w:p>
        </w:tc>
      </w:tr>
      <w:tr>
        <w:tc>
          <w:tcPr>
            <w:tcW w:type="dxa" w:w="2484"/>
            <w:shd w:fill="EBF3FA"/>
            <w:tcMar>
              <w:top w:w="120" w:type="dxa"/>
              <w:bottom w:w="120" w:type="dxa"/>
              <w:left w:w="150" w:type="dxa"/>
              <w:right w:w="150" w:type="dxa"/>
            </w:tcMar>
          </w:tcPr>
          <w:p>
            <w:pPr>
              <w:spacing w:before="40" w:after="40" w:line="276" w:lineRule="auto"/>
              <w:jc w:val="left"/>
            </w:pPr>
            <w:r>
              <w:rPr>
                <w:rFonts w:ascii="Calibri" w:hAnsi="Calibri"/>
                <w:b/>
                <w:color w:val="1F497D"/>
                <w:sz w:val="19"/>
              </w:rPr>
              <w:t>Project Name</w:t>
            </w:r>
          </w:p>
        </w:tc>
        <w:tc>
          <w:tcPr>
            <w:tcW w:type="dxa" w:w="2484"/>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9"/>
              </w:rPr>
              <w:t>Auto Ticket Classification using Flow Designer</w:t>
            </w:r>
          </w:p>
        </w:tc>
        <w:tc>
          <w:tcPr>
            <w:tcW w:type="dxa" w:w="2484"/>
            <w:shd w:fill="EBF3FA"/>
            <w:tcMar>
              <w:top w:w="120" w:type="dxa"/>
              <w:bottom w:w="120" w:type="dxa"/>
              <w:left w:w="150" w:type="dxa"/>
              <w:right w:w="150" w:type="dxa"/>
            </w:tcMar>
          </w:tcPr>
          <w:p>
            <w:pPr>
              <w:spacing w:before="40" w:after="40" w:line="276" w:lineRule="auto"/>
              <w:jc w:val="left"/>
            </w:pPr>
            <w:r>
              <w:rPr>
                <w:rFonts w:ascii="Calibri" w:hAnsi="Calibri"/>
                <w:b/>
                <w:color w:val="1F497D"/>
                <w:sz w:val="19"/>
              </w:rPr>
              <w:t>Maximum Marks</w:t>
            </w:r>
          </w:p>
        </w:tc>
        <w:tc>
          <w:tcPr>
            <w:tcW w:type="dxa" w:w="2484"/>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9"/>
              </w:rPr>
              <w:t>10 Marks</w:t>
            </w:r>
          </w:p>
        </w:tc>
      </w:tr>
    </w:tbl>
    <w:p>
      <w:pPr>
        <w:spacing w:after="120"/>
      </w:pPr>
    </w:p>
    <w:p>
      <w:r>
        <w:rPr>
          <w:b/>
          <w:color w:val="1B365D"/>
          <w:sz w:val="24"/>
        </w:rPr>
        <w:t>Project Overview:</w:t>
      </w:r>
    </w:p>
    <w:p>
      <w:pPr>
        <w:spacing w:line="276" w:lineRule="auto" w:after="60"/>
      </w:pPr>
      <w:r>
        <w:t>Project Name: Auto Ticket Classification using Flow Designer</w:t>
      </w:r>
    </w:p>
    <w:p>
      <w:pPr>
        <w:spacing w:line="276" w:lineRule="auto" w:after="60"/>
      </w:pPr>
      <w:r>
        <w:t>Project Description: Automated IT incident triage and classification engine implemented using ServiceNow Flow Designer. Incoming incident tickets have their short descriptions evaluated against keyword rules to automatically assign Category and Subcategory and dispatch email confirmations.</w:t>
      </w:r>
    </w:p>
    <w:p>
      <w:pPr>
        <w:spacing w:line="276" w:lineRule="auto" w:after="60"/>
      </w:pPr>
      <w:r>
        <w:t>Project Version: 1.0 (Release Candidate)</w:t>
      </w:r>
    </w:p>
    <w:p>
      <w:pPr>
        <w:spacing w:line="276" w:lineRule="auto" w:after="60"/>
      </w:pPr>
      <w:r>
        <w:t>Testing Period: 25/09/2026 to 03/10/2026</w:t>
      </w:r>
    </w:p>
    <w:p>
      <w:pPr>
        <w:spacing w:line="276" w:lineRule="auto" w:after="60"/>
      </w:pPr>
      <w:r>
        <w:t>Testing Scope:</w:t>
        <w:br/>
        <w:t>• Incident creation trigger on [Category IS EMPTY]</w:t>
        <w:br/>
        <w:t>• Keyword rule evaluation for Wi-Fi, Projector, Password, and System Performance</w:t>
        <w:br/>
        <w:t>• Automated outbound email generation and caller notification</w:t>
        <w:br/>
        <w:t>• Fallback handling for unclassified tickets</w:t>
      </w:r>
    </w:p>
    <w:p>
      <w:pPr>
        <w:spacing w:line="276" w:lineRule="auto" w:after="60"/>
      </w:pPr>
      <w:r>
        <w:t>Testing Environment:</w:t>
        <w:br/>
        <w:t>• URL/Location: ServiceNow Developer Instance (PDI - Washington DC Release)</w:t>
        <w:br/>
        <w:t>• Credentials: admin / ITIL support technician role</w:t>
      </w:r>
    </w:p>
    <w:p>
      <w:r>
        <w:rPr>
          <w:b/>
          <w:color w:val="1B365D"/>
          <w:sz w:val="24"/>
        </w:rPr>
        <w:t>Test Cases:</w:t>
      </w:r>
    </w:p>
    <w:tbl>
      <w:tblPr>
        <w:tblW w:type="auto" w:w="0"/>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1656"/>
        <w:gridCol w:w="1656"/>
        <w:gridCol w:w="1656"/>
        <w:gridCol w:w="1656"/>
        <w:gridCol w:w="1656"/>
        <w:gridCol w:w="1656"/>
      </w:tblGrid>
      <w:tr>
        <w:tc>
          <w:tcPr>
            <w:tcW w:type="dxa" w:w="1656"/>
            <w:shd w:fill="1F497D"/>
            <w:tcMar>
              <w:top w:w="120" w:type="dxa"/>
              <w:bottom w:w="120" w:type="dxa"/>
              <w:left w:w="150" w:type="dxa"/>
              <w:right w:w="150" w:type="dxa"/>
            </w:tcMar>
          </w:tcPr>
          <w:p>
            <w:pPr>
              <w:spacing w:before="40" w:after="40" w:line="276" w:lineRule="auto"/>
              <w:jc w:val="left"/>
            </w:pPr>
            <w:r>
              <w:rPr>
                <w:rFonts w:ascii="Calibri" w:hAnsi="Calibri"/>
                <w:b/>
                <w:color w:val="FFFFFF"/>
                <w:sz w:val="17"/>
              </w:rPr>
              <w:t>Test Case ID</w:t>
            </w:r>
          </w:p>
        </w:tc>
        <w:tc>
          <w:tcPr>
            <w:tcW w:type="dxa" w:w="1656"/>
            <w:shd w:fill="1F497D"/>
            <w:tcMar>
              <w:top w:w="120" w:type="dxa"/>
              <w:bottom w:w="120" w:type="dxa"/>
              <w:left w:w="150" w:type="dxa"/>
              <w:right w:w="150" w:type="dxa"/>
            </w:tcMar>
          </w:tcPr>
          <w:p>
            <w:pPr>
              <w:spacing w:before="40" w:after="40" w:line="276" w:lineRule="auto"/>
              <w:jc w:val="left"/>
            </w:pPr>
            <w:r>
              <w:rPr>
                <w:rFonts w:ascii="Calibri" w:hAnsi="Calibri"/>
                <w:b/>
                <w:color w:val="FFFFFF"/>
                <w:sz w:val="17"/>
              </w:rPr>
              <w:t>Test Scenario</w:t>
            </w:r>
          </w:p>
        </w:tc>
        <w:tc>
          <w:tcPr>
            <w:tcW w:type="dxa" w:w="1656"/>
            <w:shd w:fill="1F497D"/>
            <w:tcMar>
              <w:top w:w="120" w:type="dxa"/>
              <w:bottom w:w="120" w:type="dxa"/>
              <w:left w:w="150" w:type="dxa"/>
              <w:right w:w="150" w:type="dxa"/>
            </w:tcMar>
          </w:tcPr>
          <w:p>
            <w:pPr>
              <w:spacing w:before="40" w:after="40" w:line="276" w:lineRule="auto"/>
              <w:jc w:val="left"/>
            </w:pPr>
            <w:r>
              <w:rPr>
                <w:rFonts w:ascii="Calibri" w:hAnsi="Calibri"/>
                <w:b/>
                <w:color w:val="FFFFFF"/>
                <w:sz w:val="17"/>
              </w:rPr>
              <w:t>Test Steps</w:t>
            </w:r>
          </w:p>
        </w:tc>
        <w:tc>
          <w:tcPr>
            <w:tcW w:type="dxa" w:w="1656"/>
            <w:shd w:fill="1F497D"/>
            <w:tcMar>
              <w:top w:w="120" w:type="dxa"/>
              <w:bottom w:w="120" w:type="dxa"/>
              <w:left w:w="150" w:type="dxa"/>
              <w:right w:w="150" w:type="dxa"/>
            </w:tcMar>
          </w:tcPr>
          <w:p>
            <w:pPr>
              <w:spacing w:before="40" w:after="40" w:line="276" w:lineRule="auto"/>
              <w:jc w:val="left"/>
            </w:pPr>
            <w:r>
              <w:rPr>
                <w:rFonts w:ascii="Calibri" w:hAnsi="Calibri"/>
                <w:b/>
                <w:color w:val="FFFFFF"/>
                <w:sz w:val="17"/>
              </w:rPr>
              <w:t>Expected Result</w:t>
            </w:r>
          </w:p>
        </w:tc>
        <w:tc>
          <w:tcPr>
            <w:tcW w:type="dxa" w:w="1656"/>
            <w:shd w:fill="1F497D"/>
            <w:tcMar>
              <w:top w:w="120" w:type="dxa"/>
              <w:bottom w:w="120" w:type="dxa"/>
              <w:left w:w="150" w:type="dxa"/>
              <w:right w:w="150" w:type="dxa"/>
            </w:tcMar>
          </w:tcPr>
          <w:p>
            <w:pPr>
              <w:spacing w:before="40" w:after="40" w:line="276" w:lineRule="auto"/>
              <w:jc w:val="left"/>
            </w:pPr>
            <w:r>
              <w:rPr>
                <w:rFonts w:ascii="Calibri" w:hAnsi="Calibri"/>
                <w:b/>
                <w:color w:val="FFFFFF"/>
                <w:sz w:val="17"/>
              </w:rPr>
              <w:t>Actual Result</w:t>
            </w:r>
          </w:p>
        </w:tc>
        <w:tc>
          <w:tcPr>
            <w:tcW w:type="dxa" w:w="1656"/>
            <w:shd w:fill="1F497D"/>
            <w:tcMar>
              <w:top w:w="120" w:type="dxa"/>
              <w:bottom w:w="120" w:type="dxa"/>
              <w:left w:w="150" w:type="dxa"/>
              <w:right w:w="150" w:type="dxa"/>
            </w:tcMar>
          </w:tcPr>
          <w:p>
            <w:pPr>
              <w:spacing w:before="40" w:after="40" w:line="276" w:lineRule="auto"/>
              <w:jc w:val="left"/>
            </w:pPr>
            <w:r>
              <w:rPr>
                <w:rFonts w:ascii="Calibri" w:hAnsi="Calibri"/>
                <w:b/>
                <w:color w:val="FFFFFF"/>
                <w:sz w:val="17"/>
              </w:rPr>
              <w:t>Pass/Fail</w:t>
            </w:r>
          </w:p>
        </w:tc>
      </w:tr>
      <w:tr>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TC-001</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Wi-Fi Keyword Classification</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1. Create new incident.</w:t>
              <w:br/>
              <w:t>2. Set Short Description: 'WiFi not working in library'.</w:t>
              <w:br/>
              <w:t>3. Leave Category empty.</w:t>
              <w:br/>
              <w:t>4. Submit record.</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Flow triggers; Category set to 'Network', Subcategory set to 'Wi-Fi'. Email confirmation sent.</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Category updated to 'Network' and Subcategory to 'Wi-Fi'. Email delivered.</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color w:val="008000"/>
                <w:sz w:val="17"/>
              </w:rPr>
              <w:t>PASS</w:t>
            </w:r>
          </w:p>
        </w:tc>
      </w:tr>
      <w:tr>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TC-002</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Hardware / Projector Classification</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1. Create incident.</w:t>
              <w:br/>
              <w:t>2. Set Short Description: 'Projector not turning on'.</w:t>
              <w:br/>
              <w:t>3. Submit record.</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Category set to 'Hardware', Subcategory set to 'Projector'.</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Category and Subcategory set to Hardware / Projector correctly within 180 ms.</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color w:val="008000"/>
                <w:sz w:val="17"/>
              </w:rPr>
              <w:t>PASS</w:t>
            </w:r>
          </w:p>
        </w:tc>
      </w:tr>
      <w:tr>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TC-003</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Access &amp; Password Reset</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1. Create incident.</w:t>
              <w:br/>
              <w:t>2. Set Short Description: 'Forgot my password and login locked'.</w:t>
              <w:br/>
              <w:t>3. Submit record.</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Category set to 'Access', Subcategory set to 'Forgot Password'.</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Successfully classified under Access / Forgot Password.</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color w:val="008000"/>
                <w:sz w:val="17"/>
              </w:rPr>
              <w:t>PASS</w:t>
            </w:r>
          </w:p>
        </w:tc>
      </w:tr>
      <w:tr>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TC-004</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System Performance Issue</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1. Create incident.</w:t>
              <w:br/>
              <w:t>2. Set Short Description: 'Slow computer and hanging continuously'.</w:t>
              <w:br/>
              <w:t>3. Submit record.</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Category set to 'Performance', Subcategory set to 'Slow Computer'.</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Successfully classified under Performance / Slow Computer.</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color w:val="008000"/>
                <w:sz w:val="17"/>
              </w:rPr>
              <w:t>PASS</w:t>
            </w:r>
          </w:p>
        </w:tc>
      </w:tr>
      <w:tr>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TC-005</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Guardrail: Pre-Categorized Record</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1. Create incident with Category manually set to 'Software'.</w:t>
              <w:br/>
              <w:t>2. Set Short Description: 'WiFi issue'.</w:t>
              <w:br/>
              <w:t>3. Submit record.</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Condition 'Category is empty' evaluates to false; flow halts and preserves existing Category.</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Flow execution skipped; Category remained 'Software'.</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color w:val="008000"/>
                <w:sz w:val="17"/>
              </w:rPr>
              <w:t>PASS</w:t>
            </w:r>
          </w:p>
        </w:tc>
      </w:tr>
    </w:tbl>
    <w:p>
      <w:pPr>
        <w:spacing w:after="80"/>
      </w:pPr>
    </w:p>
    <w:p>
      <w:r>
        <w:rPr>
          <w:b/>
          <w:color w:val="1B365D"/>
          <w:sz w:val="24"/>
        </w:rPr>
        <w:t>Bug Tracking:</w:t>
      </w:r>
    </w:p>
    <w:tbl>
      <w:tblPr>
        <w:tblW w:type="auto" w:w="0"/>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1656"/>
        <w:gridCol w:w="1656"/>
        <w:gridCol w:w="1656"/>
        <w:gridCol w:w="1656"/>
        <w:gridCol w:w="1656"/>
        <w:gridCol w:w="1656"/>
      </w:tblGrid>
      <w:tr>
        <w:tc>
          <w:tcPr>
            <w:tcW w:type="dxa" w:w="1656"/>
            <w:shd w:fill="1F497D"/>
            <w:tcMar>
              <w:top w:w="120" w:type="dxa"/>
              <w:bottom w:w="120" w:type="dxa"/>
              <w:left w:w="150" w:type="dxa"/>
              <w:right w:w="150" w:type="dxa"/>
            </w:tcMar>
          </w:tcPr>
          <w:p>
            <w:pPr>
              <w:spacing w:before="40" w:after="40" w:line="276" w:lineRule="auto"/>
              <w:jc w:val="left"/>
            </w:pPr>
            <w:r>
              <w:rPr>
                <w:rFonts w:ascii="Calibri" w:hAnsi="Calibri"/>
                <w:b/>
                <w:color w:val="FFFFFF"/>
                <w:sz w:val="17"/>
              </w:rPr>
              <w:t>Bug ID</w:t>
            </w:r>
          </w:p>
        </w:tc>
        <w:tc>
          <w:tcPr>
            <w:tcW w:type="dxa" w:w="1656"/>
            <w:shd w:fill="1F497D"/>
            <w:tcMar>
              <w:top w:w="120" w:type="dxa"/>
              <w:bottom w:w="120" w:type="dxa"/>
              <w:left w:w="150" w:type="dxa"/>
              <w:right w:w="150" w:type="dxa"/>
            </w:tcMar>
          </w:tcPr>
          <w:p>
            <w:pPr>
              <w:spacing w:before="40" w:after="40" w:line="276" w:lineRule="auto"/>
              <w:jc w:val="left"/>
            </w:pPr>
            <w:r>
              <w:rPr>
                <w:rFonts w:ascii="Calibri" w:hAnsi="Calibri"/>
                <w:b/>
                <w:color w:val="FFFFFF"/>
                <w:sz w:val="17"/>
              </w:rPr>
              <w:t>Bug Description</w:t>
            </w:r>
          </w:p>
        </w:tc>
        <w:tc>
          <w:tcPr>
            <w:tcW w:type="dxa" w:w="1656"/>
            <w:shd w:fill="1F497D"/>
            <w:tcMar>
              <w:top w:w="120" w:type="dxa"/>
              <w:bottom w:w="120" w:type="dxa"/>
              <w:left w:w="150" w:type="dxa"/>
              <w:right w:w="150" w:type="dxa"/>
            </w:tcMar>
          </w:tcPr>
          <w:p>
            <w:pPr>
              <w:spacing w:before="40" w:after="40" w:line="276" w:lineRule="auto"/>
              <w:jc w:val="left"/>
            </w:pPr>
            <w:r>
              <w:rPr>
                <w:rFonts w:ascii="Calibri" w:hAnsi="Calibri"/>
                <w:b/>
                <w:color w:val="FFFFFF"/>
                <w:sz w:val="17"/>
              </w:rPr>
              <w:t>Steps to Reproduce</w:t>
            </w:r>
          </w:p>
        </w:tc>
        <w:tc>
          <w:tcPr>
            <w:tcW w:type="dxa" w:w="1656"/>
            <w:shd w:fill="1F497D"/>
            <w:tcMar>
              <w:top w:w="120" w:type="dxa"/>
              <w:bottom w:w="120" w:type="dxa"/>
              <w:left w:w="150" w:type="dxa"/>
              <w:right w:w="150" w:type="dxa"/>
            </w:tcMar>
          </w:tcPr>
          <w:p>
            <w:pPr>
              <w:spacing w:before="40" w:after="40" w:line="276" w:lineRule="auto"/>
              <w:jc w:val="left"/>
            </w:pPr>
            <w:r>
              <w:rPr>
                <w:rFonts w:ascii="Calibri" w:hAnsi="Calibri"/>
                <w:b/>
                <w:color w:val="FFFFFF"/>
                <w:sz w:val="17"/>
              </w:rPr>
              <w:t>Severity</w:t>
            </w:r>
          </w:p>
        </w:tc>
        <w:tc>
          <w:tcPr>
            <w:tcW w:type="dxa" w:w="1656"/>
            <w:shd w:fill="1F497D"/>
            <w:tcMar>
              <w:top w:w="120" w:type="dxa"/>
              <w:bottom w:w="120" w:type="dxa"/>
              <w:left w:w="150" w:type="dxa"/>
              <w:right w:w="150" w:type="dxa"/>
            </w:tcMar>
          </w:tcPr>
          <w:p>
            <w:pPr>
              <w:spacing w:before="40" w:after="40" w:line="276" w:lineRule="auto"/>
              <w:jc w:val="left"/>
            </w:pPr>
            <w:r>
              <w:rPr>
                <w:rFonts w:ascii="Calibri" w:hAnsi="Calibri"/>
                <w:b/>
                <w:color w:val="FFFFFF"/>
                <w:sz w:val="17"/>
              </w:rPr>
              <w:t>Status</w:t>
            </w:r>
          </w:p>
        </w:tc>
        <w:tc>
          <w:tcPr>
            <w:tcW w:type="dxa" w:w="1656"/>
            <w:shd w:fill="1F497D"/>
            <w:tcMar>
              <w:top w:w="120" w:type="dxa"/>
              <w:bottom w:w="120" w:type="dxa"/>
              <w:left w:w="150" w:type="dxa"/>
              <w:right w:w="150" w:type="dxa"/>
            </w:tcMar>
          </w:tcPr>
          <w:p>
            <w:pPr>
              <w:spacing w:before="40" w:after="40" w:line="276" w:lineRule="auto"/>
              <w:jc w:val="left"/>
            </w:pPr>
            <w:r>
              <w:rPr>
                <w:rFonts w:ascii="Calibri" w:hAnsi="Calibri"/>
                <w:b/>
                <w:color w:val="FFFFFF"/>
                <w:sz w:val="17"/>
              </w:rPr>
              <w:t>Additional Feedback</w:t>
            </w:r>
          </w:p>
        </w:tc>
      </w:tr>
      <w:tr>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BG-001</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Case-sensitivity mismatch on uppercase keywords ('WIFI' vs 'WiFi')</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1. Enter 'WIFI DISCONNECTED' in Short Description.</w:t>
              <w:br/>
              <w:t>2. Submit ticket.</w:t>
              <w:br/>
              <w:t>3. Trigger condition failed.</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Medium</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color w:val="008000"/>
                <w:sz w:val="17"/>
              </w:rPr>
              <w:t>Closed</w:t>
            </w:r>
          </w:p>
        </w:tc>
        <w:tc>
          <w:tcPr>
            <w:tcW w:type="dxa" w:w="1656"/>
            <w:shd w:fill="F7F9FB"/>
            <w:tcMar>
              <w:top w:w="120" w:type="dxa"/>
              <w:bottom w:w="120" w:type="dxa"/>
              <w:left w:w="150" w:type="dxa"/>
              <w:right w:w="150" w:type="dxa"/>
            </w:tcMar>
          </w:tcPr>
          <w:p>
            <w:pPr>
              <w:spacing w:before="40" w:after="40" w:line="276" w:lineRule="auto"/>
              <w:jc w:val="left"/>
            </w:pPr>
            <w:r>
              <w:rPr>
                <w:rFonts w:ascii="Calibri" w:hAnsi="Calibri"/>
                <w:b w:val="0"/>
                <w:color w:val="333333"/>
                <w:sz w:val="17"/>
              </w:rPr>
              <w:t>Added case-insensitive string parsing in Flow Designer condition builder.</w:t>
            </w:r>
          </w:p>
        </w:tc>
      </w:tr>
      <w:tr>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BG-002</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Email notification delayed when caller email record was missing</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1. Caller without email profile created ticket.</w:t>
              <w:br/>
              <w:t>2. Notification action halted.</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Low</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color w:val="008000"/>
                <w:sz w:val="17"/>
              </w:rPr>
              <w:t>Closed</w:t>
            </w:r>
          </w:p>
        </w:tc>
        <w:tc>
          <w:tcPr>
            <w:tcW w:type="dxa" w:w="1656"/>
            <w:shd w:fill="FFFFFF"/>
            <w:tcMar>
              <w:top w:w="120" w:type="dxa"/>
              <w:bottom w:w="120" w:type="dxa"/>
              <w:left w:w="150" w:type="dxa"/>
              <w:right w:w="150" w:type="dxa"/>
            </w:tcMar>
          </w:tcPr>
          <w:p>
            <w:pPr>
              <w:spacing w:before="40" w:after="40" w:line="276" w:lineRule="auto"/>
              <w:jc w:val="left"/>
            </w:pPr>
            <w:r>
              <w:rPr>
                <w:rFonts w:ascii="Calibri" w:hAnsi="Calibri"/>
                <w:b w:val="0"/>
                <w:color w:val="333333"/>
                <w:sz w:val="17"/>
              </w:rPr>
              <w:t>Added validation check ensuring caller sys_user.email is not null before dispatching notification.</w:t>
            </w:r>
          </w:p>
        </w:tc>
      </w:tr>
    </w:tbl>
    <w:p>
      <w:pPr>
        <w:spacing w:after="80"/>
      </w:pPr>
    </w:p>
    <w:p>
      <w:r>
        <w:rPr>
          <w:b/>
          <w:color w:val="1B365D"/>
          <w:sz w:val="24"/>
        </w:rPr>
        <w:t>Sign-off:</w:t>
      </w:r>
    </w:p>
    <w:p>
      <w:pPr>
        <w:spacing w:line="276" w:lineRule="auto" w:after="40"/>
      </w:pPr>
      <w:r>
        <w:t>Tester Name: Automation QA Lead</w:t>
      </w:r>
    </w:p>
    <w:p>
      <w:pPr>
        <w:spacing w:line="276" w:lineRule="auto" w:after="40"/>
      </w:pPr>
      <w:r>
        <w:t>Date: 03/10/2026</w:t>
      </w:r>
    </w:p>
    <w:p>
      <w:pPr>
        <w:spacing w:line="276" w:lineRule="auto" w:after="40"/>
      </w:pPr>
      <w:r>
        <w:t>Signature: Verified &amp; Approved via ServiceNow Automated Test Framework (ATF)</w:t>
      </w:r>
    </w:p>
    <w:p>
      <w:pPr>
        <w:spacing w:line="276" w:lineRule="auto" w:after="40"/>
      </w:pPr>
      <w:r>
        <w:t>Notes: Ensure that all test cases cover both positive and negative scenarios. Sign-off obtained from both project manager and process owner for deployment.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