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4"/>
          <w:szCs w:val="44"/>
        </w:rPr>
        <w:t xml:space="preserve">AI Gateway Landscape</w:t>
      </w:r>
    </w:p>
    <w:p>
      <w:pPr>
        <w:spacing w:after="300"/>
      </w:pPr>
      <w:r>
        <w:rPr>
          <w:i/>
          <w:iCs/>
          <w:color w:val="555555"/>
          <w:sz w:val="24"/>
          <w:szCs w:val="24"/>
        </w:rPr>
        <w:t xml:space="preserve">Comparing Kong AI Gateway, LiteLLM, AWS (API Gateway + Bedrock), and Azure API Management</w:t>
      </w:r>
    </w:p>
    <w:p>
      <w:pPr>
        <w:pBdr>
          <w:bottom w:val="single" w:color="2E74B5" w:sz="6" w:space="4"/>
        </w:pBdr>
        <w:spacing w:after="60"/>
      </w:pPr>
      <w:r>
        <w:rPr>
          <w:color w:val="888888"/>
          <w:sz w:val="18"/>
          <w:szCs w:val="18"/>
        </w:rPr>
        <w:t xml:space="preserve">Prepared August 3, 2026</w:t>
      </w:r>
    </w:p>
    <w:p>
      <w:pPr>
        <w:spacing w:after="200"/>
      </w:pPr>
    </w:p>
    <w:p>
      <w:pPr>
        <w:pStyle w:val="Heading1"/>
        <w:spacing w:after="160" w:before="360"/>
      </w:pPr>
      <w:r>
        <w:rPr>
          <w:b/>
          <w:bCs/>
          <w:color w:val="1F3864"/>
          <w:sz w:val="30"/>
          <w:szCs w:val="30"/>
        </w:rPr>
        <w:t xml:space="preserve">1. Overview</w:t>
      </w:r>
    </w:p>
    <w:p>
      <w:pPr>
        <w:spacing w:after="160" w:line="276"/>
      </w:pPr>
      <w:r>
        <w:rPr>
          <w:sz w:val="21"/>
          <w:szCs w:val="21"/>
        </w:rPr>
        <w:t xml:space="preserve">AI gateways sit between applications and large language model (LLM) backends, handling routing, authentication, rate limiting, observability, caching, and safety controls for generative AI traffic. The four options compared here take different approaches: two are purpose-built or general-purpose API gateways with AI extensions (Kong, Azure APIM), one is an LLM-native open-source proxy (LiteLLM), and one is a combination of a general-purpose API gateway and a managed model service (AWS API Gateway + Amazon Bedrock).</w:t>
      </w:r>
    </w:p>
    <w:tbl>
      <w:tblPr>
        <w:tblW w:type="dxa" w:w="14040"/>
        <w:tblBorders>
          <w:top w:val="single" w:color="AAAAAA" w:sz="4"/>
          <w:left w:val="single" w:color="AAAAAA" w:sz="4"/>
          <w:bottom w:val="single" w:color="AAAAAA" w:sz="4"/>
          <w:right w:val="single" w:color="AAAAAA" w:sz="4"/>
          <w:insideH w:val="single" w:color="CCCCCC" w:sz="4"/>
          <w:insideV w:val="single" w:color="CCCCCC" w:sz="4"/>
        </w:tblBorders>
      </w:tblPr>
      <w:tblGrid>
        <w:gridCol w:w="2000"/>
        <w:gridCol w:w="3010"/>
        <w:gridCol w:w="3010"/>
        <w:gridCol w:w="3010"/>
        <w:gridCol w:w="3010"/>
      </w:tblGrid>
      <w:tr>
        <w:trPr>
          <w:tblHeader/>
        </w:trPr>
        <w:tc>
          <w:tcPr>
            <w:tcW w:type="dxa" w:w="2000"/>
            <w:shd w:fill="1F3864" w:color="auto" w:val="clear"/>
            <w:tcMar>
              <w:top w:type="dxa" w:w="100"/>
              <w:left w:type="dxa" w:w="120"/>
              <w:bottom w:type="dxa" w:w="100"/>
              <w:right w:type="dxa" w:w="120"/>
            </w:tcMar>
          </w:tcPr>
          <w:p>
            <w:pPr>
              <w:jc w:val="left"/>
            </w:pPr>
            <w:r>
              <w:rPr>
                <w:b/>
                <w:bCs/>
                <w:color w:val="FFFFFF"/>
                <w:sz w:val="19"/>
                <w:szCs w:val="19"/>
              </w:rPr>
              <w:t xml:space="preserve"/>
            </w:r>
          </w:p>
        </w:tc>
        <w:tc>
          <w:tcPr>
            <w:tcW w:type="dxa" w:w="3010"/>
            <w:shd w:fill="1F3864" w:color="auto" w:val="clear"/>
            <w:tcMar>
              <w:top w:type="dxa" w:w="100"/>
              <w:left w:type="dxa" w:w="120"/>
              <w:bottom w:type="dxa" w:w="100"/>
              <w:right w:type="dxa" w:w="120"/>
            </w:tcMar>
          </w:tcPr>
          <w:p>
            <w:pPr>
              <w:jc w:val="left"/>
            </w:pPr>
            <w:r>
              <w:rPr>
                <w:b/>
                <w:bCs/>
                <w:color w:val="FFFFFF"/>
                <w:sz w:val="19"/>
                <w:szCs w:val="19"/>
              </w:rPr>
              <w:t xml:space="preserve">Kong AI Gateway</w:t>
            </w:r>
          </w:p>
        </w:tc>
        <w:tc>
          <w:tcPr>
            <w:tcW w:type="dxa" w:w="3010"/>
            <w:shd w:fill="1F3864" w:color="auto" w:val="clear"/>
            <w:tcMar>
              <w:top w:type="dxa" w:w="100"/>
              <w:left w:type="dxa" w:w="120"/>
              <w:bottom w:type="dxa" w:w="100"/>
              <w:right w:type="dxa" w:w="120"/>
            </w:tcMar>
          </w:tcPr>
          <w:p>
            <w:pPr>
              <w:jc w:val="left"/>
            </w:pPr>
            <w:r>
              <w:rPr>
                <w:b/>
                <w:bCs/>
                <w:color w:val="FFFFFF"/>
                <w:sz w:val="19"/>
                <w:szCs w:val="19"/>
              </w:rPr>
              <w:t xml:space="preserve">LiteLLM</w:t>
            </w:r>
          </w:p>
        </w:tc>
        <w:tc>
          <w:tcPr>
            <w:tcW w:type="dxa" w:w="3010"/>
            <w:shd w:fill="1F3864" w:color="auto" w:val="clear"/>
            <w:tcMar>
              <w:top w:type="dxa" w:w="100"/>
              <w:left w:type="dxa" w:w="120"/>
              <w:bottom w:type="dxa" w:w="100"/>
              <w:right w:type="dxa" w:w="120"/>
            </w:tcMar>
          </w:tcPr>
          <w:p>
            <w:pPr>
              <w:jc w:val="left"/>
            </w:pPr>
            <w:r>
              <w:rPr>
                <w:b/>
                <w:bCs/>
                <w:color w:val="FFFFFF"/>
                <w:sz w:val="19"/>
                <w:szCs w:val="19"/>
              </w:rPr>
              <w:t xml:space="preserve">AWS API Gateway + Bedrock</w:t>
            </w:r>
          </w:p>
        </w:tc>
        <w:tc>
          <w:tcPr>
            <w:tcW w:type="dxa" w:w="3010"/>
            <w:shd w:fill="1F3864" w:color="auto" w:val="clear"/>
            <w:tcMar>
              <w:top w:type="dxa" w:w="100"/>
              <w:left w:type="dxa" w:w="120"/>
              <w:bottom w:type="dxa" w:w="100"/>
              <w:right w:type="dxa" w:w="120"/>
            </w:tcMar>
          </w:tcPr>
          <w:p>
            <w:pPr>
              <w:jc w:val="left"/>
            </w:pPr>
            <w:r>
              <w:rPr>
                <w:b/>
                <w:bCs/>
                <w:color w:val="FFFFFF"/>
                <w:sz w:val="19"/>
                <w:szCs w:val="19"/>
              </w:rPr>
              <w:t xml:space="preserve">Azure API Management (AI Gateway)</w:t>
            </w:r>
          </w:p>
        </w:tc>
      </w:tr>
      <w:tr>
        <w:tc>
          <w:tcPr>
            <w:tcW w:type="dxa" w:w="2000"/>
            <w:tcMar>
              <w:top w:type="dxa" w:w="100"/>
              <w:left w:type="dxa" w:w="120"/>
              <w:bottom w:type="dxa" w:w="100"/>
              <w:right w:type="dxa" w:w="120"/>
            </w:tcMar>
          </w:tcPr>
          <w:p>
            <w:pPr>
              <w:jc w:val="left"/>
            </w:pPr>
            <w:r>
              <w:rPr>
                <w:b w:val="false"/>
                <w:bCs w:val="false"/>
                <w:color w:val="000000"/>
                <w:sz w:val="19"/>
                <w:szCs w:val="19"/>
              </w:rPr>
              <w:t xml:space="preserve">Category</w:t>
            </w:r>
          </w:p>
        </w:tc>
        <w:tc>
          <w:tcPr>
            <w:tcW w:type="dxa" w:w="3010"/>
            <w:tcMar>
              <w:top w:type="dxa" w:w="100"/>
              <w:left w:type="dxa" w:w="120"/>
              <w:bottom w:type="dxa" w:w="100"/>
              <w:right w:type="dxa" w:w="120"/>
            </w:tcMar>
          </w:tcPr>
          <w:p>
            <w:pPr>
              <w:jc w:val="left"/>
            </w:pPr>
            <w:r>
              <w:rPr>
                <w:b w:val="false"/>
                <w:bCs w:val="false"/>
                <w:color w:val="000000"/>
                <w:sz w:val="19"/>
                <w:szCs w:val="19"/>
              </w:rPr>
              <w:t xml:space="preserve">API gateway with AI plugins (Kong Gateway / Konnect)</w:t>
            </w:r>
          </w:p>
        </w:tc>
        <w:tc>
          <w:tcPr>
            <w:tcW w:type="dxa" w:w="3010"/>
            <w:tcMar>
              <w:top w:type="dxa" w:w="100"/>
              <w:left w:type="dxa" w:w="120"/>
              <w:bottom w:type="dxa" w:w="100"/>
              <w:right w:type="dxa" w:w="120"/>
            </w:tcMar>
          </w:tcPr>
          <w:p>
            <w:pPr>
              <w:jc w:val="left"/>
            </w:pPr>
            <w:r>
              <w:rPr>
                <w:b w:val="false"/>
                <w:bCs w:val="false"/>
                <w:color w:val="000000"/>
                <w:sz w:val="19"/>
                <w:szCs w:val="19"/>
              </w:rPr>
              <w:t xml:space="preserve">Open-source LLM proxy &amp; gateway</w:t>
            </w:r>
          </w:p>
        </w:tc>
        <w:tc>
          <w:tcPr>
            <w:tcW w:type="dxa" w:w="3010"/>
            <w:tcMar>
              <w:top w:type="dxa" w:w="100"/>
              <w:left w:type="dxa" w:w="120"/>
              <w:bottom w:type="dxa" w:w="100"/>
              <w:right w:type="dxa" w:w="120"/>
            </w:tcMar>
          </w:tcPr>
          <w:p>
            <w:pPr>
              <w:jc w:val="left"/>
            </w:pPr>
            <w:r>
              <w:rPr>
                <w:b w:val="false"/>
                <w:bCs w:val="false"/>
                <w:color w:val="000000"/>
                <w:sz w:val="19"/>
                <w:szCs w:val="19"/>
              </w:rPr>
              <w:t xml:space="preserve">General-purpose API gateway + managed foundation-model service</w:t>
            </w:r>
          </w:p>
        </w:tc>
        <w:tc>
          <w:tcPr>
            <w:tcW w:type="dxa" w:w="3010"/>
            <w:tcMar>
              <w:top w:type="dxa" w:w="100"/>
              <w:left w:type="dxa" w:w="120"/>
              <w:bottom w:type="dxa" w:w="100"/>
              <w:right w:type="dxa" w:w="120"/>
            </w:tcMar>
          </w:tcPr>
          <w:p>
            <w:pPr>
              <w:jc w:val="left"/>
            </w:pPr>
            <w:r>
              <w:rPr>
                <w:b w:val="false"/>
                <w:bCs w:val="false"/>
                <w:color w:val="000000"/>
                <w:sz w:val="19"/>
                <w:szCs w:val="19"/>
              </w:rPr>
              <w:t xml:space="preserve">General-purpose API gateway with GenAI capabilities</w:t>
            </w:r>
          </w:p>
        </w:tc>
      </w:tr>
      <w:tr>
        <w:tc>
          <w:tcPr>
            <w:tcW w:type="dxa" w:w="2000"/>
            <w:shd w:fill="F2F2F2" w:color="auto" w:val="clear"/>
            <w:tcMar>
              <w:top w:type="dxa" w:w="100"/>
              <w:left w:type="dxa" w:w="120"/>
              <w:bottom w:type="dxa" w:w="100"/>
              <w:right w:type="dxa" w:w="120"/>
            </w:tcMar>
          </w:tcPr>
          <w:p>
            <w:pPr>
              <w:jc w:val="left"/>
            </w:pPr>
            <w:r>
              <w:rPr>
                <w:b w:val="false"/>
                <w:bCs w:val="false"/>
                <w:color w:val="000000"/>
                <w:sz w:val="19"/>
                <w:szCs w:val="19"/>
              </w:rPr>
              <w:t xml:space="preserve">Origin</w:t>
            </w:r>
          </w:p>
        </w:tc>
        <w:tc>
          <w:tcPr>
            <w:tcW w:type="dxa" w:w="3010"/>
            <w:shd w:fill="F2F2F2" w:color="auto" w:val="clear"/>
            <w:tcMar>
              <w:top w:type="dxa" w:w="100"/>
              <w:left w:type="dxa" w:w="120"/>
              <w:bottom w:type="dxa" w:w="100"/>
              <w:right w:type="dxa" w:w="120"/>
            </w:tcMar>
          </w:tcPr>
          <w:p>
            <w:pPr>
              <w:jc w:val="left"/>
            </w:pPr>
            <w:r>
              <w:rPr>
                <w:b w:val="false"/>
                <w:bCs w:val="false"/>
                <w:color w:val="000000"/>
                <w:sz w:val="19"/>
                <w:szCs w:val="19"/>
              </w:rPr>
              <w:t xml:space="preserve">Extension of Kong's existing API gateway platform</w:t>
            </w:r>
          </w:p>
        </w:tc>
        <w:tc>
          <w:tcPr>
            <w:tcW w:type="dxa" w:w="3010"/>
            <w:shd w:fill="F2F2F2" w:color="auto" w:val="clear"/>
            <w:tcMar>
              <w:top w:type="dxa" w:w="100"/>
              <w:left w:type="dxa" w:w="120"/>
              <w:bottom w:type="dxa" w:w="100"/>
              <w:right w:type="dxa" w:w="120"/>
            </w:tcMar>
          </w:tcPr>
          <w:p>
            <w:pPr>
              <w:jc w:val="left"/>
            </w:pPr>
            <w:r>
              <w:rPr>
                <w:b w:val="false"/>
                <w:bCs w:val="false"/>
                <w:color w:val="000000"/>
                <w:sz w:val="19"/>
                <w:szCs w:val="19"/>
              </w:rPr>
              <w:t xml:space="preserve">Purpose-built from the ground up for LLM traffic</w:t>
            </w:r>
          </w:p>
        </w:tc>
        <w:tc>
          <w:tcPr>
            <w:tcW w:type="dxa" w:w="3010"/>
            <w:shd w:fill="F2F2F2" w:color="auto" w:val="clear"/>
            <w:tcMar>
              <w:top w:type="dxa" w:w="100"/>
              <w:left w:type="dxa" w:w="120"/>
              <w:bottom w:type="dxa" w:w="100"/>
              <w:right w:type="dxa" w:w="120"/>
            </w:tcMar>
          </w:tcPr>
          <w:p>
            <w:pPr>
              <w:jc w:val="left"/>
            </w:pPr>
            <w:r>
              <w:rPr>
                <w:b w:val="false"/>
                <w:bCs w:val="false"/>
                <w:color w:val="000000"/>
                <w:sz w:val="19"/>
                <w:szCs w:val="19"/>
              </w:rPr>
              <w:t xml:space="preserve">AWS API Gateway (general) paired with Bedrock (AI-specific)</w:t>
            </w:r>
          </w:p>
        </w:tc>
        <w:tc>
          <w:tcPr>
            <w:tcW w:type="dxa" w:w="3010"/>
            <w:shd w:fill="F2F2F2" w:color="auto" w:val="clear"/>
            <w:tcMar>
              <w:top w:type="dxa" w:w="100"/>
              <w:left w:type="dxa" w:w="120"/>
              <w:bottom w:type="dxa" w:w="100"/>
              <w:right w:type="dxa" w:w="120"/>
            </w:tcMar>
          </w:tcPr>
          <w:p>
            <w:pPr>
              <w:jc w:val="left"/>
            </w:pPr>
            <w:r>
              <w:rPr>
                <w:b w:val="false"/>
                <w:bCs w:val="false"/>
                <w:color w:val="000000"/>
                <w:sz w:val="19"/>
                <w:szCs w:val="19"/>
              </w:rPr>
              <w:t xml:space="preserve">Extension of Azure APIM, Microsoft's API management platform</w:t>
            </w:r>
          </w:p>
        </w:tc>
      </w:tr>
      <w:tr>
        <w:tc>
          <w:tcPr>
            <w:tcW w:type="dxa" w:w="2000"/>
            <w:tcMar>
              <w:top w:type="dxa" w:w="100"/>
              <w:left w:type="dxa" w:w="120"/>
              <w:bottom w:type="dxa" w:w="100"/>
              <w:right w:type="dxa" w:w="120"/>
            </w:tcMar>
          </w:tcPr>
          <w:p>
            <w:pPr>
              <w:jc w:val="left"/>
            </w:pPr>
            <w:r>
              <w:rPr>
                <w:b w:val="false"/>
                <w:bCs w:val="false"/>
                <w:color w:val="000000"/>
                <w:sz w:val="19"/>
                <w:szCs w:val="19"/>
              </w:rPr>
              <w:t xml:space="preserve">Deployment</w:t>
            </w:r>
          </w:p>
        </w:tc>
        <w:tc>
          <w:tcPr>
            <w:tcW w:type="dxa" w:w="3010"/>
            <w:tcMar>
              <w:top w:type="dxa" w:w="100"/>
              <w:left w:type="dxa" w:w="120"/>
              <w:bottom w:type="dxa" w:w="100"/>
              <w:right w:type="dxa" w:w="120"/>
            </w:tcMar>
          </w:tcPr>
          <w:p>
            <w:pPr>
              <w:jc w:val="left"/>
            </w:pPr>
            <w:r>
              <w:rPr>
                <w:b w:val="false"/>
                <w:bCs w:val="false"/>
                <w:color w:val="000000"/>
                <w:sz w:val="19"/>
                <w:szCs w:val="19"/>
              </w:rPr>
              <w:t xml:space="preserve">Self-hosted (OSS/Enterprise) or Konnect (managed cloud)</w:t>
            </w:r>
          </w:p>
        </w:tc>
        <w:tc>
          <w:tcPr>
            <w:tcW w:type="dxa" w:w="3010"/>
            <w:tcMar>
              <w:top w:type="dxa" w:w="100"/>
              <w:left w:type="dxa" w:w="120"/>
              <w:bottom w:type="dxa" w:w="100"/>
              <w:right w:type="dxa" w:w="120"/>
            </w:tcMar>
          </w:tcPr>
          <w:p>
            <w:pPr>
              <w:jc w:val="left"/>
            </w:pPr>
            <w:r>
              <w:rPr>
                <w:b w:val="false"/>
                <w:bCs w:val="false"/>
                <w:color w:val="000000"/>
                <w:sz w:val="19"/>
                <w:szCs w:val="19"/>
              </w:rPr>
              <w:t xml:space="preserve">Self-hosted (Docker/Helm/Terraform), or LiteLLM Cloud</w:t>
            </w:r>
          </w:p>
        </w:tc>
        <w:tc>
          <w:tcPr>
            <w:tcW w:type="dxa" w:w="3010"/>
            <w:tcMar>
              <w:top w:type="dxa" w:w="100"/>
              <w:left w:type="dxa" w:w="120"/>
              <w:bottom w:type="dxa" w:w="100"/>
              <w:right w:type="dxa" w:w="120"/>
            </w:tcMar>
          </w:tcPr>
          <w:p>
            <w:pPr>
              <w:jc w:val="left"/>
            </w:pPr>
            <w:r>
              <w:rPr>
                <w:b w:val="false"/>
                <w:bCs w:val="false"/>
                <w:color w:val="000000"/>
                <w:sz w:val="19"/>
                <w:szCs w:val="19"/>
              </w:rPr>
              <w:t xml:space="preserve">Fully managed AWS service, serverless</w:t>
            </w:r>
          </w:p>
        </w:tc>
        <w:tc>
          <w:tcPr>
            <w:tcW w:type="dxa" w:w="3010"/>
            <w:tcMar>
              <w:top w:type="dxa" w:w="100"/>
              <w:left w:type="dxa" w:w="120"/>
              <w:bottom w:type="dxa" w:w="100"/>
              <w:right w:type="dxa" w:w="120"/>
            </w:tcMar>
          </w:tcPr>
          <w:p>
            <w:pPr>
              <w:jc w:val="left"/>
            </w:pPr>
            <w:r>
              <w:rPr>
                <w:b w:val="false"/>
                <w:bCs w:val="false"/>
                <w:color w:val="000000"/>
                <w:sz w:val="19"/>
                <w:szCs w:val="19"/>
              </w:rPr>
              <w:t xml:space="preserve">Fully managed Azure service; new AI Gateway tier (preview)</w:t>
            </w:r>
          </w:p>
        </w:tc>
      </w:tr>
      <w:tr>
        <w:tc>
          <w:tcPr>
            <w:tcW w:type="dxa" w:w="2000"/>
            <w:shd w:fill="F2F2F2" w:color="auto" w:val="clear"/>
            <w:tcMar>
              <w:top w:type="dxa" w:w="100"/>
              <w:left w:type="dxa" w:w="120"/>
              <w:bottom w:type="dxa" w:w="100"/>
              <w:right w:type="dxa" w:w="120"/>
            </w:tcMar>
          </w:tcPr>
          <w:p>
            <w:pPr>
              <w:jc w:val="left"/>
            </w:pPr>
            <w:r>
              <w:rPr>
                <w:b w:val="false"/>
                <w:bCs w:val="false"/>
                <w:color w:val="000000"/>
                <w:sz w:val="19"/>
                <w:szCs w:val="19"/>
              </w:rPr>
              <w:t xml:space="preserve">Best fit</w:t>
            </w:r>
          </w:p>
        </w:tc>
        <w:tc>
          <w:tcPr>
            <w:tcW w:type="dxa" w:w="3010"/>
            <w:shd w:fill="F2F2F2" w:color="auto" w:val="clear"/>
            <w:tcMar>
              <w:top w:type="dxa" w:w="100"/>
              <w:left w:type="dxa" w:w="120"/>
              <w:bottom w:type="dxa" w:w="100"/>
              <w:right w:type="dxa" w:w="120"/>
            </w:tcMar>
          </w:tcPr>
          <w:p>
            <w:pPr>
              <w:jc w:val="left"/>
            </w:pPr>
            <w:r>
              <w:rPr>
                <w:b w:val="false"/>
                <w:bCs w:val="false"/>
                <w:color w:val="000000"/>
                <w:sz w:val="19"/>
                <w:szCs w:val="19"/>
              </w:rPr>
              <w:t xml:space="preserve">Teams already standardized on Kong for API management who want to extend it to AI traffic</w:t>
            </w:r>
          </w:p>
        </w:tc>
        <w:tc>
          <w:tcPr>
            <w:tcW w:type="dxa" w:w="3010"/>
            <w:shd w:fill="F2F2F2" w:color="auto" w:val="clear"/>
            <w:tcMar>
              <w:top w:type="dxa" w:w="100"/>
              <w:left w:type="dxa" w:w="120"/>
              <w:bottom w:type="dxa" w:w="100"/>
              <w:right w:type="dxa" w:w="120"/>
            </w:tcMar>
          </w:tcPr>
          <w:p>
            <w:pPr>
              <w:jc w:val="left"/>
            </w:pPr>
            <w:r>
              <w:rPr>
                <w:b w:val="false"/>
                <w:bCs w:val="false"/>
                <w:color w:val="000000"/>
                <w:sz w:val="19"/>
                <w:szCs w:val="19"/>
              </w:rPr>
              <w:t xml:space="preserve">Developer teams wanting a lightweight, model-agnostic LLM proxy with fast iteration</w:t>
            </w:r>
          </w:p>
        </w:tc>
        <w:tc>
          <w:tcPr>
            <w:tcW w:type="dxa" w:w="3010"/>
            <w:shd w:fill="F2F2F2" w:color="auto" w:val="clear"/>
            <w:tcMar>
              <w:top w:type="dxa" w:w="100"/>
              <w:left w:type="dxa" w:w="120"/>
              <w:bottom w:type="dxa" w:w="100"/>
              <w:right w:type="dxa" w:w="120"/>
            </w:tcMar>
          </w:tcPr>
          <w:p>
            <w:pPr>
              <w:jc w:val="left"/>
            </w:pPr>
            <w:r>
              <w:rPr>
                <w:b w:val="false"/>
                <w:bCs w:val="false"/>
                <w:color w:val="000000"/>
                <w:sz w:val="19"/>
                <w:szCs w:val="19"/>
              </w:rPr>
              <w:t xml:space="preserve">Teams already on AWS wanting native IAM/VPC integration with foundation models</w:t>
            </w:r>
          </w:p>
        </w:tc>
        <w:tc>
          <w:tcPr>
            <w:tcW w:type="dxa" w:w="3010"/>
            <w:shd w:fill="F2F2F2" w:color="auto" w:val="clear"/>
            <w:tcMar>
              <w:top w:type="dxa" w:w="100"/>
              <w:left w:type="dxa" w:w="120"/>
              <w:bottom w:type="dxa" w:w="100"/>
              <w:right w:type="dxa" w:w="120"/>
            </w:tcMar>
          </w:tcPr>
          <w:p>
            <w:pPr>
              <w:jc w:val="left"/>
            </w:pPr>
            <w:r>
              <w:rPr>
                <w:b w:val="false"/>
                <w:bCs w:val="false"/>
                <w:color w:val="000000"/>
                <w:sz w:val="19"/>
                <w:szCs w:val="19"/>
              </w:rPr>
              <w:t xml:space="preserve">Teams already on Azure/APIM wanting centralized governance across OpenAI, Azure OpenAI, and other models</w:t>
            </w:r>
          </w:p>
        </w:tc>
      </w:tr>
    </w:tbl>
    <w:p>
      <w:pPr>
        <w:pStyle w:val="Heading1"/>
        <w:spacing w:after="160" w:before="360"/>
      </w:pPr>
      <w:r>
        <w:rPr>
          <w:b/>
          <w:bCs/>
          <w:color w:val="1F3864"/>
          <w:sz w:val="30"/>
          <w:szCs w:val="30"/>
        </w:rPr>
        <w:t xml:space="preserve">2. Feature Comparison</w:t>
      </w:r>
    </w:p>
    <w:tbl>
      <w:tblPr>
        <w:tblW w:type="dxa" w:w="14050"/>
        <w:tblBorders>
          <w:top w:val="single" w:color="AAAAAA" w:sz="4"/>
          <w:left w:val="single" w:color="AAAAAA" w:sz="4"/>
          <w:bottom w:val="single" w:color="AAAAAA" w:sz="4"/>
          <w:right w:val="single" w:color="AAAAAA" w:sz="4"/>
          <w:insideH w:val="single" w:color="CCCCCC" w:sz="4"/>
          <w:insideV w:val="single" w:color="CCCCCC" w:sz="4"/>
        </w:tblBorders>
      </w:tblPr>
      <w:tblGrid>
        <w:gridCol w:w="2230"/>
        <w:gridCol w:w="2955"/>
        <w:gridCol w:w="2955"/>
        <w:gridCol w:w="2955"/>
        <w:gridCol w:w="2955"/>
      </w:tblGrid>
      <w:tr>
        <w:trPr>
          <w:tblHeader/>
        </w:trPr>
        <w:tc>
          <w:tcPr>
            <w:tcW w:type="dxa" w:w="2230"/>
            <w:shd w:fill="1F3864" w:color="auto" w:val="clear"/>
            <w:tcMar>
              <w:top w:type="dxa" w:w="100"/>
              <w:left w:type="dxa" w:w="120"/>
              <w:bottom w:type="dxa" w:w="100"/>
              <w:right w:type="dxa" w:w="120"/>
            </w:tcMar>
          </w:tcPr>
          <w:p>
            <w:pPr>
              <w:jc w:val="left"/>
            </w:pPr>
            <w:r>
              <w:rPr>
                <w:b/>
                <w:bCs/>
                <w:color w:val="FFFFFF"/>
                <w:sz w:val="19"/>
                <w:szCs w:val="19"/>
              </w:rPr>
              <w:t xml:space="preserve">Capability</w:t>
            </w:r>
          </w:p>
        </w:tc>
        <w:tc>
          <w:tcPr>
            <w:tcW w:type="dxa" w:w="2955"/>
            <w:shd w:fill="1F3864" w:color="auto" w:val="clear"/>
            <w:tcMar>
              <w:top w:type="dxa" w:w="100"/>
              <w:left w:type="dxa" w:w="120"/>
              <w:bottom w:type="dxa" w:w="100"/>
              <w:right w:type="dxa" w:w="120"/>
            </w:tcMar>
          </w:tcPr>
          <w:p>
            <w:pPr>
              <w:jc w:val="left"/>
            </w:pPr>
            <w:r>
              <w:rPr>
                <w:b/>
                <w:bCs/>
                <w:color w:val="FFFFFF"/>
                <w:sz w:val="19"/>
                <w:szCs w:val="19"/>
              </w:rPr>
              <w:t xml:space="preserve">Kong AI Gateway</w:t>
            </w:r>
          </w:p>
        </w:tc>
        <w:tc>
          <w:tcPr>
            <w:tcW w:type="dxa" w:w="2955"/>
            <w:shd w:fill="1F3864" w:color="auto" w:val="clear"/>
            <w:tcMar>
              <w:top w:type="dxa" w:w="100"/>
              <w:left w:type="dxa" w:w="120"/>
              <w:bottom w:type="dxa" w:w="100"/>
              <w:right w:type="dxa" w:w="120"/>
            </w:tcMar>
          </w:tcPr>
          <w:p>
            <w:pPr>
              <w:jc w:val="left"/>
            </w:pPr>
            <w:r>
              <w:rPr>
                <w:b/>
                <w:bCs/>
                <w:color w:val="FFFFFF"/>
                <w:sz w:val="19"/>
                <w:szCs w:val="19"/>
              </w:rPr>
              <w:t xml:space="preserve">LiteLLM</w:t>
            </w:r>
          </w:p>
        </w:tc>
        <w:tc>
          <w:tcPr>
            <w:tcW w:type="dxa" w:w="2955"/>
            <w:shd w:fill="1F3864" w:color="auto" w:val="clear"/>
            <w:tcMar>
              <w:top w:type="dxa" w:w="100"/>
              <w:left w:type="dxa" w:w="120"/>
              <w:bottom w:type="dxa" w:w="100"/>
              <w:right w:type="dxa" w:w="120"/>
            </w:tcMar>
          </w:tcPr>
          <w:p>
            <w:pPr>
              <w:jc w:val="left"/>
            </w:pPr>
            <w:r>
              <w:rPr>
                <w:b/>
                <w:bCs/>
                <w:color w:val="FFFFFF"/>
                <w:sz w:val="19"/>
                <w:szCs w:val="19"/>
              </w:rPr>
              <w:t xml:space="preserve">AWS API Gateway + Bedrock</w:t>
            </w:r>
          </w:p>
        </w:tc>
        <w:tc>
          <w:tcPr>
            <w:tcW w:type="dxa" w:w="2955"/>
            <w:shd w:fill="1F3864" w:color="auto" w:val="clear"/>
            <w:tcMar>
              <w:top w:type="dxa" w:w="100"/>
              <w:left w:type="dxa" w:w="120"/>
              <w:bottom w:type="dxa" w:w="100"/>
              <w:right w:type="dxa" w:w="120"/>
            </w:tcMar>
          </w:tcPr>
          <w:p>
            <w:pPr>
              <w:jc w:val="left"/>
            </w:pPr>
            <w:r>
              <w:rPr>
                <w:b/>
                <w:bCs/>
                <w:color w:val="FFFFFF"/>
                <w:sz w:val="19"/>
                <w:szCs w:val="19"/>
              </w:rPr>
              <w:t xml:space="preserve">Azure APIM AI Gateway</w:t>
            </w:r>
          </w:p>
        </w:tc>
      </w:tr>
      <w:tr>
        <w:tc>
          <w:tcPr>
            <w:tcW w:type="dxa" w:w="2230"/>
            <w:tcMar>
              <w:top w:type="dxa" w:w="100"/>
              <w:left w:type="dxa" w:w="120"/>
              <w:bottom w:type="dxa" w:w="100"/>
              <w:right w:type="dxa" w:w="120"/>
            </w:tcMar>
          </w:tcPr>
          <w:p>
            <w:pPr>
              <w:jc w:val="left"/>
            </w:pPr>
            <w:r>
              <w:rPr>
                <w:b w:val="false"/>
                <w:bCs w:val="false"/>
                <w:color w:val="000000"/>
                <w:sz w:val="19"/>
                <w:szCs w:val="19"/>
              </w:rPr>
              <w:t xml:space="preserve">Multi-provider routing</w:t>
            </w:r>
          </w:p>
        </w:tc>
        <w:tc>
          <w:tcPr>
            <w:tcW w:type="dxa" w:w="2955"/>
            <w:tcMar>
              <w:top w:type="dxa" w:w="100"/>
              <w:left w:type="dxa" w:w="120"/>
              <w:bottom w:type="dxa" w:w="100"/>
              <w:right w:type="dxa" w:w="120"/>
            </w:tcMar>
          </w:tcPr>
          <w:p>
            <w:pPr>
              <w:jc w:val="left"/>
            </w:pPr>
            <w:r>
              <w:rPr>
                <w:b w:val="false"/>
                <w:bCs w:val="false"/>
                <w:color w:val="000000"/>
                <w:sz w:val="19"/>
                <w:szCs w:val="19"/>
              </w:rPr>
              <w:t xml:space="preserve">Yes — AI Proxy plugin supports 15+ providers (OpenAI, Bedrock, Azure OpenAI, Gemini, etc.)</w:t>
            </w:r>
          </w:p>
        </w:tc>
        <w:tc>
          <w:tcPr>
            <w:tcW w:type="dxa" w:w="2955"/>
            <w:tcMar>
              <w:top w:type="dxa" w:w="100"/>
              <w:left w:type="dxa" w:w="120"/>
              <w:bottom w:type="dxa" w:w="100"/>
              <w:right w:type="dxa" w:w="120"/>
            </w:tcMar>
          </w:tcPr>
          <w:p>
            <w:pPr>
              <w:jc w:val="left"/>
            </w:pPr>
            <w:r>
              <w:rPr>
                <w:b w:val="false"/>
                <w:bCs w:val="false"/>
                <w:color w:val="000000"/>
                <w:sz w:val="19"/>
                <w:szCs w:val="19"/>
              </w:rPr>
              <w:t xml:space="preserve">Yes — core feature; unified OpenAI-compatible interface across 100+ providers</w:t>
            </w:r>
          </w:p>
        </w:tc>
        <w:tc>
          <w:tcPr>
            <w:tcW w:type="dxa" w:w="2955"/>
            <w:tcMar>
              <w:top w:type="dxa" w:w="100"/>
              <w:left w:type="dxa" w:w="120"/>
              <w:bottom w:type="dxa" w:w="100"/>
              <w:right w:type="dxa" w:w="120"/>
            </w:tcMar>
          </w:tcPr>
          <w:p>
            <w:pPr>
              <w:jc w:val="left"/>
            </w:pPr>
            <w:r>
              <w:rPr>
                <w:b w:val="false"/>
                <w:bCs w:val="false"/>
                <w:color w:val="000000"/>
                <w:sz w:val="19"/>
                <w:szCs w:val="19"/>
              </w:rPr>
              <w:t xml:space="preserve">Primarily Bedrock's own model catalog (Anthropic, Meta, Amazon, Mistral, etc.); cross-provider needs custom integration</w:t>
            </w:r>
          </w:p>
        </w:tc>
        <w:tc>
          <w:tcPr>
            <w:tcW w:type="dxa" w:w="2955"/>
            <w:tcMar>
              <w:top w:type="dxa" w:w="100"/>
              <w:left w:type="dxa" w:w="120"/>
              <w:bottom w:type="dxa" w:w="100"/>
              <w:right w:type="dxa" w:w="120"/>
            </w:tcMar>
          </w:tcPr>
          <w:p>
            <w:pPr>
              <w:jc w:val="left"/>
            </w:pPr>
            <w:r>
              <w:rPr>
                <w:b w:val="false"/>
                <w:bCs w:val="false"/>
                <w:color w:val="000000"/>
                <w:sz w:val="19"/>
                <w:szCs w:val="19"/>
              </w:rPr>
              <w:t xml:space="preserve">Yes — unified model API (preview) exposes multiple backends via one OpenAI-compatible endpoint</w:t>
            </w:r>
          </w:p>
        </w:tc>
      </w:tr>
      <w:tr>
        <w:tc>
          <w:tcPr>
            <w:tcW w:type="dxa" w:w="2230"/>
            <w:shd w:fill="F2F2F2" w:color="auto" w:val="clear"/>
            <w:tcMar>
              <w:top w:type="dxa" w:w="100"/>
              <w:left w:type="dxa" w:w="120"/>
              <w:bottom w:type="dxa" w:w="100"/>
              <w:right w:type="dxa" w:w="120"/>
            </w:tcMar>
          </w:tcPr>
          <w:p>
            <w:pPr>
              <w:jc w:val="left"/>
            </w:pPr>
            <w:r>
              <w:rPr>
                <w:b w:val="false"/>
                <w:bCs w:val="false"/>
                <w:color w:val="000000"/>
                <w:sz w:val="19"/>
                <w:szCs w:val="19"/>
              </w:rPr>
              <w:t xml:space="preserve">Semantic caching</w:t>
            </w:r>
          </w:p>
        </w:tc>
        <w:tc>
          <w:tcPr>
            <w:tcW w:type="dxa" w:w="2955"/>
            <w:shd w:fill="F2F2F2" w:color="auto" w:val="clear"/>
            <w:tcMar>
              <w:top w:type="dxa" w:w="100"/>
              <w:left w:type="dxa" w:w="120"/>
              <w:bottom w:type="dxa" w:w="100"/>
              <w:right w:type="dxa" w:w="120"/>
            </w:tcMar>
          </w:tcPr>
          <w:p>
            <w:pPr>
              <w:jc w:val="left"/>
            </w:pPr>
            <w:r>
              <w:rPr>
                <w:b w:val="false"/>
                <w:bCs w:val="false"/>
                <w:color w:val="000000"/>
                <w:sz w:val="19"/>
                <w:szCs w:val="19"/>
              </w:rPr>
              <w:t xml:space="preserve">Yes — AI Semantic Cache plugin (Redis-backed)</w:t>
            </w:r>
          </w:p>
        </w:tc>
        <w:tc>
          <w:tcPr>
            <w:tcW w:type="dxa" w:w="2955"/>
            <w:shd w:fill="F2F2F2" w:color="auto" w:val="clear"/>
            <w:tcMar>
              <w:top w:type="dxa" w:w="100"/>
              <w:left w:type="dxa" w:w="120"/>
              <w:bottom w:type="dxa" w:w="100"/>
              <w:right w:type="dxa" w:w="120"/>
            </w:tcMar>
          </w:tcPr>
          <w:p>
            <w:pPr>
              <w:jc w:val="left"/>
            </w:pPr>
            <w:r>
              <w:rPr>
                <w:b w:val="false"/>
                <w:bCs w:val="false"/>
                <w:color w:val="000000"/>
                <w:sz w:val="19"/>
                <w:szCs w:val="19"/>
              </w:rPr>
              <w:t xml:space="preserve">Yes — prompt-caching pass-through plus response caching</w:t>
            </w:r>
          </w:p>
        </w:tc>
        <w:tc>
          <w:tcPr>
            <w:tcW w:type="dxa" w:w="2955"/>
            <w:shd w:fill="F2F2F2" w:color="auto" w:val="clear"/>
            <w:tcMar>
              <w:top w:type="dxa" w:w="100"/>
              <w:left w:type="dxa" w:w="120"/>
              <w:bottom w:type="dxa" w:w="100"/>
              <w:right w:type="dxa" w:w="120"/>
            </w:tcMar>
          </w:tcPr>
          <w:p>
            <w:pPr>
              <w:jc w:val="left"/>
            </w:pPr>
            <w:r>
              <w:rPr>
                <w:b w:val="false"/>
                <w:bCs w:val="false"/>
                <w:color w:val="000000"/>
                <w:sz w:val="19"/>
                <w:szCs w:val="19"/>
              </w:rPr>
              <w:t xml:space="preserve">Not native; must be built with ElastiCache/Redis alongside Lambda</w:t>
            </w:r>
          </w:p>
        </w:tc>
        <w:tc>
          <w:tcPr>
            <w:tcW w:type="dxa" w:w="2955"/>
            <w:shd w:fill="F2F2F2" w:color="auto" w:val="clear"/>
            <w:tcMar>
              <w:top w:type="dxa" w:w="100"/>
              <w:left w:type="dxa" w:w="120"/>
              <w:bottom w:type="dxa" w:w="100"/>
              <w:right w:type="dxa" w:w="120"/>
            </w:tcMar>
          </w:tcPr>
          <w:p>
            <w:pPr>
              <w:jc w:val="left"/>
            </w:pPr>
            <w:r>
              <w:rPr>
                <w:b w:val="false"/>
                <w:bCs w:val="false"/>
                <w:color w:val="000000"/>
                <w:sz w:val="19"/>
                <w:szCs w:val="19"/>
              </w:rPr>
              <w:t xml:space="preserve">Yes — semantic caching via Azure Managed Redis / RediSearch-compatible cache</w:t>
            </w:r>
          </w:p>
        </w:tc>
      </w:tr>
      <w:tr>
        <w:tc>
          <w:tcPr>
            <w:tcW w:type="dxa" w:w="2230"/>
            <w:tcMar>
              <w:top w:type="dxa" w:w="100"/>
              <w:left w:type="dxa" w:w="120"/>
              <w:bottom w:type="dxa" w:w="100"/>
              <w:right w:type="dxa" w:w="120"/>
            </w:tcMar>
          </w:tcPr>
          <w:p>
            <w:pPr>
              <w:jc w:val="left"/>
            </w:pPr>
            <w:r>
              <w:rPr>
                <w:b w:val="false"/>
                <w:bCs w:val="false"/>
                <w:color w:val="000000"/>
                <w:sz w:val="19"/>
                <w:szCs w:val="19"/>
              </w:rPr>
              <w:t xml:space="preserve">Token-based rate limiting</w:t>
            </w:r>
          </w:p>
        </w:tc>
        <w:tc>
          <w:tcPr>
            <w:tcW w:type="dxa" w:w="2955"/>
            <w:tcMar>
              <w:top w:type="dxa" w:w="100"/>
              <w:left w:type="dxa" w:w="120"/>
              <w:bottom w:type="dxa" w:w="100"/>
              <w:right w:type="dxa" w:w="120"/>
            </w:tcMar>
          </w:tcPr>
          <w:p>
            <w:pPr>
              <w:jc w:val="left"/>
            </w:pPr>
            <w:r>
              <w:rPr>
                <w:b w:val="false"/>
                <w:bCs w:val="false"/>
                <w:color w:val="000000"/>
                <w:sz w:val="19"/>
                <w:szCs w:val="19"/>
              </w:rPr>
              <w:t xml:space="preserve">Yes — premium/enterprise plugin, counts tokens not just requests</w:t>
            </w:r>
          </w:p>
        </w:tc>
        <w:tc>
          <w:tcPr>
            <w:tcW w:type="dxa" w:w="2955"/>
            <w:tcMar>
              <w:top w:type="dxa" w:w="100"/>
              <w:left w:type="dxa" w:w="120"/>
              <w:bottom w:type="dxa" w:w="100"/>
              <w:right w:type="dxa" w:w="120"/>
            </w:tcMar>
          </w:tcPr>
          <w:p>
            <w:pPr>
              <w:jc w:val="left"/>
            </w:pPr>
            <w:r>
              <w:rPr>
                <w:b w:val="false"/>
                <w:bCs w:val="false"/>
                <w:color w:val="000000"/>
                <w:sz w:val="19"/>
                <w:szCs w:val="19"/>
              </w:rPr>
              <w:t xml:space="preserve">Yes — per-key RPM and TPM budgets built in</w:t>
            </w:r>
          </w:p>
        </w:tc>
        <w:tc>
          <w:tcPr>
            <w:tcW w:type="dxa" w:w="2955"/>
            <w:tcMar>
              <w:top w:type="dxa" w:w="100"/>
              <w:left w:type="dxa" w:w="120"/>
              <w:bottom w:type="dxa" w:w="100"/>
              <w:right w:type="dxa" w:w="120"/>
            </w:tcMar>
          </w:tcPr>
          <w:p>
            <w:pPr>
              <w:jc w:val="left"/>
            </w:pPr>
            <w:r>
              <w:rPr>
                <w:b w:val="false"/>
                <w:bCs w:val="false"/>
                <w:color w:val="000000"/>
                <w:sz w:val="19"/>
                <w:szCs w:val="19"/>
              </w:rPr>
              <w:t xml:space="preserve">Custom (via Lambda authorizers / usage plans); no native token-aware limiting</w:t>
            </w:r>
          </w:p>
        </w:tc>
        <w:tc>
          <w:tcPr>
            <w:tcW w:type="dxa" w:w="2955"/>
            <w:tcMar>
              <w:top w:type="dxa" w:w="100"/>
              <w:left w:type="dxa" w:w="120"/>
              <w:bottom w:type="dxa" w:w="100"/>
              <w:right w:type="dxa" w:w="120"/>
            </w:tcMar>
          </w:tcPr>
          <w:p>
            <w:pPr>
              <w:jc w:val="left"/>
            </w:pPr>
            <w:r>
              <w:rPr>
                <w:b w:val="false"/>
                <w:bCs w:val="false"/>
                <w:color w:val="000000"/>
                <w:sz w:val="19"/>
                <w:szCs w:val="19"/>
              </w:rPr>
              <w:t xml:space="preserve">Yes — LLM token limit policy counting prompt + completion tokens per key/group</w:t>
            </w:r>
          </w:p>
        </w:tc>
      </w:tr>
      <w:tr>
        <w:tc>
          <w:tcPr>
            <w:tcW w:type="dxa" w:w="2230"/>
            <w:shd w:fill="F2F2F2" w:color="auto" w:val="clear"/>
            <w:tcMar>
              <w:top w:type="dxa" w:w="100"/>
              <w:left w:type="dxa" w:w="120"/>
              <w:bottom w:type="dxa" w:w="100"/>
              <w:right w:type="dxa" w:w="120"/>
            </w:tcMar>
          </w:tcPr>
          <w:p>
            <w:pPr>
              <w:jc w:val="left"/>
            </w:pPr>
            <w:r>
              <w:rPr>
                <w:b w:val="false"/>
                <w:bCs w:val="false"/>
                <w:color w:val="000000"/>
                <w:sz w:val="19"/>
                <w:szCs w:val="19"/>
              </w:rPr>
              <w:t xml:space="preserve">Semantic prompt/response guardrails</w:t>
            </w:r>
          </w:p>
        </w:tc>
        <w:tc>
          <w:tcPr>
            <w:tcW w:type="dxa" w:w="2955"/>
            <w:shd w:fill="F2F2F2" w:color="auto" w:val="clear"/>
            <w:tcMar>
              <w:top w:type="dxa" w:w="100"/>
              <w:left w:type="dxa" w:w="120"/>
              <w:bottom w:type="dxa" w:w="100"/>
              <w:right w:type="dxa" w:w="120"/>
            </w:tcMar>
          </w:tcPr>
          <w:p>
            <w:pPr>
              <w:jc w:val="left"/>
            </w:pPr>
            <w:r>
              <w:rPr>
                <w:b w:val="false"/>
                <w:bCs w:val="false"/>
                <w:color w:val="000000"/>
                <w:sz w:val="19"/>
                <w:szCs w:val="19"/>
              </w:rPr>
              <w:t xml:space="preserve">Yes — AI Semantic Prompt Guard &amp; Response Guard plugins</w:t>
            </w:r>
          </w:p>
        </w:tc>
        <w:tc>
          <w:tcPr>
            <w:tcW w:type="dxa" w:w="2955"/>
            <w:shd w:fill="F2F2F2" w:color="auto" w:val="clear"/>
            <w:tcMar>
              <w:top w:type="dxa" w:w="100"/>
              <w:left w:type="dxa" w:w="120"/>
              <w:bottom w:type="dxa" w:w="100"/>
              <w:right w:type="dxa" w:w="120"/>
            </w:tcMar>
          </w:tcPr>
          <w:p>
            <w:pPr>
              <w:jc w:val="left"/>
            </w:pPr>
            <w:r>
              <w:rPr>
                <w:b w:val="false"/>
                <w:bCs w:val="false"/>
                <w:color w:val="000000"/>
                <w:sz w:val="19"/>
                <w:szCs w:val="19"/>
              </w:rPr>
              <w:t xml:space="preserve">Yes — integrates with external guardrail providers (PII redaction, prompt-injection detection)</w:t>
            </w:r>
          </w:p>
        </w:tc>
        <w:tc>
          <w:tcPr>
            <w:tcW w:type="dxa" w:w="2955"/>
            <w:shd w:fill="F2F2F2" w:color="auto" w:val="clear"/>
            <w:tcMar>
              <w:top w:type="dxa" w:w="100"/>
              <w:left w:type="dxa" w:w="120"/>
              <w:bottom w:type="dxa" w:w="100"/>
              <w:right w:type="dxa" w:w="120"/>
            </w:tcMar>
          </w:tcPr>
          <w:p>
            <w:pPr>
              <w:jc w:val="left"/>
            </w:pPr>
            <w:r>
              <w:rPr>
                <w:b w:val="false"/>
                <w:bCs w:val="false"/>
                <w:color w:val="000000"/>
                <w:sz w:val="19"/>
                <w:szCs w:val="19"/>
              </w:rPr>
              <w:t xml:space="preserve">Via Bedrock Guardrails (native content filtering service)</w:t>
            </w:r>
          </w:p>
        </w:tc>
        <w:tc>
          <w:tcPr>
            <w:tcW w:type="dxa" w:w="2955"/>
            <w:shd w:fill="F2F2F2" w:color="auto" w:val="clear"/>
            <w:tcMar>
              <w:top w:type="dxa" w:w="100"/>
              <w:left w:type="dxa" w:w="120"/>
              <w:bottom w:type="dxa" w:w="100"/>
              <w:right w:type="dxa" w:w="120"/>
            </w:tcMar>
          </w:tcPr>
          <w:p>
            <w:pPr>
              <w:jc w:val="left"/>
            </w:pPr>
            <w:r>
              <w:rPr>
                <w:b w:val="false"/>
                <w:bCs w:val="false"/>
                <w:color w:val="000000"/>
                <w:sz w:val="19"/>
                <w:szCs w:val="19"/>
              </w:rPr>
              <w:t xml:space="preserve">Content-safety and prompt-inspection policies; integrates with Azure AI Content Safety</w:t>
            </w:r>
          </w:p>
        </w:tc>
      </w:tr>
      <w:tr>
        <w:tc>
          <w:tcPr>
            <w:tcW w:type="dxa" w:w="2230"/>
            <w:tcMar>
              <w:top w:type="dxa" w:w="100"/>
              <w:left w:type="dxa" w:w="120"/>
              <w:bottom w:type="dxa" w:w="100"/>
              <w:right w:type="dxa" w:w="120"/>
            </w:tcMar>
          </w:tcPr>
          <w:p>
            <w:pPr>
              <w:jc w:val="left"/>
            </w:pPr>
            <w:r>
              <w:rPr>
                <w:b w:val="false"/>
                <w:bCs w:val="false"/>
                <w:color w:val="000000"/>
                <w:sz w:val="19"/>
                <w:szCs w:val="19"/>
              </w:rPr>
              <w:t xml:space="preserve">Load balancing across models</w:t>
            </w:r>
          </w:p>
        </w:tc>
        <w:tc>
          <w:tcPr>
            <w:tcW w:type="dxa" w:w="2955"/>
            <w:tcMar>
              <w:top w:type="dxa" w:w="100"/>
              <w:left w:type="dxa" w:w="120"/>
              <w:bottom w:type="dxa" w:w="100"/>
              <w:right w:type="dxa" w:w="120"/>
            </w:tcMar>
          </w:tcPr>
          <w:p>
            <w:pPr>
              <w:jc w:val="left"/>
            </w:pPr>
            <w:r>
              <w:rPr>
                <w:b w:val="false"/>
                <w:bCs w:val="false"/>
                <w:color w:val="000000"/>
                <w:sz w:val="19"/>
                <w:szCs w:val="19"/>
              </w:rPr>
              <w:t xml:space="preserve">Yes — 6+ algorithms (as of AI Gateway 3.8): round robin, weighted, latency-based, etc.</w:t>
            </w:r>
          </w:p>
        </w:tc>
        <w:tc>
          <w:tcPr>
            <w:tcW w:type="dxa" w:w="2955"/>
            <w:tcMar>
              <w:top w:type="dxa" w:w="100"/>
              <w:left w:type="dxa" w:w="120"/>
              <w:bottom w:type="dxa" w:w="100"/>
              <w:right w:type="dxa" w:w="120"/>
            </w:tcMar>
          </w:tcPr>
          <w:p>
            <w:pPr>
              <w:jc w:val="left"/>
            </w:pPr>
            <w:r>
              <w:rPr>
                <w:b w:val="false"/>
                <w:bCs w:val="false"/>
                <w:color w:val="000000"/>
                <w:sz w:val="19"/>
                <w:szCs w:val="19"/>
              </w:rPr>
              <w:t xml:space="preserve">Yes — router supports fallback, retries, load balancing across deployments</w:t>
            </w:r>
          </w:p>
        </w:tc>
        <w:tc>
          <w:tcPr>
            <w:tcW w:type="dxa" w:w="2955"/>
            <w:tcMar>
              <w:top w:type="dxa" w:w="100"/>
              <w:left w:type="dxa" w:w="120"/>
              <w:bottom w:type="dxa" w:w="100"/>
              <w:right w:type="dxa" w:w="120"/>
            </w:tcMar>
          </w:tcPr>
          <w:p>
            <w:pPr>
              <w:jc w:val="left"/>
            </w:pPr>
            <w:r>
              <w:rPr>
                <w:b w:val="false"/>
                <w:bCs w:val="false"/>
                <w:color w:val="000000"/>
                <w:sz w:val="19"/>
                <w:szCs w:val="19"/>
              </w:rPr>
              <w:t xml:space="preserve">Provisioned throughput and cross-region inference profiles; no built-in multi-model balancing layer</w:t>
            </w:r>
          </w:p>
        </w:tc>
        <w:tc>
          <w:tcPr>
            <w:tcW w:type="dxa" w:w="2955"/>
            <w:tcMar>
              <w:top w:type="dxa" w:w="100"/>
              <w:left w:type="dxa" w:w="120"/>
              <w:bottom w:type="dxa" w:w="100"/>
              <w:right w:type="dxa" w:w="120"/>
            </w:tcMar>
          </w:tcPr>
          <w:p>
            <w:pPr>
              <w:jc w:val="left"/>
            </w:pPr>
            <w:r>
              <w:rPr>
                <w:b w:val="false"/>
                <w:bCs w:val="false"/>
                <w:color w:val="000000"/>
                <w:sz w:val="19"/>
                <w:szCs w:val="19"/>
              </w:rPr>
              <w:t xml:space="preserve">Yes — round-robin, weighted, priority-based, and session-aware load balancing</w:t>
            </w:r>
          </w:p>
        </w:tc>
      </w:tr>
      <w:tr>
        <w:tc>
          <w:tcPr>
            <w:tcW w:type="dxa" w:w="2230"/>
            <w:shd w:fill="F2F2F2" w:color="auto" w:val="clear"/>
            <w:tcMar>
              <w:top w:type="dxa" w:w="100"/>
              <w:left w:type="dxa" w:w="120"/>
              <w:bottom w:type="dxa" w:w="100"/>
              <w:right w:type="dxa" w:w="120"/>
            </w:tcMar>
          </w:tcPr>
          <w:p>
            <w:pPr>
              <w:jc w:val="left"/>
            </w:pPr>
            <w:r>
              <w:rPr>
                <w:b w:val="false"/>
                <w:bCs w:val="false"/>
                <w:color w:val="000000"/>
                <w:sz w:val="19"/>
                <w:szCs w:val="19"/>
              </w:rPr>
              <w:t xml:space="preserve">Observability / tracing</w:t>
            </w:r>
          </w:p>
        </w:tc>
        <w:tc>
          <w:tcPr>
            <w:tcW w:type="dxa" w:w="2955"/>
            <w:shd w:fill="F2F2F2" w:color="auto" w:val="clear"/>
            <w:tcMar>
              <w:top w:type="dxa" w:w="100"/>
              <w:left w:type="dxa" w:w="120"/>
              <w:bottom w:type="dxa" w:w="100"/>
              <w:right w:type="dxa" w:w="120"/>
            </w:tcMar>
          </w:tcPr>
          <w:p>
            <w:pPr>
              <w:jc w:val="left"/>
            </w:pPr>
            <w:r>
              <w:rPr>
                <w:b w:val="false"/>
                <w:bCs w:val="false"/>
                <w:color w:val="000000"/>
                <w:sz w:val="19"/>
                <w:szCs w:val="19"/>
              </w:rPr>
              <w:t xml:space="preserve">Analytics via Konnect; integrates with Datadog, Prometheus, OpenTelemetry</w:t>
            </w:r>
          </w:p>
        </w:tc>
        <w:tc>
          <w:tcPr>
            <w:tcW w:type="dxa" w:w="2955"/>
            <w:shd w:fill="F2F2F2" w:color="auto" w:val="clear"/>
            <w:tcMar>
              <w:top w:type="dxa" w:w="100"/>
              <w:left w:type="dxa" w:w="120"/>
              <w:bottom w:type="dxa" w:w="100"/>
              <w:right w:type="dxa" w:w="120"/>
            </w:tcMar>
          </w:tcPr>
          <w:p>
            <w:pPr>
              <w:jc w:val="left"/>
            </w:pPr>
            <w:r>
              <w:rPr>
                <w:b w:val="false"/>
                <w:bCs w:val="false"/>
                <w:color w:val="000000"/>
                <w:sz w:val="19"/>
                <w:szCs w:val="19"/>
              </w:rPr>
              <w:t xml:space="preserve">Built-in cost/usage dashboard per team, project, model; OpenTelemetry support</w:t>
            </w:r>
          </w:p>
        </w:tc>
        <w:tc>
          <w:tcPr>
            <w:tcW w:type="dxa" w:w="2955"/>
            <w:shd w:fill="F2F2F2" w:color="auto" w:val="clear"/>
            <w:tcMar>
              <w:top w:type="dxa" w:w="100"/>
              <w:left w:type="dxa" w:w="120"/>
              <w:bottom w:type="dxa" w:w="100"/>
              <w:right w:type="dxa" w:w="120"/>
            </w:tcMar>
          </w:tcPr>
          <w:p>
            <w:pPr>
              <w:jc w:val="left"/>
            </w:pPr>
            <w:r>
              <w:rPr>
                <w:b w:val="false"/>
                <w:bCs w:val="false"/>
                <w:color w:val="000000"/>
                <w:sz w:val="19"/>
                <w:szCs w:val="19"/>
              </w:rPr>
              <w:t xml:space="preserve">CloudWatch + CloudTrail; Bedrock model invocation logging</w:t>
            </w:r>
          </w:p>
        </w:tc>
        <w:tc>
          <w:tcPr>
            <w:tcW w:type="dxa" w:w="2955"/>
            <w:shd w:fill="F2F2F2" w:color="auto" w:val="clear"/>
            <w:tcMar>
              <w:top w:type="dxa" w:w="100"/>
              <w:left w:type="dxa" w:w="120"/>
              <w:bottom w:type="dxa" w:w="100"/>
              <w:right w:type="dxa" w:w="120"/>
            </w:tcMar>
          </w:tcPr>
          <w:p>
            <w:pPr>
              <w:jc w:val="left"/>
            </w:pPr>
            <w:r>
              <w:rPr>
                <w:b w:val="false"/>
                <w:bCs w:val="false"/>
                <w:color w:val="000000"/>
                <w:sz w:val="19"/>
                <w:szCs w:val="19"/>
              </w:rPr>
              <w:t xml:space="preserve">Application Insights with OpenTelemetry GenAI semantic conventions</w:t>
            </w:r>
          </w:p>
        </w:tc>
      </w:tr>
      <w:tr>
        <w:tc>
          <w:tcPr>
            <w:tcW w:type="dxa" w:w="2230"/>
            <w:tcMar>
              <w:top w:type="dxa" w:w="100"/>
              <w:left w:type="dxa" w:w="120"/>
              <w:bottom w:type="dxa" w:w="100"/>
              <w:right w:type="dxa" w:w="120"/>
            </w:tcMar>
          </w:tcPr>
          <w:p>
            <w:pPr>
              <w:jc w:val="left"/>
            </w:pPr>
            <w:r>
              <w:rPr>
                <w:b w:val="false"/>
                <w:bCs w:val="false"/>
                <w:color w:val="000000"/>
                <w:sz w:val="19"/>
                <w:szCs w:val="19"/>
              </w:rPr>
              <w:t xml:space="preserve">Budgets / spend tracking</w:t>
            </w:r>
          </w:p>
        </w:tc>
        <w:tc>
          <w:tcPr>
            <w:tcW w:type="dxa" w:w="2955"/>
            <w:tcMar>
              <w:top w:type="dxa" w:w="100"/>
              <w:left w:type="dxa" w:w="120"/>
              <w:bottom w:type="dxa" w:w="100"/>
              <w:right w:type="dxa" w:w="120"/>
            </w:tcMar>
          </w:tcPr>
          <w:p>
            <w:pPr>
              <w:jc w:val="left"/>
            </w:pPr>
            <w:r>
              <w:rPr>
                <w:b w:val="false"/>
                <w:bCs w:val="false"/>
                <w:color w:val="000000"/>
                <w:sz w:val="19"/>
                <w:szCs w:val="19"/>
              </w:rPr>
              <w:t xml:space="preserve">Available via analytics and enterprise plugins</w:t>
            </w:r>
          </w:p>
        </w:tc>
        <w:tc>
          <w:tcPr>
            <w:tcW w:type="dxa" w:w="2955"/>
            <w:tcMar>
              <w:top w:type="dxa" w:w="100"/>
              <w:left w:type="dxa" w:w="120"/>
              <w:bottom w:type="dxa" w:w="100"/>
              <w:right w:type="dxa" w:w="120"/>
            </w:tcMar>
          </w:tcPr>
          <w:p>
            <w:pPr>
              <w:jc w:val="left"/>
            </w:pPr>
            <w:r>
              <w:rPr>
                <w:b w:val="false"/>
                <w:bCs w:val="false"/>
                <w:color w:val="000000"/>
                <w:sz w:val="19"/>
                <w:szCs w:val="19"/>
              </w:rPr>
              <w:t xml:space="preserve">Native — per-team/user/project budgets with hard cutoffs</w:t>
            </w:r>
          </w:p>
        </w:tc>
        <w:tc>
          <w:tcPr>
            <w:tcW w:type="dxa" w:w="2955"/>
            <w:tcMar>
              <w:top w:type="dxa" w:w="100"/>
              <w:left w:type="dxa" w:w="120"/>
              <w:bottom w:type="dxa" w:w="100"/>
              <w:right w:type="dxa" w:w="120"/>
            </w:tcMar>
          </w:tcPr>
          <w:p>
            <w:pPr>
              <w:jc w:val="left"/>
            </w:pPr>
            <w:r>
              <w:rPr>
                <w:b w:val="false"/>
                <w:bCs w:val="false"/>
                <w:color w:val="000000"/>
                <w:sz w:val="19"/>
                <w:szCs w:val="19"/>
              </w:rPr>
              <w:t xml:space="preserve">Cost tracking via AWS Cost Explorer / Budgets (account-level, not per-app native)</w:t>
            </w:r>
          </w:p>
        </w:tc>
        <w:tc>
          <w:tcPr>
            <w:tcW w:type="dxa" w:w="2955"/>
            <w:tcMar>
              <w:top w:type="dxa" w:w="100"/>
              <w:left w:type="dxa" w:w="120"/>
              <w:bottom w:type="dxa" w:w="100"/>
              <w:right w:type="dxa" w:w="120"/>
            </w:tcMar>
          </w:tcPr>
          <w:p>
            <w:pPr>
              <w:jc w:val="left"/>
            </w:pPr>
            <w:r>
              <w:rPr>
                <w:b w:val="false"/>
                <w:bCs w:val="false"/>
                <w:color w:val="000000"/>
                <w:sz w:val="19"/>
                <w:szCs w:val="19"/>
              </w:rPr>
              <w:t xml:space="preserve">Via token limit policy + Azure Cost Management (not natively per-key budget cutoffs)</w:t>
            </w:r>
          </w:p>
        </w:tc>
      </w:tr>
      <w:tr>
        <w:tc>
          <w:tcPr>
            <w:tcW w:type="dxa" w:w="2230"/>
            <w:shd w:fill="F2F2F2" w:color="auto" w:val="clear"/>
            <w:tcMar>
              <w:top w:type="dxa" w:w="100"/>
              <w:left w:type="dxa" w:w="120"/>
              <w:bottom w:type="dxa" w:w="100"/>
              <w:right w:type="dxa" w:w="120"/>
            </w:tcMar>
          </w:tcPr>
          <w:p>
            <w:pPr>
              <w:jc w:val="left"/>
            </w:pPr>
            <w:r>
              <w:rPr>
                <w:b w:val="false"/>
                <w:bCs w:val="false"/>
                <w:color w:val="000000"/>
                <w:sz w:val="19"/>
                <w:szCs w:val="19"/>
              </w:rPr>
              <w:t xml:space="preserve">Virtual keys / access control</w:t>
            </w:r>
          </w:p>
        </w:tc>
        <w:tc>
          <w:tcPr>
            <w:tcW w:type="dxa" w:w="2955"/>
            <w:shd w:fill="F2F2F2" w:color="auto" w:val="clear"/>
            <w:tcMar>
              <w:top w:type="dxa" w:w="100"/>
              <w:left w:type="dxa" w:w="120"/>
              <w:bottom w:type="dxa" w:w="100"/>
              <w:right w:type="dxa" w:w="120"/>
            </w:tcMar>
          </w:tcPr>
          <w:p>
            <w:pPr>
              <w:jc w:val="left"/>
            </w:pPr>
            <w:r>
              <w:rPr>
                <w:b w:val="false"/>
                <w:bCs w:val="false"/>
                <w:color w:val="000000"/>
                <w:sz w:val="19"/>
                <w:szCs w:val="19"/>
              </w:rPr>
              <w:t xml:space="preserve">Consumer/credential model via Kong's core ACL &amp; key-auth plugins</w:t>
            </w:r>
          </w:p>
        </w:tc>
        <w:tc>
          <w:tcPr>
            <w:tcW w:type="dxa" w:w="2955"/>
            <w:shd w:fill="F2F2F2" w:color="auto" w:val="clear"/>
            <w:tcMar>
              <w:top w:type="dxa" w:w="100"/>
              <w:left w:type="dxa" w:w="120"/>
              <w:bottom w:type="dxa" w:w="100"/>
              <w:right w:type="dxa" w:w="120"/>
            </w:tcMar>
          </w:tcPr>
          <w:p>
            <w:pPr>
              <w:jc w:val="left"/>
            </w:pPr>
            <w:r>
              <w:rPr>
                <w:b w:val="false"/>
                <w:bCs w:val="false"/>
                <w:color w:val="000000"/>
                <w:sz w:val="19"/>
                <w:szCs w:val="19"/>
              </w:rPr>
              <w:t xml:space="preserve">Yes — native virtual keys per team/project/user with model access restrictions</w:t>
            </w:r>
          </w:p>
        </w:tc>
        <w:tc>
          <w:tcPr>
            <w:tcW w:type="dxa" w:w="2955"/>
            <w:shd w:fill="F2F2F2" w:color="auto" w:val="clear"/>
            <w:tcMar>
              <w:top w:type="dxa" w:w="100"/>
              <w:left w:type="dxa" w:w="120"/>
              <w:bottom w:type="dxa" w:w="100"/>
              <w:right w:type="dxa" w:w="120"/>
            </w:tcMar>
          </w:tcPr>
          <w:p>
            <w:pPr>
              <w:jc w:val="left"/>
            </w:pPr>
            <w:r>
              <w:rPr>
                <w:b w:val="false"/>
                <w:bCs w:val="false"/>
                <w:color w:val="000000"/>
                <w:sz w:val="19"/>
                <w:szCs w:val="19"/>
              </w:rPr>
              <w:t xml:space="preserve">IAM roles/policies; API Gateway API keys and usage plans</w:t>
            </w:r>
          </w:p>
        </w:tc>
        <w:tc>
          <w:tcPr>
            <w:tcW w:type="dxa" w:w="2955"/>
            <w:shd w:fill="F2F2F2" w:color="auto" w:val="clear"/>
            <w:tcMar>
              <w:top w:type="dxa" w:w="100"/>
              <w:left w:type="dxa" w:w="120"/>
              <w:bottom w:type="dxa" w:w="100"/>
              <w:right w:type="dxa" w:w="120"/>
            </w:tcMar>
          </w:tcPr>
          <w:p>
            <w:pPr>
              <w:jc w:val="left"/>
            </w:pPr>
            <w:r>
              <w:rPr>
                <w:b w:val="false"/>
                <w:bCs w:val="false"/>
                <w:color w:val="000000"/>
                <w:sz w:val="19"/>
                <w:szCs w:val="19"/>
              </w:rPr>
              <w:t xml:space="preserve">Subscription keys, Azure AD/Entra ID integration, policy-based access</w:t>
            </w:r>
          </w:p>
        </w:tc>
      </w:tr>
      <w:tr>
        <w:tc>
          <w:tcPr>
            <w:tcW w:type="dxa" w:w="2230"/>
            <w:tcMar>
              <w:top w:type="dxa" w:w="100"/>
              <w:left w:type="dxa" w:w="120"/>
              <w:bottom w:type="dxa" w:w="100"/>
              <w:right w:type="dxa" w:w="120"/>
            </w:tcMar>
          </w:tcPr>
          <w:p>
            <w:pPr>
              <w:jc w:val="left"/>
            </w:pPr>
            <w:r>
              <w:rPr>
                <w:b w:val="false"/>
                <w:bCs w:val="false"/>
                <w:color w:val="000000"/>
                <w:sz w:val="19"/>
                <w:szCs w:val="19"/>
              </w:rPr>
              <w:t xml:space="preserve">MCP / agent traffic support</w:t>
            </w:r>
          </w:p>
        </w:tc>
        <w:tc>
          <w:tcPr>
            <w:tcW w:type="dxa" w:w="2955"/>
            <w:tcMar>
              <w:top w:type="dxa" w:w="100"/>
              <w:left w:type="dxa" w:w="120"/>
              <w:bottom w:type="dxa" w:w="100"/>
              <w:right w:type="dxa" w:w="120"/>
            </w:tcMar>
          </w:tcPr>
          <w:p>
            <w:pPr>
              <w:jc w:val="left"/>
            </w:pPr>
            <w:r>
              <w:rPr>
                <w:b w:val="false"/>
                <w:bCs w:val="false"/>
                <w:color w:val="000000"/>
                <w:sz w:val="19"/>
                <w:szCs w:val="19"/>
              </w:rPr>
              <w:t xml:space="preserve">Yes — govern MCP and agent-to-agent (A2A) traffic natively</w:t>
            </w:r>
          </w:p>
        </w:tc>
        <w:tc>
          <w:tcPr>
            <w:tcW w:type="dxa" w:w="2955"/>
            <w:tcMar>
              <w:top w:type="dxa" w:w="100"/>
              <w:left w:type="dxa" w:w="120"/>
              <w:bottom w:type="dxa" w:w="100"/>
              <w:right w:type="dxa" w:w="120"/>
            </w:tcMar>
          </w:tcPr>
          <w:p>
            <w:pPr>
              <w:jc w:val="left"/>
            </w:pPr>
            <w:r>
              <w:rPr>
                <w:b w:val="false"/>
                <w:bCs w:val="false"/>
                <w:color w:val="000000"/>
                <w:sz w:val="19"/>
                <w:szCs w:val="19"/>
              </w:rPr>
              <w:t xml:space="preserve">Partial — proxy supports MCP-adjacent patterns, evolving</w:t>
            </w:r>
          </w:p>
        </w:tc>
        <w:tc>
          <w:tcPr>
            <w:tcW w:type="dxa" w:w="2955"/>
            <w:tcMar>
              <w:top w:type="dxa" w:w="100"/>
              <w:left w:type="dxa" w:w="120"/>
              <w:bottom w:type="dxa" w:w="100"/>
              <w:right w:type="dxa" w:w="120"/>
            </w:tcMar>
          </w:tcPr>
          <w:p>
            <w:pPr>
              <w:jc w:val="left"/>
            </w:pPr>
            <w:r>
              <w:rPr>
                <w:b w:val="false"/>
                <w:bCs w:val="false"/>
                <w:color w:val="000000"/>
                <w:sz w:val="19"/>
                <w:szCs w:val="19"/>
              </w:rPr>
              <w:t xml:space="preserve">Yes — Bedrock AgentCore Gateway exposes APIs/Lambda as agent tools</w:t>
            </w:r>
          </w:p>
        </w:tc>
        <w:tc>
          <w:tcPr>
            <w:tcW w:type="dxa" w:w="2955"/>
            <w:tcMar>
              <w:top w:type="dxa" w:w="100"/>
              <w:left w:type="dxa" w:w="120"/>
              <w:bottom w:type="dxa" w:w="100"/>
              <w:right w:type="dxa" w:w="120"/>
            </w:tcMar>
          </w:tcPr>
          <w:p>
            <w:pPr>
              <w:jc w:val="left"/>
            </w:pPr>
            <w:r>
              <w:rPr>
                <w:b w:val="false"/>
                <w:bCs w:val="false"/>
                <w:color w:val="000000"/>
                <w:sz w:val="19"/>
                <w:szCs w:val="19"/>
              </w:rPr>
              <w:t xml:space="preserve">Portal and policies structured around models, MCP servers, and tools (AI Gateway tier)</w:t>
            </w:r>
          </w:p>
        </w:tc>
      </w:tr>
      <w:tr>
        <w:tc>
          <w:tcPr>
            <w:tcW w:type="dxa" w:w="2230"/>
            <w:shd w:fill="F2F2F2" w:color="auto" w:val="clear"/>
            <w:tcMar>
              <w:top w:type="dxa" w:w="100"/>
              <w:left w:type="dxa" w:w="120"/>
              <w:bottom w:type="dxa" w:w="100"/>
              <w:right w:type="dxa" w:w="120"/>
            </w:tcMar>
          </w:tcPr>
          <w:p>
            <w:pPr>
              <w:jc w:val="left"/>
            </w:pPr>
            <w:r>
              <w:rPr>
                <w:b w:val="false"/>
                <w:bCs w:val="false"/>
                <w:color w:val="000000"/>
                <w:sz w:val="19"/>
                <w:szCs w:val="19"/>
              </w:rPr>
              <w:t xml:space="preserve">License model</w:t>
            </w:r>
          </w:p>
        </w:tc>
        <w:tc>
          <w:tcPr>
            <w:tcW w:type="dxa" w:w="2955"/>
            <w:shd w:fill="F2F2F2" w:color="auto" w:val="clear"/>
            <w:tcMar>
              <w:top w:type="dxa" w:w="100"/>
              <w:left w:type="dxa" w:w="120"/>
              <w:bottom w:type="dxa" w:w="100"/>
              <w:right w:type="dxa" w:w="120"/>
            </w:tcMar>
          </w:tcPr>
          <w:p>
            <w:pPr>
              <w:jc w:val="left"/>
            </w:pPr>
            <w:r>
              <w:rPr>
                <w:b w:val="false"/>
                <w:bCs w:val="false"/>
                <w:color w:val="000000"/>
                <w:sz w:val="19"/>
                <w:szCs w:val="19"/>
              </w:rPr>
              <w:t xml:space="preserve">Open-source core (Apache 2.0) + paid Enterprise/Konnect tiers</w:t>
            </w:r>
          </w:p>
        </w:tc>
        <w:tc>
          <w:tcPr>
            <w:tcW w:type="dxa" w:w="2955"/>
            <w:shd w:fill="F2F2F2" w:color="auto" w:val="clear"/>
            <w:tcMar>
              <w:top w:type="dxa" w:w="100"/>
              <w:left w:type="dxa" w:w="120"/>
              <w:bottom w:type="dxa" w:w="100"/>
              <w:right w:type="dxa" w:w="120"/>
            </w:tcMar>
          </w:tcPr>
          <w:p>
            <w:pPr>
              <w:jc w:val="left"/>
            </w:pPr>
            <w:r>
              <w:rPr>
                <w:b w:val="false"/>
                <w:bCs w:val="false"/>
                <w:color w:val="000000"/>
                <w:sz w:val="19"/>
                <w:szCs w:val="19"/>
              </w:rPr>
              <w:t xml:space="preserve">Open-source (MIT) core + paid Enterprise/Cloud tiers</w:t>
            </w:r>
          </w:p>
        </w:tc>
        <w:tc>
          <w:tcPr>
            <w:tcW w:type="dxa" w:w="2955"/>
            <w:shd w:fill="F2F2F2" w:color="auto" w:val="clear"/>
            <w:tcMar>
              <w:top w:type="dxa" w:w="100"/>
              <w:left w:type="dxa" w:w="120"/>
              <w:bottom w:type="dxa" w:w="100"/>
              <w:right w:type="dxa" w:w="120"/>
            </w:tcMar>
          </w:tcPr>
          <w:p>
            <w:pPr>
              <w:jc w:val="left"/>
            </w:pPr>
            <w:r>
              <w:rPr>
                <w:b w:val="false"/>
                <w:bCs w:val="false"/>
                <w:color w:val="000000"/>
                <w:sz w:val="19"/>
                <w:szCs w:val="19"/>
              </w:rPr>
              <w:t xml:space="preserve">Proprietary managed service</w:t>
            </w:r>
          </w:p>
        </w:tc>
        <w:tc>
          <w:tcPr>
            <w:tcW w:type="dxa" w:w="2955"/>
            <w:shd w:fill="F2F2F2" w:color="auto" w:val="clear"/>
            <w:tcMar>
              <w:top w:type="dxa" w:w="100"/>
              <w:left w:type="dxa" w:w="120"/>
              <w:bottom w:type="dxa" w:w="100"/>
              <w:right w:type="dxa" w:w="120"/>
            </w:tcMar>
          </w:tcPr>
          <w:p>
            <w:pPr>
              <w:jc w:val="left"/>
            </w:pPr>
            <w:r>
              <w:rPr>
                <w:b w:val="false"/>
                <w:bCs w:val="false"/>
                <w:color w:val="000000"/>
                <w:sz w:val="19"/>
                <w:szCs w:val="19"/>
              </w:rPr>
              <w:t xml:space="preserve">Proprietary managed service</w:t>
            </w:r>
          </w:p>
        </w:tc>
      </w:tr>
    </w:tbl>
    <w:p>
      <w:pPr>
        <w:pStyle w:val="Heading1"/>
        <w:spacing w:after="160" w:before="360"/>
      </w:pPr>
      <w:r>
        <w:rPr>
          <w:b/>
          <w:bCs/>
          <w:color w:val="1F3864"/>
          <w:sz w:val="30"/>
          <w:szCs w:val="30"/>
        </w:rPr>
        <w:t xml:space="preserve">3. Architecture &amp; Deployment</w:t>
      </w:r>
    </w:p>
    <w:p>
      <w:pPr>
        <w:pStyle w:val="ListParagraph"/>
        <w:numPr>
          <w:ilvl w:val="0"/>
          <w:numId w:val="2"/>
        </w:numPr>
        <w:spacing w:after="80" w:line="264"/>
      </w:pPr>
      <w:r>
        <w:rPr>
          <w:sz w:val="21"/>
          <w:szCs w:val="21"/>
        </w:rPr>
        <w:t xml:space="preserve">Kong AI Gateway: Runs as an extension of Kong Gateway (data plane + control plane). Self-hosted deployments give full control over infrastructure; Konnect offers a managed control plane with self-hosted or cloud data planes. AI plugins (semantic cache, prompt guard, RAG injector) rely on a Redis vector database for embeddings-based features.</w:t>
      </w:r>
    </w:p>
    <w:p>
      <w:pPr>
        <w:pStyle w:val="ListParagraph"/>
        <w:numPr>
          <w:ilvl w:val="0"/>
          <w:numId w:val="2"/>
        </w:numPr>
        <w:spacing w:after="80" w:line="264"/>
      </w:pPr>
      <w:r>
        <w:rPr>
          <w:sz w:val="21"/>
          <w:szCs w:val="21"/>
        </w:rPr>
        <w:t xml:space="preserve">LiteLLM: A lightweight proxy process that can run as a single container, behind Kubernetes with autoscaling, or via the official Helm chart/Terraform module. It uses Postgres for persistence (keys, budgets, logs) and Redis for caching. Its architecture is intentionally minimal, optimized for fast startup and low operational overhead.</w:t>
      </w:r>
    </w:p>
    <w:p>
      <w:pPr>
        <w:pStyle w:val="ListParagraph"/>
        <w:numPr>
          <w:ilvl w:val="0"/>
          <w:numId w:val="2"/>
        </w:numPr>
        <w:spacing w:after="80" w:line="264"/>
      </w:pPr>
      <w:r>
        <w:rPr>
          <w:sz w:val="21"/>
          <w:szCs w:val="21"/>
        </w:rPr>
        <w:t xml:space="preserve">AWS API Gateway + Bedrock: API Gateway is a fully managed, serverless entry point (REST/HTTP/WebSocket APIs) that can front Lambda functions calling Bedrock, or integrate directly with Bedrock via service integrations. Bedrock itself is a managed model-serving layer within your VPC, governed by IAM, KMS, and CloudTrail — no servers to manage, but the AI-specific gateway behaviors (routing, caching, token limiting) generally have to be assembled from multiple AWS services rather than configured out of the box.</w:t>
      </w:r>
    </w:p>
    <w:p>
      <w:pPr>
        <w:pStyle w:val="ListParagraph"/>
        <w:numPr>
          <w:ilvl w:val="0"/>
          <w:numId w:val="2"/>
        </w:numPr>
        <w:spacing w:after="80" w:line="264"/>
      </w:pPr>
      <w:r>
        <w:rPr>
          <w:sz w:val="21"/>
          <w:szCs w:val="21"/>
        </w:rPr>
        <w:t xml:space="preserve">Azure API Management: A managed API gateway with a new dedicated AI Gateway tier (public preview) that adds a purpose-built portal (organized around models, MCP servers, and tools) and policy cards instead of raw XML policy authoring. Semantic caching and other AI policies plug into Azure Managed Redis. Inbound Private Link and outbound VNet integration are available in preview for network isolation.</w:t>
      </w:r>
    </w:p>
    <w:p>
      <w:pPr>
        <w:pStyle w:val="Heading1"/>
        <w:spacing w:after="160" w:before="360"/>
      </w:pPr>
      <w:r>
        <w:rPr>
          <w:b/>
          <w:bCs/>
          <w:color w:val="1F3864"/>
          <w:sz w:val="30"/>
          <w:szCs w:val="30"/>
        </w:rPr>
        <w:t xml:space="preserve">4. Pricing Snapshot</w:t>
      </w:r>
    </w:p>
    <w:p>
      <w:pPr>
        <w:spacing w:after="160" w:line="276"/>
      </w:pPr>
      <w:r>
        <w:rPr>
          <w:sz w:val="21"/>
          <w:szCs w:val="21"/>
        </w:rPr>
        <w:t xml:space="preserve">Pricing structures differ enough that direct comparison requires care — some vendors charge for the gateway itself, others fold gateway costs into token usage. Figures below are indicative as of mid-2026 and should be re-verified before budgeting, as several of these offerings are in active price/tier changes.</w:t>
      </w:r>
    </w:p>
    <w:tbl>
      <w:tblPr>
        <w:tblW w:type="dxa" w:w="14040"/>
        <w:tblBorders>
          <w:top w:val="single" w:color="AAAAAA" w:sz="4"/>
          <w:left w:val="single" w:color="AAAAAA" w:sz="4"/>
          <w:bottom w:val="single" w:color="AAAAAA" w:sz="4"/>
          <w:right w:val="single" w:color="AAAAAA" w:sz="4"/>
          <w:insideH w:val="single" w:color="CCCCCC" w:sz="4"/>
          <w:insideV w:val="single" w:color="CCCCCC" w:sz="4"/>
        </w:tblBorders>
      </w:tblPr>
      <w:tblGrid>
        <w:gridCol w:w="3630"/>
        <w:gridCol w:w="3510"/>
        <w:gridCol w:w="6900"/>
      </w:tblGrid>
      <w:tr>
        <w:trPr>
          <w:tblHeader/>
        </w:trPr>
        <w:tc>
          <w:tcPr>
            <w:tcW w:type="dxa" w:w="3630"/>
            <w:shd w:fill="1F3864" w:color="auto" w:val="clear"/>
            <w:tcMar>
              <w:top w:type="dxa" w:w="100"/>
              <w:left w:type="dxa" w:w="120"/>
              <w:bottom w:type="dxa" w:w="100"/>
              <w:right w:type="dxa" w:w="120"/>
            </w:tcMar>
          </w:tcPr>
          <w:p>
            <w:pPr>
              <w:jc w:val="left"/>
            </w:pPr>
            <w:r>
              <w:rPr>
                <w:b/>
                <w:bCs/>
                <w:color w:val="FFFFFF"/>
                <w:sz w:val="19"/>
                <w:szCs w:val="19"/>
              </w:rPr>
              <w:t xml:space="preserve">Product</w:t>
            </w:r>
          </w:p>
        </w:tc>
        <w:tc>
          <w:tcPr>
            <w:tcW w:type="dxa" w:w="3510"/>
            <w:shd w:fill="1F3864" w:color="auto" w:val="clear"/>
            <w:tcMar>
              <w:top w:type="dxa" w:w="100"/>
              <w:left w:type="dxa" w:w="120"/>
              <w:bottom w:type="dxa" w:w="100"/>
              <w:right w:type="dxa" w:w="120"/>
            </w:tcMar>
          </w:tcPr>
          <w:p>
            <w:pPr>
              <w:jc w:val="left"/>
            </w:pPr>
            <w:r>
              <w:rPr>
                <w:b/>
                <w:bCs/>
                <w:color w:val="FFFFFF"/>
                <w:sz w:val="19"/>
                <w:szCs w:val="19"/>
              </w:rPr>
              <w:t xml:space="preserve">Pricing model</w:t>
            </w:r>
          </w:p>
        </w:tc>
        <w:tc>
          <w:tcPr>
            <w:tcW w:type="dxa" w:w="6900"/>
            <w:shd w:fill="1F3864" w:color="auto" w:val="clear"/>
            <w:tcMar>
              <w:top w:type="dxa" w:w="100"/>
              <w:left w:type="dxa" w:w="120"/>
              <w:bottom w:type="dxa" w:w="100"/>
              <w:right w:type="dxa" w:w="120"/>
            </w:tcMar>
          </w:tcPr>
          <w:p>
            <w:pPr>
              <w:jc w:val="left"/>
            </w:pPr>
            <w:r>
              <w:rPr>
                <w:b/>
                <w:bCs/>
                <w:color w:val="FFFFFF"/>
                <w:sz w:val="19"/>
                <w:szCs w:val="19"/>
              </w:rPr>
              <w:t xml:space="preserve">Indicative cost</w:t>
            </w:r>
          </w:p>
        </w:tc>
      </w:tr>
      <w:tr>
        <w:tc>
          <w:tcPr>
            <w:tcW w:type="dxa" w:w="3630"/>
            <w:tcMar>
              <w:top w:type="dxa" w:w="100"/>
              <w:left w:type="dxa" w:w="120"/>
              <w:bottom w:type="dxa" w:w="100"/>
              <w:right w:type="dxa" w:w="120"/>
            </w:tcMar>
          </w:tcPr>
          <w:p>
            <w:pPr>
              <w:jc w:val="left"/>
            </w:pPr>
            <w:r>
              <w:rPr>
                <w:b w:val="false"/>
                <w:bCs w:val="false"/>
                <w:color w:val="000000"/>
                <w:sz w:val="19"/>
                <w:szCs w:val="19"/>
              </w:rPr>
              <w:t xml:space="preserve">Kong AI Gateway</w:t>
            </w:r>
          </w:p>
        </w:tc>
        <w:tc>
          <w:tcPr>
            <w:tcW w:type="dxa" w:w="3510"/>
            <w:tcMar>
              <w:top w:type="dxa" w:w="100"/>
              <w:left w:type="dxa" w:w="120"/>
              <w:bottom w:type="dxa" w:w="100"/>
              <w:right w:type="dxa" w:w="120"/>
            </w:tcMar>
          </w:tcPr>
          <w:p>
            <w:pPr>
              <w:jc w:val="left"/>
            </w:pPr>
            <w:r>
              <w:rPr>
                <w:b w:val="false"/>
                <w:bCs w:val="false"/>
                <w:color w:val="000000"/>
                <w:sz w:val="19"/>
                <w:szCs w:val="19"/>
              </w:rPr>
              <w:t xml:space="preserve">Usage-based (requests + features); self-hosted Enterprise vs. Konnect cloud tiers</w:t>
            </w:r>
          </w:p>
        </w:tc>
        <w:tc>
          <w:tcPr>
            <w:tcW w:type="dxa" w:w="6900"/>
            <w:tcMar>
              <w:top w:type="dxa" w:w="100"/>
              <w:left w:type="dxa" w:w="120"/>
              <w:bottom w:type="dxa" w:w="100"/>
              <w:right w:type="dxa" w:w="120"/>
            </w:tcMar>
          </w:tcPr>
          <w:p>
            <w:pPr>
              <w:jc w:val="left"/>
            </w:pPr>
            <w:r>
              <w:rPr>
                <w:b w:val="false"/>
                <w:bCs w:val="false"/>
                <w:color w:val="000000"/>
                <w:sz w:val="19"/>
                <w:szCs w:val="19"/>
              </w:rPr>
              <w:t xml:space="preserve">Enterprise contracts commonly $40K–$250K+/yr; consumption plans can run ~$2,625/mo in service fees alone for a modest footprint (20 services, 5 LLM integrations), before request volume. Price increase scheduled Sept 1, 2026.</w:t>
            </w:r>
          </w:p>
        </w:tc>
      </w:tr>
      <w:tr>
        <w:tc>
          <w:tcPr>
            <w:tcW w:type="dxa" w:w="3630"/>
            <w:shd w:fill="F2F2F2" w:color="auto" w:val="clear"/>
            <w:tcMar>
              <w:top w:type="dxa" w:w="100"/>
              <w:left w:type="dxa" w:w="120"/>
              <w:bottom w:type="dxa" w:w="100"/>
              <w:right w:type="dxa" w:w="120"/>
            </w:tcMar>
          </w:tcPr>
          <w:p>
            <w:pPr>
              <w:jc w:val="left"/>
            </w:pPr>
            <w:r>
              <w:rPr>
                <w:b w:val="false"/>
                <w:bCs w:val="false"/>
                <w:color w:val="000000"/>
                <w:sz w:val="19"/>
                <w:szCs w:val="19"/>
              </w:rPr>
              <w:t xml:space="preserve">LiteLLM</w:t>
            </w:r>
          </w:p>
        </w:tc>
        <w:tc>
          <w:tcPr>
            <w:tcW w:type="dxa" w:w="3510"/>
            <w:shd w:fill="F2F2F2" w:color="auto" w:val="clear"/>
            <w:tcMar>
              <w:top w:type="dxa" w:w="100"/>
              <w:left w:type="dxa" w:w="120"/>
              <w:bottom w:type="dxa" w:w="100"/>
              <w:right w:type="dxa" w:w="120"/>
            </w:tcMar>
          </w:tcPr>
          <w:p>
            <w:pPr>
              <w:jc w:val="left"/>
            </w:pPr>
            <w:r>
              <w:rPr>
                <w:b w:val="false"/>
                <w:bCs w:val="false"/>
                <w:color w:val="000000"/>
                <w:sz w:val="19"/>
                <w:szCs w:val="19"/>
              </w:rPr>
              <w:t xml:space="preserve">Free OSS tier; paid Pro; quote-based Enterprise</w:t>
            </w:r>
          </w:p>
        </w:tc>
        <w:tc>
          <w:tcPr>
            <w:tcW w:type="dxa" w:w="6900"/>
            <w:shd w:fill="F2F2F2" w:color="auto" w:val="clear"/>
            <w:tcMar>
              <w:top w:type="dxa" w:w="100"/>
              <w:left w:type="dxa" w:w="120"/>
              <w:bottom w:type="dxa" w:w="100"/>
              <w:right w:type="dxa" w:w="120"/>
            </w:tcMar>
          </w:tcPr>
          <w:p>
            <w:pPr>
              <w:jc w:val="left"/>
            </w:pPr>
            <w:r>
              <w:rPr>
                <w:b w:val="false"/>
                <w:bCs w:val="false"/>
                <w:color w:val="000000"/>
                <w:sz w:val="19"/>
                <w:szCs w:val="19"/>
              </w:rPr>
              <w:t xml:space="preserve">Free (self-hosted OSS); Pro at $499/mo (up to 1M requests + enterprise features); self-hosted proxy compute alone can run ~$0.05–0.10/hr plus DB/observability costs.</w:t>
            </w:r>
          </w:p>
        </w:tc>
      </w:tr>
      <w:tr>
        <w:tc>
          <w:tcPr>
            <w:tcW w:type="dxa" w:w="3630"/>
            <w:tcMar>
              <w:top w:type="dxa" w:w="100"/>
              <w:left w:type="dxa" w:w="120"/>
              <w:bottom w:type="dxa" w:w="100"/>
              <w:right w:type="dxa" w:w="120"/>
            </w:tcMar>
          </w:tcPr>
          <w:p>
            <w:pPr>
              <w:jc w:val="left"/>
            </w:pPr>
            <w:r>
              <w:rPr>
                <w:b w:val="false"/>
                <w:bCs w:val="false"/>
                <w:color w:val="000000"/>
                <w:sz w:val="19"/>
                <w:szCs w:val="19"/>
              </w:rPr>
              <w:t xml:space="preserve">AWS API Gateway + Bedrock</w:t>
            </w:r>
          </w:p>
        </w:tc>
        <w:tc>
          <w:tcPr>
            <w:tcW w:type="dxa" w:w="3510"/>
            <w:tcMar>
              <w:top w:type="dxa" w:w="100"/>
              <w:left w:type="dxa" w:w="120"/>
              <w:bottom w:type="dxa" w:w="100"/>
              <w:right w:type="dxa" w:w="120"/>
            </w:tcMar>
          </w:tcPr>
          <w:p>
            <w:pPr>
              <w:jc w:val="left"/>
            </w:pPr>
            <w:r>
              <w:rPr>
                <w:b w:val="false"/>
                <w:bCs w:val="false"/>
                <w:color w:val="000000"/>
                <w:sz w:val="19"/>
                <w:szCs w:val="19"/>
              </w:rPr>
              <w:t xml:space="preserve">Per-token model inference (Bedrock) + per-request/data transfer (API Gateway)</w:t>
            </w:r>
          </w:p>
        </w:tc>
        <w:tc>
          <w:tcPr>
            <w:tcW w:type="dxa" w:w="6900"/>
            <w:tcMar>
              <w:top w:type="dxa" w:w="100"/>
              <w:left w:type="dxa" w:w="120"/>
              <w:bottom w:type="dxa" w:w="100"/>
              <w:right w:type="dxa" w:w="120"/>
            </w:tcMar>
          </w:tcPr>
          <w:p>
            <w:pPr>
              <w:jc w:val="left"/>
            </w:pPr>
            <w:r>
              <w:rPr>
                <w:b w:val="false"/>
                <w:bCs w:val="false"/>
                <w:color w:val="000000"/>
                <w:sz w:val="19"/>
                <w:szCs w:val="19"/>
              </w:rPr>
              <w:t xml:space="preserve">Bedrock: ~$0.035 per 1M input tokens (Nova Micro) up to ~$75 per 1M output tokens (Claude Opus-class); provisioned throughput saves ~15–30% with 1- or 6-month commitments; AgentCore Gateway is pay-per-invocation (est. $0.01–0.05 per 1,000 requests) plus Lambda/API Gateway costs.</w:t>
            </w:r>
          </w:p>
        </w:tc>
      </w:tr>
      <w:tr>
        <w:tc>
          <w:tcPr>
            <w:tcW w:type="dxa" w:w="3630"/>
            <w:shd w:fill="F2F2F2" w:color="auto" w:val="clear"/>
            <w:tcMar>
              <w:top w:type="dxa" w:w="100"/>
              <w:left w:type="dxa" w:w="120"/>
              <w:bottom w:type="dxa" w:w="100"/>
              <w:right w:type="dxa" w:w="120"/>
            </w:tcMar>
          </w:tcPr>
          <w:p>
            <w:pPr>
              <w:jc w:val="left"/>
            </w:pPr>
            <w:r>
              <w:rPr>
                <w:b w:val="false"/>
                <w:bCs w:val="false"/>
                <w:color w:val="000000"/>
                <w:sz w:val="19"/>
                <w:szCs w:val="19"/>
              </w:rPr>
              <w:t xml:space="preserve">Azure API Management (AI Gateway)</w:t>
            </w:r>
          </w:p>
        </w:tc>
        <w:tc>
          <w:tcPr>
            <w:tcW w:type="dxa" w:w="3510"/>
            <w:shd w:fill="F2F2F2" w:color="auto" w:val="clear"/>
            <w:tcMar>
              <w:top w:type="dxa" w:w="100"/>
              <w:left w:type="dxa" w:w="120"/>
              <w:bottom w:type="dxa" w:w="100"/>
              <w:right w:type="dxa" w:w="120"/>
            </w:tcMar>
          </w:tcPr>
          <w:p>
            <w:pPr>
              <w:jc w:val="left"/>
            </w:pPr>
            <w:r>
              <w:rPr>
                <w:b w:val="false"/>
                <w:bCs w:val="false"/>
                <w:color w:val="000000"/>
                <w:sz w:val="19"/>
                <w:szCs w:val="19"/>
              </w:rPr>
              <w:t xml:space="preserve">Fixed per-unit monthly fee for APIM + separate model, networking, logging, security costs</w:t>
            </w:r>
          </w:p>
        </w:tc>
        <w:tc>
          <w:tcPr>
            <w:tcW w:type="dxa" w:w="6900"/>
            <w:shd w:fill="F2F2F2" w:color="auto" w:val="clear"/>
            <w:tcMar>
              <w:top w:type="dxa" w:w="100"/>
              <w:left w:type="dxa" w:w="120"/>
              <w:bottom w:type="dxa" w:w="100"/>
              <w:right w:type="dxa" w:w="120"/>
            </w:tcMar>
          </w:tcPr>
          <w:p>
            <w:pPr>
              <w:jc w:val="left"/>
            </w:pPr>
            <w:r>
              <w:rPr>
                <w:b w:val="false"/>
                <w:bCs w:val="false"/>
                <w:color w:val="000000"/>
                <w:sz w:val="19"/>
                <w:szCs w:val="19"/>
              </w:rPr>
              <w:t xml:space="preserve">APIM capacity units commonly quoted upwards of $2,700/unit/month, independent of usage; AI Gateway tier is in public preview with evolving pricing.</w:t>
            </w:r>
          </w:p>
        </w:tc>
      </w:tr>
    </w:tbl>
    <w:p>
      <w:pPr>
        <w:pStyle w:val="Heading1"/>
        <w:spacing w:after="160" w:before="360"/>
      </w:pPr>
      <w:r>
        <w:rPr>
          <w:b/>
          <w:bCs/>
          <w:color w:val="1F3864"/>
          <w:sz w:val="30"/>
          <w:szCs w:val="30"/>
        </w:rPr>
        <w:t xml:space="preserve">5. Strengths &amp; Trade-offs</w:t>
      </w:r>
    </w:p>
    <w:p>
      <w:pPr>
        <w:pStyle w:val="Heading2"/>
        <w:spacing w:after="120" w:before="280"/>
      </w:pPr>
      <w:r>
        <w:rPr>
          <w:b/>
          <w:bCs/>
          <w:color w:val="2E74B5"/>
          <w:sz w:val="24"/>
          <w:szCs w:val="24"/>
        </w:rPr>
        <w:t xml:space="preserve">Kong AI Gateway</w:t>
      </w:r>
    </w:p>
    <w:p>
      <w:pPr>
        <w:pStyle w:val="ListParagraph"/>
        <w:numPr>
          <w:ilvl w:val="0"/>
          <w:numId w:val="2"/>
        </w:numPr>
        <w:spacing w:after="80" w:line="264"/>
      </w:pPr>
      <w:r>
        <w:rPr>
          <w:sz w:val="21"/>
          <w:szCs w:val="21"/>
        </w:rPr>
        <w:t xml:space="preserve">Strengths: Deep plugin ecosystem, mature multi-provider routing, strong semantic caching/guardrail features, good fit if already running Kong for general API management, supports MCP/A2A governance.</w:t>
      </w:r>
    </w:p>
    <w:p>
      <w:pPr>
        <w:pStyle w:val="ListParagraph"/>
        <w:numPr>
          <w:ilvl w:val="0"/>
          <w:numId w:val="2"/>
        </w:numPr>
        <w:spacing w:after="80" w:line="264"/>
      </w:pPr>
      <w:r>
        <w:rPr>
          <w:sz w:val="21"/>
          <w:szCs w:val="21"/>
        </w:rPr>
        <w:t xml:space="preserve">Trade-offs: Advanced AI features often gated behind Enterprise/Konnect tiers; total cost can climb quickly at scale; adds another layer of operational complexity if you don't already run Kong.</w:t>
      </w:r>
    </w:p>
    <w:p>
      <w:pPr>
        <w:pStyle w:val="Heading2"/>
        <w:spacing w:after="120" w:before="280"/>
      </w:pPr>
      <w:r>
        <w:rPr>
          <w:b/>
          <w:bCs/>
          <w:color w:val="2E74B5"/>
          <w:sz w:val="24"/>
          <w:szCs w:val="24"/>
        </w:rPr>
        <w:t xml:space="preserve">LiteLLM</w:t>
      </w:r>
    </w:p>
    <w:p>
      <w:pPr>
        <w:pStyle w:val="ListParagraph"/>
        <w:numPr>
          <w:ilvl w:val="0"/>
          <w:numId w:val="2"/>
        </w:numPr>
        <w:spacing w:after="80" w:line="264"/>
      </w:pPr>
      <w:r>
        <w:rPr>
          <w:sz w:val="21"/>
          <w:szCs w:val="21"/>
        </w:rPr>
        <w:t xml:space="preserve">Strengths: Purpose-built for LLM traffic, lightweight and fast to deploy, generous free open-source tier, strong per-team budget/spend controls out of the box, broad provider coverage (100+).</w:t>
      </w:r>
    </w:p>
    <w:p>
      <w:pPr>
        <w:pStyle w:val="ListParagraph"/>
        <w:numPr>
          <w:ilvl w:val="0"/>
          <w:numId w:val="2"/>
        </w:numPr>
        <w:spacing w:after="80" w:line="264"/>
      </w:pPr>
      <w:r>
        <w:rPr>
          <w:sz w:val="21"/>
          <w:szCs w:val="21"/>
        </w:rPr>
        <w:t xml:space="preserve">Trade-offs: Younger project with a smaller enterprise track record than Kong/AWS/Azure; general API-management features (non-AI routing, classic REST governance) are less mature than dedicated API gateways; self-hosting requires managing Postgres/Redis yourself.</w:t>
      </w:r>
    </w:p>
    <w:p>
      <w:pPr>
        <w:pStyle w:val="Heading2"/>
        <w:spacing w:after="120" w:before="280"/>
      </w:pPr>
      <w:r>
        <w:rPr>
          <w:b/>
          <w:bCs/>
          <w:color w:val="2E74B5"/>
          <w:sz w:val="24"/>
          <w:szCs w:val="24"/>
        </w:rPr>
        <w:t xml:space="preserve">AWS API Gateway + Bedrock</w:t>
      </w:r>
    </w:p>
    <w:p>
      <w:pPr>
        <w:pStyle w:val="ListParagraph"/>
        <w:numPr>
          <w:ilvl w:val="0"/>
          <w:numId w:val="2"/>
        </w:numPr>
        <w:spacing w:after="80" w:line="264"/>
      </w:pPr>
      <w:r>
        <w:rPr>
          <w:sz w:val="21"/>
          <w:szCs w:val="21"/>
        </w:rPr>
        <w:t xml:space="preserve">Strengths: Deepest native integration with AWS IAM/VPC/KMS/CloudTrail; strong choice if models and infrastructure both live in AWS; Bedrock Guardrails and AgentCore Gateway extend into agent use cases; no separate gateway software to run.</w:t>
      </w:r>
    </w:p>
    <w:p>
      <w:pPr>
        <w:pStyle w:val="ListParagraph"/>
        <w:numPr>
          <w:ilvl w:val="0"/>
          <w:numId w:val="2"/>
        </w:numPr>
        <w:spacing w:after="80" w:line="264"/>
      </w:pPr>
      <w:r>
        <w:rPr>
          <w:sz w:val="21"/>
          <w:szCs w:val="21"/>
        </w:rPr>
        <w:t xml:space="preserve">Trade-offs: Not a purpose-built AI gateway — token-aware rate limiting, semantic caching, and cross-provider routing require stitching together multiple AWS services rather than a single configuration surface; primarily Bedrock's model catalog rather than open multi-vendor support.</w:t>
      </w:r>
    </w:p>
    <w:p>
      <w:pPr>
        <w:pStyle w:val="Heading2"/>
        <w:spacing w:after="120" w:before="280"/>
      </w:pPr>
      <w:r>
        <w:rPr>
          <w:b/>
          <w:bCs/>
          <w:color w:val="2E74B5"/>
          <w:sz w:val="24"/>
          <w:szCs w:val="24"/>
        </w:rPr>
        <w:t xml:space="preserve">Azure API Management (AI Gateway)</w:t>
      </w:r>
    </w:p>
    <w:p>
      <w:pPr>
        <w:pStyle w:val="ListParagraph"/>
        <w:numPr>
          <w:ilvl w:val="0"/>
          <w:numId w:val="2"/>
        </w:numPr>
        <w:spacing w:after="80" w:line="264"/>
      </w:pPr>
      <w:r>
        <w:rPr>
          <w:sz w:val="21"/>
          <w:szCs w:val="21"/>
        </w:rPr>
        <w:t xml:space="preserve">Strengths: Familiar APIM governance model extended with AI-specific policies (token limits, semantic caching, unified model API); strong observability via Application Insights/OpenTelemetry; good fit for enterprises already standardized on Azure and Entra ID.</w:t>
      </w:r>
    </w:p>
    <w:p>
      <w:pPr>
        <w:pStyle w:val="ListParagraph"/>
        <w:numPr>
          <w:ilvl w:val="0"/>
          <w:numId w:val="2"/>
        </w:numPr>
        <w:spacing w:after="80" w:line="264"/>
      </w:pPr>
      <w:r>
        <w:rPr>
          <w:sz w:val="21"/>
          <w:szCs w:val="21"/>
        </w:rPr>
        <w:t xml:space="preserve">Trade-offs: AI Gateway tier is still in public preview; APIM's flat per-unit pricing is high relative to usage-based competitors for smaller workloads; cost is spread across several separately-billed Azure services, complicating total-cost estimates.</w:t>
      </w:r>
    </w:p>
    <w:p>
      <w:pPr>
        <w:pStyle w:val="Heading1"/>
        <w:spacing w:after="160" w:before="360"/>
      </w:pPr>
      <w:r>
        <w:rPr>
          <w:b/>
          <w:bCs/>
          <w:color w:val="1F3864"/>
          <w:sz w:val="30"/>
          <w:szCs w:val="30"/>
        </w:rPr>
        <w:t xml:space="preserve">6. Choosing Between Them</w:t>
      </w:r>
    </w:p>
    <w:p>
      <w:pPr>
        <w:spacing w:after="160" w:line="276"/>
      </w:pPr>
      <w:r>
        <w:rPr>
          <w:sz w:val="21"/>
          <w:szCs w:val="21"/>
        </w:rPr>
        <w:t xml:space="preserve">The right choice depends less on raw feature checklists and more on existing platform commitments and team maturity.</w:t>
      </w:r>
    </w:p>
    <w:p>
      <w:pPr>
        <w:pStyle w:val="ListParagraph"/>
        <w:numPr>
          <w:ilvl w:val="0"/>
          <w:numId w:val="2"/>
        </w:numPr>
        <w:spacing w:after="80" w:line="264"/>
      </w:pPr>
      <w:r>
        <w:rPr>
          <w:sz w:val="21"/>
          <w:szCs w:val="21"/>
        </w:rPr>
        <w:t xml:space="preserve">Already running Kong for API management → Kong AI Gateway extends familiar tooling and policy patterns to LLM traffic with minimal new infrastructure.</w:t>
      </w:r>
    </w:p>
    <w:p>
      <w:pPr>
        <w:pStyle w:val="ListParagraph"/>
        <w:numPr>
          <w:ilvl w:val="0"/>
          <w:numId w:val="2"/>
        </w:numPr>
        <w:spacing w:after="80" w:line="264"/>
      </w:pPr>
      <w:r>
        <w:rPr>
          <w:sz w:val="21"/>
          <w:szCs w:val="21"/>
        </w:rPr>
        <w:t xml:space="preserve">Want the lightest-weight, most LLM-native option, or need fast iteration and strong per-team cost controls without enterprise procurement overhead → LiteLLM, especially starting from its open-source tier.</w:t>
      </w:r>
    </w:p>
    <w:p>
      <w:pPr>
        <w:pStyle w:val="ListParagraph"/>
        <w:numPr>
          <w:ilvl w:val="0"/>
          <w:numId w:val="2"/>
        </w:numPr>
        <w:spacing w:after="80" w:line="264"/>
      </w:pPr>
      <w:r>
        <w:rPr>
          <w:sz w:val="21"/>
          <w:szCs w:val="21"/>
        </w:rPr>
        <w:t xml:space="preserve">Deeply invested in AWS, need tight IAM/VPC/compliance integration, and are comfortable assembling AI-gateway behaviors from several managed services → AWS API Gateway + Bedrock.</w:t>
      </w:r>
    </w:p>
    <w:p>
      <w:pPr>
        <w:pStyle w:val="ListParagraph"/>
        <w:numPr>
          <w:ilvl w:val="0"/>
          <w:numId w:val="2"/>
        </w:numPr>
        <w:spacing w:after="80" w:line="264"/>
      </w:pPr>
      <w:r>
        <w:rPr>
          <w:sz w:val="21"/>
          <w:szCs w:val="21"/>
        </w:rPr>
        <w:t xml:space="preserve">Standardized on Azure/Entra ID and want centralized governance across OpenAI, Azure OpenAI, and other models with enterprise-grade observability → Azure API Management's AI Gateway tier.</w:t>
      </w:r>
    </w:p>
    <w:p>
      <w:pPr>
        <w:spacing w:after="160" w:line="276"/>
      </w:pPr>
      <w:r>
        <w:rPr>
          <w:i/>
          <w:iCs/>
          <w:color w:val="666666"/>
          <w:sz w:val="21"/>
          <w:szCs w:val="21"/>
        </w:rPr>
        <w:t xml:space="preserve">Because Kong AI Gateway 3.8, Azure's AI Gateway tier, and AWS's AgentCore Gateway are all recent or preview-stage releases, feature sets and pricing are moving quickly; re-check vendor documentation before finalizing a procurement decision.</w:t>
      </w:r>
    </w:p>
    <w:p>
      <w:pPr>
        <w:pStyle w:val="Heading1"/>
        <w:spacing w:after="160" w:before="360"/>
      </w:pPr>
      <w:r>
        <w:rPr>
          <w:b/>
          <w:bCs/>
          <w:color w:val="1F3864"/>
          <w:sz w:val="30"/>
          <w:szCs w:val="30"/>
        </w:rPr>
        <w:t xml:space="preserve">Sources</w:t>
      </w:r>
    </w:p>
    <w:p>
      <w:pPr>
        <w:spacing w:after="60"/>
      </w:pPr>
      <w:r>
        <w:rPr>
          <w:sz w:val="20"/>
          <w:szCs w:val="20"/>
        </w:rPr>
        <w:t xml:space="preserve">• </w:t>
      </w:r>
      <w:hyperlink w:history="1" r:id="rId5yafylboogkwnq0lwsd8n">
        <w:r>
          <w:rPr>
            <w:rStyle w:val="Hyperlink"/>
            <w:sz w:val="20"/>
            <w:szCs w:val="20"/>
          </w:rPr>
          <w:t xml:space="preserve">Kong AI Gateway — product page</w:t>
        </w:r>
      </w:hyperlink>
    </w:p>
    <w:p>
      <w:pPr>
        <w:spacing w:after="60"/>
      </w:pPr>
      <w:r>
        <w:rPr>
          <w:sz w:val="20"/>
          <w:szCs w:val="20"/>
        </w:rPr>
        <w:t xml:space="preserve">• </w:t>
      </w:r>
      <w:hyperlink w:history="1" r:id="rId9nsxcvjspc-sozcpvibmv">
        <w:r>
          <w:rPr>
            <w:rStyle w:val="Hyperlink"/>
            <w:sz w:val="20"/>
            <w:szCs w:val="20"/>
          </w:rPr>
          <w:t xml:space="preserve">Kong Pricing — Konnect</w:t>
        </w:r>
      </w:hyperlink>
    </w:p>
    <w:p>
      <w:pPr>
        <w:spacing w:after="60"/>
      </w:pPr>
      <w:r>
        <w:rPr>
          <w:sz w:val="20"/>
          <w:szCs w:val="20"/>
        </w:rPr>
        <w:t xml:space="preserve">• </w:t>
      </w:r>
      <w:hyperlink w:history="1" r:id="rId5_tqn9ocegiziywz_ddgu">
        <w:r>
          <w:rPr>
            <w:rStyle w:val="Hyperlink"/>
            <w:sz w:val="20"/>
            <w:szCs w:val="20"/>
          </w:rPr>
          <w:t xml:space="preserve">Kong Gateway Pricing Analysis (TrueFoundry, 2026)</w:t>
        </w:r>
      </w:hyperlink>
    </w:p>
    <w:p>
      <w:pPr>
        <w:spacing w:after="60"/>
      </w:pPr>
      <w:r>
        <w:rPr>
          <w:sz w:val="20"/>
          <w:szCs w:val="20"/>
        </w:rPr>
        <w:t xml:space="preserve">• </w:t>
      </w:r>
      <w:hyperlink w:history="1" r:id="rIdni7xnnyvijcplvowz4ycx">
        <w:r>
          <w:rPr>
            <w:rStyle w:val="Hyperlink"/>
            <w:sz w:val="20"/>
            <w:szCs w:val="20"/>
          </w:rPr>
          <w:t xml:space="preserve">The True Cost of Kong API Gateway: TCO Analysis (Zuplo, 2026)</w:t>
        </w:r>
      </w:hyperlink>
    </w:p>
    <w:p>
      <w:pPr>
        <w:spacing w:after="60"/>
      </w:pPr>
      <w:r>
        <w:rPr>
          <w:sz w:val="20"/>
          <w:szCs w:val="20"/>
        </w:rPr>
        <w:t xml:space="preserve">• </w:t>
      </w:r>
      <w:hyperlink w:history="1" r:id="rIdg88x2eofzh18z7ljnu0q1">
        <w:r>
          <w:rPr>
            <w:rStyle w:val="Hyperlink"/>
            <w:sz w:val="20"/>
            <w:szCs w:val="20"/>
          </w:rPr>
          <w:t xml:space="preserve">Announcing Kong AI Gateway 3.8</w:t>
        </w:r>
      </w:hyperlink>
    </w:p>
    <w:p>
      <w:pPr>
        <w:spacing w:after="60"/>
      </w:pPr>
      <w:r>
        <w:rPr>
          <w:sz w:val="20"/>
          <w:szCs w:val="20"/>
        </w:rPr>
        <w:t xml:space="preserve">• </w:t>
      </w:r>
      <w:hyperlink w:history="1" r:id="rIdtr7hd9oxxgwlzjyfeufd1">
        <w:r>
          <w:rPr>
            <w:rStyle w:val="Hyperlink"/>
            <w:sz w:val="20"/>
            <w:szCs w:val="20"/>
          </w:rPr>
          <w:t xml:space="preserve">AI Semantic Cache — Kong Docs</w:t>
        </w:r>
      </w:hyperlink>
    </w:p>
    <w:p>
      <w:pPr>
        <w:spacing w:after="60"/>
      </w:pPr>
      <w:r>
        <w:rPr>
          <w:sz w:val="20"/>
          <w:szCs w:val="20"/>
        </w:rPr>
        <w:t xml:space="preserve">• </w:t>
      </w:r>
      <w:hyperlink w:history="1" r:id="rIdgmwisaheehz0pvekwg3ye">
        <w:r>
          <w:rPr>
            <w:rStyle w:val="Hyperlink"/>
            <w:sz w:val="20"/>
            <w:szCs w:val="20"/>
          </w:rPr>
          <w:t xml:space="preserve">AI Semantic Prompt Guard — Kong Docs</w:t>
        </w:r>
      </w:hyperlink>
    </w:p>
    <w:p>
      <w:pPr>
        <w:spacing w:after="60"/>
      </w:pPr>
      <w:r>
        <w:rPr>
          <w:sz w:val="20"/>
          <w:szCs w:val="20"/>
        </w:rPr>
        <w:t xml:space="preserve">• </w:t>
      </w:r>
      <w:hyperlink w:history="1" r:id="rId10jc-d-9-ybwvg04ergns">
        <w:r>
          <w:rPr>
            <w:rStyle w:val="Hyperlink"/>
            <w:sz w:val="20"/>
            <w:szCs w:val="20"/>
          </w:rPr>
          <w:t xml:space="preserve">LiteLLM — Open-Source AI Gateway &amp; LLM Proxy</w:t>
        </w:r>
      </w:hyperlink>
    </w:p>
    <w:p>
      <w:pPr>
        <w:spacing w:after="60"/>
      </w:pPr>
      <w:r>
        <w:rPr>
          <w:sz w:val="20"/>
          <w:szCs w:val="20"/>
        </w:rPr>
        <w:t xml:space="preserve">• </w:t>
      </w:r>
      <w:hyperlink w:history="1" r:id="rId_pzyfpyxyzwsbglgbilxb">
        <w:r>
          <w:rPr>
            <w:rStyle w:val="Hyperlink"/>
            <w:sz w:val="20"/>
            <w:szCs w:val="20"/>
          </w:rPr>
          <w:t xml:space="preserve">LiteLLM Pricing 2026 (TrueFoundry)</w:t>
        </w:r>
      </w:hyperlink>
    </w:p>
    <w:p>
      <w:pPr>
        <w:spacing w:after="60"/>
      </w:pPr>
      <w:r>
        <w:rPr>
          <w:sz w:val="20"/>
          <w:szCs w:val="20"/>
        </w:rPr>
        <w:t xml:space="preserve">• </w:t>
      </w:r>
      <w:hyperlink w:history="1" r:id="rIdcqhbvln0i-qmupjd-zzjl">
        <w:r>
          <w:rPr>
            <w:rStyle w:val="Hyperlink"/>
            <w:sz w:val="20"/>
            <w:szCs w:val="20"/>
          </w:rPr>
          <w:t xml:space="preserve">LiteLLM Review 2026: Features, Pricing, Pros and Cons (TrueFoundry)</w:t>
        </w:r>
      </w:hyperlink>
    </w:p>
    <w:p>
      <w:pPr>
        <w:spacing w:after="60"/>
      </w:pPr>
      <w:r>
        <w:rPr>
          <w:sz w:val="20"/>
          <w:szCs w:val="20"/>
        </w:rPr>
        <w:t xml:space="preserve">• </w:t>
      </w:r>
      <w:hyperlink w:history="1" r:id="rIdkifvodd_ij85cilfwhqx5">
        <w:r>
          <w:rPr>
            <w:rStyle w:val="Hyperlink"/>
            <w:sz w:val="20"/>
            <w:szCs w:val="20"/>
          </w:rPr>
          <w:t xml:space="preserve">AI Gateway Setup 2026: LiteLLM, Portkey, Kong (Spheron)</w:t>
        </w:r>
      </w:hyperlink>
    </w:p>
    <w:p>
      <w:pPr>
        <w:spacing w:after="60"/>
      </w:pPr>
      <w:r>
        <w:rPr>
          <w:sz w:val="20"/>
          <w:szCs w:val="20"/>
        </w:rPr>
        <w:t xml:space="preserve">• </w:t>
      </w:r>
      <w:hyperlink w:history="1" r:id="rIda_xucejer0l_pur24ggd_">
        <w:r>
          <w:rPr>
            <w:rStyle w:val="Hyperlink"/>
            <w:sz w:val="20"/>
            <w:szCs w:val="20"/>
          </w:rPr>
          <w:t xml:space="preserve">Amazon Bedrock pricing in 2026 (CloudZero)</w:t>
        </w:r>
      </w:hyperlink>
    </w:p>
    <w:p>
      <w:pPr>
        <w:spacing w:after="60"/>
      </w:pPr>
      <w:r>
        <w:rPr>
          <w:sz w:val="20"/>
          <w:szCs w:val="20"/>
        </w:rPr>
        <w:t xml:space="preserve">• </w:t>
      </w:r>
      <w:hyperlink w:history="1" r:id="rIdl8_m5uaqnbqd-2yng3ldk">
        <w:r>
          <w:rPr>
            <w:rStyle w:val="Hyperlink"/>
            <w:sz w:val="20"/>
            <w:szCs w:val="20"/>
          </w:rPr>
          <w:t xml:space="preserve">AWS Bedrock Pricing 2026 (Bacancy)</w:t>
        </w:r>
      </w:hyperlink>
    </w:p>
    <w:p>
      <w:pPr>
        <w:spacing w:after="60"/>
      </w:pPr>
      <w:r>
        <w:rPr>
          <w:sz w:val="20"/>
          <w:szCs w:val="20"/>
        </w:rPr>
        <w:t xml:space="preserve">• </w:t>
      </w:r>
      <w:hyperlink w:history="1" r:id="rIdcr3dbjmbh2enpfiecse5k">
        <w:r>
          <w:rPr>
            <w:rStyle w:val="Hyperlink"/>
            <w:sz w:val="20"/>
            <w:szCs w:val="20"/>
          </w:rPr>
          <w:t xml:space="preserve">AWS Bedrock AgentCore Gateway vs Enterprise AI Gateways</w:t>
        </w:r>
      </w:hyperlink>
    </w:p>
    <w:p>
      <w:pPr>
        <w:spacing w:after="60"/>
      </w:pPr>
      <w:r>
        <w:rPr>
          <w:sz w:val="20"/>
          <w:szCs w:val="20"/>
        </w:rPr>
        <w:t xml:space="preserve">• </w:t>
      </w:r>
      <w:hyperlink w:history="1" r:id="rId5yqs8tndu90doprfluwpg">
        <w:r>
          <w:rPr>
            <w:rStyle w:val="Hyperlink"/>
            <w:sz w:val="20"/>
            <w:szCs w:val="20"/>
          </w:rPr>
          <w:t xml:space="preserve">AWS Bedrock 2026: Models, Pricing, Comparisons (Swfte)</w:t>
        </w:r>
      </w:hyperlink>
    </w:p>
    <w:p>
      <w:pPr>
        <w:spacing w:after="60"/>
      </w:pPr>
      <w:r>
        <w:rPr>
          <w:sz w:val="20"/>
          <w:szCs w:val="20"/>
        </w:rPr>
        <w:t xml:space="preserve">• </w:t>
      </w:r>
      <w:hyperlink w:history="1" r:id="rIddlwbfhkkbiv6_weqvxtlx">
        <w:r>
          <w:rPr>
            <w:rStyle w:val="Hyperlink"/>
            <w:sz w:val="20"/>
            <w:szCs w:val="20"/>
          </w:rPr>
          <w:t xml:space="preserve">AI Gateway tier (preview) overview — Azure API Management (Microsoft Learn)</w:t>
        </w:r>
      </w:hyperlink>
    </w:p>
    <w:p>
      <w:pPr>
        <w:spacing w:after="60"/>
      </w:pPr>
      <w:r>
        <w:rPr>
          <w:sz w:val="20"/>
          <w:szCs w:val="20"/>
        </w:rPr>
        <w:t xml:space="preserve">• </w:t>
      </w:r>
      <w:hyperlink w:history="1" r:id="rIdxquhjouzjdhzssleh-231">
        <w:r>
          <w:rPr>
            <w:rStyle w:val="Hyperlink"/>
            <w:sz w:val="20"/>
            <w:szCs w:val="20"/>
          </w:rPr>
          <w:t xml:space="preserve">AI gateway capabilities in Azure API Management (Microsoft Learn)</w:t>
        </w:r>
      </w:hyperlink>
    </w:p>
    <w:p>
      <w:pPr>
        <w:spacing w:after="60"/>
      </w:pPr>
      <w:r>
        <w:rPr>
          <w:sz w:val="20"/>
          <w:szCs w:val="20"/>
        </w:rPr>
        <w:t xml:space="preserve">• </w:t>
      </w:r>
      <w:hyperlink w:history="1" r:id="rIdvvxtdl760g8m44k5qkni8">
        <w:r>
          <w:rPr>
            <w:rStyle w:val="Hyperlink"/>
            <w:sz w:val="20"/>
            <w:szCs w:val="20"/>
          </w:rPr>
          <w:t xml:space="preserve">New AI gateway capabilities in Azure API Management (Microsoft Community Hub)</w:t>
        </w:r>
      </w:hyperlink>
    </w:p>
    <w:p>
      <w:pPr>
        <w:spacing w:after="60"/>
      </w:pPr>
      <w:r>
        <w:rPr>
          <w:sz w:val="20"/>
          <w:szCs w:val="20"/>
        </w:rPr>
        <w:t xml:space="preserve">• </w:t>
      </w:r>
      <w:hyperlink w:history="1" r:id="rIdtmak22xbkg8q9rps_isce">
        <w:r>
          <w:rPr>
            <w:rStyle w:val="Hyperlink"/>
            <w:sz w:val="20"/>
            <w:szCs w:val="20"/>
          </w:rPr>
          <w:t xml:space="preserve">Azure AI Gateway Pricing in 2026 (TrueFoundry)</w:t>
        </w:r>
      </w:hyperlink>
    </w:p>
    <w:sectPr>
      <w:pgSz w:w="15840" w:h="122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yafylboogkwnq0lwsd8n" Type="http://schemas.openxmlformats.org/officeDocument/2006/relationships/hyperlink" Target="https://konghq.com/products/kong-ai-gateway" TargetMode="External"/><Relationship Id="rId9nsxcvjspc-sozcpvibmv" Type="http://schemas.openxmlformats.org/officeDocument/2006/relationships/hyperlink" Target="https://konghq.com/pricing" TargetMode="External"/><Relationship Id="rId5_tqn9ocegiziywz_ddgu" Type="http://schemas.openxmlformats.org/officeDocument/2006/relationships/hyperlink" Target="https://www.truefoundry.com/blog/kong-gateway-pricing-architecture-an-analysis-for-ai-teams-2026-edition" TargetMode="External"/><Relationship Id="rIdni7xnnyvijcplvowz4ycx" Type="http://schemas.openxmlformats.org/officeDocument/2006/relationships/hyperlink" Target="https://zuplo.com/learning-center/the-true-cost-of-kong-tco-analysis" TargetMode="External"/><Relationship Id="rIdg88x2eofzh18z7ljnu0q1" Type="http://schemas.openxmlformats.org/officeDocument/2006/relationships/hyperlink" Target="https://konghq.com/blog/product-releases/ai-gateway-3-8" TargetMode="External"/><Relationship Id="rIdtr7hd9oxxgwlzjyfeufd1" Type="http://schemas.openxmlformats.org/officeDocument/2006/relationships/hyperlink" Target="https://developer.konghq.com/plugins/ai-semantic-cache/" TargetMode="External"/><Relationship Id="rIdgmwisaheehz0pvekwg3ye" Type="http://schemas.openxmlformats.org/officeDocument/2006/relationships/hyperlink" Target="https://developer.konghq.com/plugins/ai-semantic-prompt-guard/" TargetMode="External"/><Relationship Id="rId10jc-d-9-ybwvg04ergns" Type="http://schemas.openxmlformats.org/officeDocument/2006/relationships/hyperlink" Target="https://www.litellm.ai/" TargetMode="External"/><Relationship Id="rId_pzyfpyxyzwsbglgbilxb" Type="http://schemas.openxmlformats.org/officeDocument/2006/relationships/hyperlink" Target="https://www.truefoundry.com/blog/litellm-pricing-guide" TargetMode="External"/><Relationship Id="rIdcqhbvln0i-qmupjd-zzjl" Type="http://schemas.openxmlformats.org/officeDocument/2006/relationships/hyperlink" Target="https://www.truefoundry.com/blog/a-detailed-litellm-review-features-pricing-pros-and-cons-2026" TargetMode="External"/><Relationship Id="rIdkifvodd_ij85cilfwhqx5" Type="http://schemas.openxmlformats.org/officeDocument/2006/relationships/hyperlink" Target="https://www.spheron.network/blog/ai-gateway-litellm-portkey-kong-gpu-cloud/" TargetMode="External"/><Relationship Id="rIda_xucejer0l_pur24ggd_" Type="http://schemas.openxmlformats.org/officeDocument/2006/relationships/hyperlink" Target="https://www.cloudzero.com/blog/amazon-bedrock-pricing/" TargetMode="External"/><Relationship Id="rIdl8_m5uaqnbqd-2yng3ldk" Type="http://schemas.openxmlformats.org/officeDocument/2006/relationships/hyperlink" Target="https://www.bacancytechnology.com/blog/aws-bedrock-pricing" TargetMode="External"/><Relationship Id="rIdcr3dbjmbh2enpfiecse5k" Type="http://schemas.openxmlformats.org/officeDocument/2006/relationships/hyperlink" Target="https://fp8.co/articles/aws-bedrock-agentcore-gateway-evaluation-how-does-it-compare" TargetMode="External"/><Relationship Id="rId5yqs8tndu90doprfluwpg" Type="http://schemas.openxmlformats.org/officeDocument/2006/relationships/hyperlink" Target="https://www.swfte.com/blog/aws-bedrock-guide-2026" TargetMode="External"/><Relationship Id="rIddlwbfhkkbiv6_weqvxtlx" Type="http://schemas.openxmlformats.org/officeDocument/2006/relationships/hyperlink" Target="https://learn.microsoft.com/en-us/azure/api-management/ai-gateway-overview" TargetMode="External"/><Relationship Id="rIdxquhjouzjdhzssleh-231" Type="http://schemas.openxmlformats.org/officeDocument/2006/relationships/hyperlink" Target="https://learn.microsoft.com/en-us/azure/api-management/genai-gateway-capabilities" TargetMode="External"/><Relationship Id="rIdvvxtdl760g8m44k5qkni8" Type="http://schemas.openxmlformats.org/officeDocument/2006/relationships/hyperlink" Target="https://techcommunity.microsoft.com/blog/integrationsonazureblog/new-ai-gateway-capabilities-in-azure-api-management/4524604" TargetMode="External"/><Relationship Id="rIdtmak22xbkg8q9rps_isce" Type="http://schemas.openxmlformats.org/officeDocument/2006/relationships/hyperlink" Target="https://www.truefoundry.com/blog/understanding-azure-ai-gateway-pricing-for-2026---a-complete-breakdown"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2026-08-04T01:05:15.932Z</dcterms:created>
  <dcterms:modified xsi:type="dcterms:W3CDTF">2026-08-04T01:05:15.932Z</dcterms:modified>
</cp:coreProperties>
</file>

<file path=docProps/custom.xml><?xml version="1.0" encoding="utf-8"?>
<Properties xmlns="http://schemas.openxmlformats.org/officeDocument/2006/custom-properties" xmlns:vt="http://schemas.openxmlformats.org/officeDocument/2006/docPropsVTypes"/>
</file>