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170F4">
      <w:p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icmp/tcp/udp/ipv4</w:t>
      </w:r>
    </w:p>
    <w:p w14:paraId="772D61BC">
      <w:pPr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b/>
          <w:bCs/>
          <w:sz w:val="24"/>
          <w:szCs w:val="24"/>
          <w:lang w:val="en-US"/>
        </w:rPr>
        <w:t>4 separate tables (IPv4, TCP, UDP, ICMP)</w:t>
      </w:r>
    </w:p>
    <w:p w14:paraId="3C4D0999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 xml:space="preserve">⚠️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Important :</w:t>
      </w:r>
    </w:p>
    <w:p w14:paraId="77EF4552">
      <w:pPr>
        <w:pStyle w:val="7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ptos" w:hAnsi="Aptos" w:eastAsia="Aptos" w:cs="Aptos"/>
          <w:sz w:val="24"/>
          <w:szCs w:val="24"/>
          <w:lang w:val="en-US"/>
        </w:rPr>
        <w:t xml:space="preserve">Covert columns are described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only using fields that already exist in your dataset</w:t>
      </w:r>
    </w:p>
    <w:p w14:paraId="5FA12A1E">
      <w:pPr>
        <w:pStyle w:val="7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If a protocol/technique is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not present</w:t>
      </w:r>
      <w:r>
        <w:rPr>
          <w:rFonts w:ascii="Aptos" w:hAnsi="Aptos" w:eastAsia="Aptos" w:cs="Aptos"/>
          <w:sz w:val="24"/>
          <w:szCs w:val="24"/>
          <w:lang w:val="en-US"/>
        </w:rPr>
        <w:t>, it is stated clearly</w:t>
      </w:r>
    </w:p>
    <w:p w14:paraId="6BF89497">
      <w:pPr>
        <w:pStyle w:val="7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These tables are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conceptual mappings of your existing data into Normal vs Covert usage</w:t>
      </w:r>
    </w:p>
    <w:p w14:paraId="035CDD5B"/>
    <w:p w14:paraId="3CB97CC4">
      <w:pPr>
        <w:pStyle w:val="2"/>
        <w:spacing w:before="299" w:beforeAutospacing="0" w:after="299" w:afterAutospacing="0"/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Table 1: IPv4 (From Your Dataset)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834"/>
        <w:gridCol w:w="2602"/>
        <w:gridCol w:w="1621"/>
        <w:gridCol w:w="1932"/>
      </w:tblGrid>
      <w:tr w14:paraId="2781A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2CF6F2CB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Category / Field</w:t>
            </w:r>
          </w:p>
        </w:tc>
        <w:tc>
          <w:tcPr>
            <w:tcW w:w="1918" w:type="dxa"/>
            <w:vAlign w:val="center"/>
          </w:tcPr>
          <w:p w14:paraId="310793C0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Normal (Baseline Traffic)</w:t>
            </w:r>
          </w:p>
        </w:tc>
        <w:tc>
          <w:tcPr>
            <w:tcW w:w="3114" w:type="dxa"/>
            <w:vAlign w:val="center"/>
          </w:tcPr>
          <w:p w14:paraId="107D18AF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Header Manipulation (Covert)</w:t>
            </w:r>
          </w:p>
        </w:tc>
        <w:tc>
          <w:tcPr>
            <w:tcW w:w="1276" w:type="dxa"/>
            <w:vAlign w:val="center"/>
          </w:tcPr>
          <w:p w14:paraId="1CD0EB0F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Time Obfuscation (Covert)</w:t>
            </w:r>
          </w:p>
        </w:tc>
        <w:tc>
          <w:tcPr>
            <w:tcW w:w="2274" w:type="dxa"/>
            <w:vAlign w:val="center"/>
          </w:tcPr>
          <w:p w14:paraId="637280D1">
            <w:pPr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Flow Bending (Covert)</w:t>
            </w:r>
          </w:p>
        </w:tc>
      </w:tr>
      <w:tr w14:paraId="6CC59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51E3758C">
            <w:pPr>
              <w:spacing w:before="0" w:beforeAutospacing="0" w:after="0" w:afterAutospacing="0"/>
            </w:pPr>
            <w:r>
              <w:rPr>
                <w:b/>
                <w:bCs/>
              </w:rPr>
              <w:t>Source IP</w:t>
            </w:r>
          </w:p>
        </w:tc>
        <w:tc>
          <w:tcPr>
            <w:tcW w:w="1918" w:type="dxa"/>
            <w:vAlign w:val="center"/>
          </w:tcPr>
          <w:p w14:paraId="5695B853">
            <w:pPr>
              <w:spacing w:before="0" w:beforeAutospacing="0" w:after="0" w:afterAutospacing="0"/>
            </w:pPr>
            <w:r>
              <w:t xml:space="preserve">Standard IPv4 addresses (e.g., </w:t>
            </w:r>
            <w:r>
              <w:rPr>
                <w:rFonts w:ascii="Consolas" w:hAnsi="Consolas" w:eastAsia="Consolas" w:cs="Consolas"/>
              </w:rPr>
              <w:t>192.168.x.x</w:t>
            </w:r>
            <w:r>
              <w:t>)</w:t>
            </w:r>
          </w:p>
        </w:tc>
        <w:tc>
          <w:tcPr>
            <w:tcW w:w="3114" w:type="dxa"/>
            <w:vAlign w:val="center"/>
          </w:tcPr>
          <w:p w14:paraId="5CE02FDA">
            <w:pPr>
              <w:spacing w:before="0" w:beforeAutospacing="0" w:after="0" w:afterAutospacing="0"/>
            </w:pPr>
            <w:r>
              <w:t>IP ID / fragmentation-related behavior altered (from IPv4 header fields)</w:t>
            </w:r>
          </w:p>
        </w:tc>
        <w:tc>
          <w:tcPr>
            <w:tcW w:w="1276" w:type="dxa"/>
            <w:vAlign w:val="center"/>
          </w:tcPr>
          <w:p w14:paraId="175D0805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274" w:type="dxa"/>
            <w:vAlign w:val="center"/>
          </w:tcPr>
          <w:p w14:paraId="109071DF">
            <w:pPr>
              <w:spacing w:before="0" w:beforeAutospacing="0" w:after="0" w:afterAutospacing="0"/>
            </w:pPr>
            <w:r>
              <w:t>Same IP used across multiple flows</w:t>
            </w:r>
          </w:p>
        </w:tc>
      </w:tr>
      <w:tr w14:paraId="25E82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3487AB6C">
            <w:pPr>
              <w:spacing w:before="0" w:beforeAutospacing="0" w:after="0" w:afterAutospacing="0"/>
            </w:pPr>
            <w:r>
              <w:rPr>
                <w:b/>
                <w:bCs/>
              </w:rPr>
              <w:t>Destination IP</w:t>
            </w:r>
          </w:p>
        </w:tc>
        <w:tc>
          <w:tcPr>
            <w:tcW w:w="1918" w:type="dxa"/>
            <w:vAlign w:val="center"/>
          </w:tcPr>
          <w:p w14:paraId="40BB4B1B">
            <w:pPr>
              <w:spacing w:before="0" w:beforeAutospacing="0" w:after="0" w:afterAutospacing="0"/>
            </w:pPr>
            <w:r>
              <w:t xml:space="preserve">Fixed destination IPs (e.g., </w:t>
            </w:r>
            <w:r>
              <w:rPr>
                <w:rFonts w:ascii="Consolas" w:hAnsi="Consolas" w:eastAsia="Consolas" w:cs="Consolas"/>
              </w:rPr>
              <w:t>1.1.1.1</w:t>
            </w:r>
            <w:r>
              <w:t>)</w:t>
            </w:r>
          </w:p>
        </w:tc>
        <w:tc>
          <w:tcPr>
            <w:tcW w:w="3114" w:type="dxa"/>
            <w:vAlign w:val="center"/>
          </w:tcPr>
          <w:p w14:paraId="62FF8C35">
            <w:pPr>
              <w:spacing w:before="0" w:beforeAutospacing="0" w:after="0" w:afterAutospacing="0"/>
            </w:pPr>
            <w:r>
              <w:t>Same destination with altered header fields</w:t>
            </w:r>
          </w:p>
        </w:tc>
        <w:tc>
          <w:tcPr>
            <w:tcW w:w="1276" w:type="dxa"/>
            <w:vAlign w:val="center"/>
          </w:tcPr>
          <w:p w14:paraId="4D0C4AB4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274" w:type="dxa"/>
            <w:vAlign w:val="center"/>
          </w:tcPr>
          <w:p w14:paraId="04913BDD">
            <w:pPr>
              <w:spacing w:before="0" w:beforeAutospacing="0" w:after="0" w:afterAutospacing="0"/>
            </w:pPr>
            <w:r>
              <w:t>Multiple destination IPs used in controlled sequence</w:t>
            </w:r>
          </w:p>
        </w:tc>
      </w:tr>
      <w:tr w14:paraId="2EEBF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290F3506">
            <w:pPr>
              <w:spacing w:before="0" w:beforeAutospacing="0" w:after="0" w:afterAutospacing="0"/>
            </w:pPr>
            <w:r>
              <w:rPr>
                <w:b/>
                <w:bCs/>
              </w:rPr>
              <w:t>Protocol Field</w:t>
            </w:r>
          </w:p>
        </w:tc>
        <w:tc>
          <w:tcPr>
            <w:tcW w:w="1918" w:type="dxa"/>
            <w:vAlign w:val="center"/>
          </w:tcPr>
          <w:p w14:paraId="7D61D9FE">
            <w:pPr>
              <w:spacing w:before="0" w:beforeAutospacing="0" w:after="0" w:afterAutospacing="0"/>
            </w:pPr>
            <w:r>
              <w:rPr>
                <w:rFonts w:ascii="Consolas" w:hAnsi="Consolas" w:eastAsia="Consolas" w:cs="Consolas"/>
              </w:rPr>
              <w:t>6</w:t>
            </w:r>
            <w:r>
              <w:t xml:space="preserve"> (TCP), </w:t>
            </w:r>
            <w:r>
              <w:rPr>
                <w:rFonts w:ascii="Consolas" w:hAnsi="Consolas" w:eastAsia="Consolas" w:cs="Consolas"/>
              </w:rPr>
              <w:t>17</w:t>
            </w:r>
            <w:r>
              <w:t xml:space="preserve"> (UDP), </w:t>
            </w:r>
            <w:r>
              <w:rPr>
                <w:rFonts w:ascii="Consolas" w:hAnsi="Consolas" w:eastAsia="Consolas" w:cs="Consolas"/>
              </w:rPr>
              <w:t>1</w:t>
            </w:r>
            <w:r>
              <w:t xml:space="preserve"> (ICMP)</w:t>
            </w:r>
          </w:p>
        </w:tc>
        <w:tc>
          <w:tcPr>
            <w:tcW w:w="3114" w:type="dxa"/>
            <w:vAlign w:val="center"/>
          </w:tcPr>
          <w:p w14:paraId="1B3354FA">
            <w:pPr>
              <w:spacing w:before="0" w:beforeAutospacing="0" w:after="0" w:afterAutospacing="0"/>
            </w:pPr>
            <w:r>
              <w:t>Protocol value patterns used across flows</w:t>
            </w:r>
          </w:p>
        </w:tc>
        <w:tc>
          <w:tcPr>
            <w:tcW w:w="1276" w:type="dxa"/>
            <w:vAlign w:val="center"/>
          </w:tcPr>
          <w:p w14:paraId="3C3B54AC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274" w:type="dxa"/>
            <w:vAlign w:val="center"/>
          </w:tcPr>
          <w:p w14:paraId="2EDD1AFB">
            <w:pPr>
              <w:spacing w:before="0" w:beforeAutospacing="0" w:after="0" w:afterAutospacing="0"/>
            </w:pPr>
            <w:r>
              <w:t>Alternating protocol usage across flows</w:t>
            </w:r>
          </w:p>
        </w:tc>
      </w:tr>
      <w:tr w14:paraId="2B923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0B258968">
            <w:pPr>
              <w:spacing w:before="0" w:beforeAutospacing="0" w:after="0" w:afterAutospacing="0"/>
            </w:pPr>
            <w:r>
              <w:rPr>
                <w:b/>
                <w:bCs/>
              </w:rPr>
              <w:t>TTL (IP Layer)</w:t>
            </w:r>
          </w:p>
        </w:tc>
        <w:tc>
          <w:tcPr>
            <w:tcW w:w="1918" w:type="dxa"/>
            <w:vAlign w:val="center"/>
          </w:tcPr>
          <w:p w14:paraId="46D5D24D">
            <w:pPr>
              <w:spacing w:before="0" w:beforeAutospacing="0" w:after="0" w:afterAutospacing="0"/>
            </w:pPr>
            <w:r>
              <w:t>Constant or near-constant</w:t>
            </w:r>
          </w:p>
        </w:tc>
        <w:tc>
          <w:tcPr>
            <w:tcW w:w="3114" w:type="dxa"/>
            <w:vAlign w:val="center"/>
          </w:tcPr>
          <w:p w14:paraId="615756EC">
            <w:pPr>
              <w:spacing w:before="0" w:beforeAutospacing="0" w:after="0" w:afterAutospacing="0"/>
            </w:pPr>
            <w:r>
              <w:t>TTL values manipulated</w:t>
            </w:r>
          </w:p>
        </w:tc>
        <w:tc>
          <w:tcPr>
            <w:tcW w:w="1276" w:type="dxa"/>
            <w:vAlign w:val="center"/>
          </w:tcPr>
          <w:p w14:paraId="6A16A936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274" w:type="dxa"/>
            <w:vAlign w:val="center"/>
          </w:tcPr>
          <w:p w14:paraId="20E38142">
            <w:pPr>
              <w:spacing w:before="0" w:beforeAutospacing="0" w:after="0" w:afterAutospacing="0"/>
            </w:pPr>
            <w:r>
              <w:t>Same TTL across multiple flows</w:t>
            </w:r>
          </w:p>
        </w:tc>
      </w:tr>
      <w:tr w14:paraId="7630C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4FDA7490">
            <w:pPr>
              <w:spacing w:before="0" w:beforeAutospacing="0" w:after="0" w:afterAutospacing="0"/>
            </w:pPr>
            <w:r>
              <w:rPr>
                <w:b/>
                <w:bCs/>
              </w:rPr>
              <w:t>Packet Length</w:t>
            </w:r>
          </w:p>
        </w:tc>
        <w:tc>
          <w:tcPr>
            <w:tcW w:w="1918" w:type="dxa"/>
            <w:vAlign w:val="center"/>
          </w:tcPr>
          <w:p w14:paraId="725CE069">
            <w:pPr>
              <w:spacing w:before="0" w:beforeAutospacing="0" w:after="0" w:afterAutospacing="0"/>
            </w:pPr>
            <w:r>
              <w:t>Consistent packet sizes</w:t>
            </w:r>
          </w:p>
        </w:tc>
        <w:tc>
          <w:tcPr>
            <w:tcW w:w="3114" w:type="dxa"/>
            <w:vAlign w:val="center"/>
          </w:tcPr>
          <w:p w14:paraId="1CF56EB4">
            <w:pPr>
              <w:spacing w:before="0" w:beforeAutospacing="0" w:after="0" w:afterAutospacing="0"/>
            </w:pPr>
            <w:r>
              <w:t>Length variations encode bits</w:t>
            </w:r>
          </w:p>
        </w:tc>
        <w:tc>
          <w:tcPr>
            <w:tcW w:w="1276" w:type="dxa"/>
            <w:vAlign w:val="center"/>
          </w:tcPr>
          <w:p w14:paraId="0FF179D6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274" w:type="dxa"/>
            <w:vAlign w:val="center"/>
          </w:tcPr>
          <w:p w14:paraId="10674971">
            <w:pPr>
              <w:spacing w:before="0" w:beforeAutospacing="0" w:after="0" w:afterAutospacing="0"/>
            </w:pPr>
            <w:r>
              <w:t>Packet size patterns across flows</w:t>
            </w:r>
          </w:p>
        </w:tc>
      </w:tr>
      <w:tr w14:paraId="78BB9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74C2F537">
            <w:pPr>
              <w:spacing w:before="0" w:beforeAutospacing="0" w:after="0" w:afterAutospacing="0"/>
            </w:pPr>
            <w:r>
              <w:rPr>
                <w:b/>
                <w:bCs/>
              </w:rPr>
              <w:t>Flow Duration</w:t>
            </w:r>
          </w:p>
        </w:tc>
        <w:tc>
          <w:tcPr>
            <w:tcW w:w="1918" w:type="dxa"/>
            <w:vAlign w:val="center"/>
          </w:tcPr>
          <w:p w14:paraId="6DEAA19C">
            <w:pPr>
              <w:spacing w:before="0" w:beforeAutospacing="0" w:after="0" w:afterAutospacing="0"/>
            </w:pPr>
            <w:r>
              <w:t>Very short, consistent</w:t>
            </w:r>
          </w:p>
        </w:tc>
        <w:tc>
          <w:tcPr>
            <w:tcW w:w="3114" w:type="dxa"/>
            <w:vAlign w:val="center"/>
          </w:tcPr>
          <w:p w14:paraId="4BF7932E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276" w:type="dxa"/>
            <w:vAlign w:val="center"/>
          </w:tcPr>
          <w:p w14:paraId="0E95F057">
            <w:pPr>
              <w:spacing w:before="0" w:beforeAutospacing="0" w:after="0" w:afterAutospacing="0"/>
            </w:pPr>
            <w:r>
              <w:t>Timing gaps encode data</w:t>
            </w:r>
          </w:p>
        </w:tc>
        <w:tc>
          <w:tcPr>
            <w:tcW w:w="2274" w:type="dxa"/>
            <w:vAlign w:val="center"/>
          </w:tcPr>
          <w:p w14:paraId="1AA1AF03">
            <w:pPr>
              <w:spacing w:before="0" w:beforeAutospacing="0" w:after="0" w:afterAutospacing="0"/>
            </w:pPr>
            <w:r>
              <w:t>Duration differences across flows</w:t>
            </w:r>
          </w:p>
        </w:tc>
      </w:tr>
      <w:tr w14:paraId="51941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78" w:type="dxa"/>
            <w:vAlign w:val="center"/>
          </w:tcPr>
          <w:p w14:paraId="10856B05">
            <w:pPr>
              <w:spacing w:before="0" w:beforeAutospacing="0" w:after="0" w:afterAutospacing="0"/>
            </w:pPr>
            <w:r>
              <w:rPr>
                <w:b/>
                <w:bCs/>
              </w:rPr>
              <w:t>Packet Count</w:t>
            </w:r>
          </w:p>
        </w:tc>
        <w:tc>
          <w:tcPr>
            <w:tcW w:w="1918" w:type="dxa"/>
            <w:vAlign w:val="center"/>
          </w:tcPr>
          <w:p w14:paraId="2826FA67">
            <w:pPr>
              <w:spacing w:before="0" w:beforeAutospacing="0" w:after="0" w:afterAutospacing="0"/>
            </w:pPr>
            <w:r>
              <w:t>Small, expected counts</w:t>
            </w:r>
          </w:p>
        </w:tc>
        <w:tc>
          <w:tcPr>
            <w:tcW w:w="3114" w:type="dxa"/>
            <w:vAlign w:val="center"/>
          </w:tcPr>
          <w:p w14:paraId="636229D5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276" w:type="dxa"/>
            <w:vAlign w:val="center"/>
          </w:tcPr>
          <w:p w14:paraId="2C664DB3">
            <w:pPr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274" w:type="dxa"/>
            <w:vAlign w:val="center"/>
          </w:tcPr>
          <w:p w14:paraId="5D6798CE">
            <w:pPr>
              <w:spacing w:before="0" w:beforeAutospacing="0" w:after="0" w:afterAutospacing="0"/>
            </w:pPr>
            <w:r>
              <w:t>Packet count sequence encodes data</w:t>
            </w:r>
          </w:p>
        </w:tc>
      </w:tr>
    </w:tbl>
    <w:p w14:paraId="66354400"/>
    <w:p w14:paraId="05EFA187">
      <w:pPr>
        <w:pStyle w:val="2"/>
        <w:bidi w:val="0"/>
        <w:spacing w:before="299" w:beforeAutospacing="0" w:after="299" w:afterAutospacing="0"/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Table 2: TCP (From Your Dataset)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62"/>
        <w:gridCol w:w="1977"/>
        <w:gridCol w:w="1687"/>
        <w:gridCol w:w="1963"/>
      </w:tblGrid>
      <w:tr w14:paraId="2E3BD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186527F4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Category / Field</w:t>
            </w:r>
          </w:p>
        </w:tc>
        <w:tc>
          <w:tcPr>
            <w:tcW w:w="1835" w:type="dxa"/>
            <w:vAlign w:val="center"/>
          </w:tcPr>
          <w:p w14:paraId="63A4BD3F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Normal (Baseline Traffic)</w:t>
            </w:r>
          </w:p>
        </w:tc>
        <w:tc>
          <w:tcPr>
            <w:tcW w:w="2161" w:type="dxa"/>
            <w:vAlign w:val="center"/>
          </w:tcPr>
          <w:p w14:paraId="019F0475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Header Manipulation (Covert)</w:t>
            </w:r>
          </w:p>
        </w:tc>
        <w:tc>
          <w:tcPr>
            <w:tcW w:w="1763" w:type="dxa"/>
            <w:vAlign w:val="center"/>
          </w:tcPr>
          <w:p w14:paraId="215323F7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Time Obfuscation (Covert)</w:t>
            </w:r>
          </w:p>
        </w:tc>
        <w:tc>
          <w:tcPr>
            <w:tcW w:w="2430" w:type="dxa"/>
            <w:vAlign w:val="center"/>
          </w:tcPr>
          <w:p w14:paraId="25A8B389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Flow Bending (Covert)</w:t>
            </w:r>
          </w:p>
        </w:tc>
      </w:tr>
      <w:tr w14:paraId="3624E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23224DB3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Source Port</w:t>
            </w:r>
          </w:p>
        </w:tc>
        <w:tc>
          <w:tcPr>
            <w:tcW w:w="1835" w:type="dxa"/>
            <w:vAlign w:val="center"/>
          </w:tcPr>
          <w:p w14:paraId="01E3CF13">
            <w:pPr>
              <w:bidi w:val="0"/>
              <w:spacing w:before="0" w:beforeAutospacing="0" w:after="0" w:afterAutospacing="0"/>
            </w:pPr>
            <w:r>
              <w:t>Sequential ephemeral ports</w:t>
            </w:r>
          </w:p>
        </w:tc>
        <w:tc>
          <w:tcPr>
            <w:tcW w:w="2161" w:type="dxa"/>
            <w:vAlign w:val="center"/>
          </w:tcPr>
          <w:p w14:paraId="31D9781E">
            <w:pPr>
              <w:bidi w:val="0"/>
              <w:spacing w:before="0" w:beforeAutospacing="0" w:after="0" w:afterAutospacing="0"/>
            </w:pPr>
            <w:r>
              <w:t>Port values encode hidden bits</w:t>
            </w:r>
          </w:p>
        </w:tc>
        <w:tc>
          <w:tcPr>
            <w:tcW w:w="1763" w:type="dxa"/>
            <w:vAlign w:val="center"/>
          </w:tcPr>
          <w:p w14:paraId="310D6F18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430" w:type="dxa"/>
            <w:vAlign w:val="center"/>
          </w:tcPr>
          <w:p w14:paraId="633D5650">
            <w:pPr>
              <w:bidi w:val="0"/>
              <w:spacing w:before="0" w:beforeAutospacing="0" w:after="0" w:afterAutospacing="0"/>
            </w:pPr>
            <w:r>
              <w:t>Port sequence across flows encodes data</w:t>
            </w:r>
          </w:p>
        </w:tc>
      </w:tr>
      <w:tr w14:paraId="72F46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64A0807D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Destination Port</w:t>
            </w:r>
          </w:p>
        </w:tc>
        <w:tc>
          <w:tcPr>
            <w:tcW w:w="1835" w:type="dxa"/>
            <w:vAlign w:val="center"/>
          </w:tcPr>
          <w:p w14:paraId="7DBA3313">
            <w:pPr>
              <w:bidi w:val="0"/>
              <w:spacing w:before="0" w:beforeAutospacing="0" w:after="0" w:afterAutospacing="0"/>
            </w:pPr>
            <w:r>
              <w:t xml:space="preserve">Fixed service port (e.g., </w:t>
            </w:r>
            <w:r>
              <w:rPr>
                <w:rFonts w:ascii="Consolas" w:hAnsi="Consolas" w:eastAsia="Consolas" w:cs="Consolas"/>
              </w:rPr>
              <w:t>25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2A21603C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763" w:type="dxa"/>
            <w:vAlign w:val="center"/>
          </w:tcPr>
          <w:p w14:paraId="0131AA76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430" w:type="dxa"/>
            <w:vAlign w:val="center"/>
          </w:tcPr>
          <w:p w14:paraId="648BEDCF">
            <w:pPr>
              <w:bidi w:val="0"/>
              <w:spacing w:before="0" w:beforeAutospacing="0" w:after="0" w:afterAutospacing="0"/>
            </w:pPr>
            <w:r>
              <w:t>Same destination across multiple flows</w:t>
            </w:r>
          </w:p>
        </w:tc>
      </w:tr>
      <w:tr w14:paraId="20D04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2F2171CC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Sequence Number</w:t>
            </w:r>
          </w:p>
        </w:tc>
        <w:tc>
          <w:tcPr>
            <w:tcW w:w="1835" w:type="dxa"/>
            <w:vAlign w:val="center"/>
          </w:tcPr>
          <w:p w14:paraId="104509D1">
            <w:pPr>
              <w:bidi w:val="0"/>
              <w:spacing w:before="0" w:beforeAutospacing="0" w:after="0" w:afterAutospacing="0"/>
            </w:pPr>
            <w:r>
              <w:t>Normal incremental behavior</w:t>
            </w:r>
          </w:p>
        </w:tc>
        <w:tc>
          <w:tcPr>
            <w:tcW w:w="2161" w:type="dxa"/>
            <w:vAlign w:val="center"/>
          </w:tcPr>
          <w:p w14:paraId="5CB3728B">
            <w:pPr>
              <w:bidi w:val="0"/>
              <w:spacing w:before="0" w:beforeAutospacing="0" w:after="0" w:afterAutospacing="0"/>
            </w:pPr>
            <w:r>
              <w:t>Seq number bits carry covert data</w:t>
            </w:r>
          </w:p>
        </w:tc>
        <w:tc>
          <w:tcPr>
            <w:tcW w:w="1763" w:type="dxa"/>
            <w:vAlign w:val="center"/>
          </w:tcPr>
          <w:p w14:paraId="20E6B8D2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430" w:type="dxa"/>
            <w:vAlign w:val="center"/>
          </w:tcPr>
          <w:p w14:paraId="23016A99">
            <w:pPr>
              <w:bidi w:val="0"/>
              <w:spacing w:before="0" w:beforeAutospacing="0" w:after="0" w:afterAutospacing="0"/>
            </w:pPr>
            <w:r>
              <w:t>Reordered sequences across flows</w:t>
            </w:r>
          </w:p>
        </w:tc>
      </w:tr>
      <w:tr w14:paraId="767B9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0D5D65E9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ACK Number</w:t>
            </w:r>
          </w:p>
        </w:tc>
        <w:tc>
          <w:tcPr>
            <w:tcW w:w="1835" w:type="dxa"/>
            <w:vAlign w:val="center"/>
          </w:tcPr>
          <w:p w14:paraId="308DCB18">
            <w:pPr>
              <w:bidi w:val="0"/>
              <w:spacing w:before="0" w:beforeAutospacing="0" w:after="0" w:afterAutospacing="0"/>
            </w:pPr>
            <w:r>
              <w:t>Standard acknowledgments</w:t>
            </w:r>
          </w:p>
        </w:tc>
        <w:tc>
          <w:tcPr>
            <w:tcW w:w="2161" w:type="dxa"/>
            <w:vAlign w:val="center"/>
          </w:tcPr>
          <w:p w14:paraId="0C916B28">
            <w:pPr>
              <w:bidi w:val="0"/>
              <w:spacing w:before="0" w:beforeAutospacing="0" w:after="0" w:afterAutospacing="0"/>
            </w:pPr>
            <w:r>
              <w:t>ACK manipulation encodes data</w:t>
            </w:r>
          </w:p>
        </w:tc>
        <w:tc>
          <w:tcPr>
            <w:tcW w:w="1763" w:type="dxa"/>
            <w:vAlign w:val="center"/>
          </w:tcPr>
          <w:p w14:paraId="21154355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430" w:type="dxa"/>
            <w:vAlign w:val="center"/>
          </w:tcPr>
          <w:p w14:paraId="1CC9C50A">
            <w:pPr>
              <w:bidi w:val="0"/>
              <w:spacing w:before="0" w:beforeAutospacing="0" w:after="0" w:afterAutospacing="0"/>
            </w:pPr>
            <w:r>
              <w:t>Same ACK behavior across flows</w:t>
            </w:r>
          </w:p>
        </w:tc>
      </w:tr>
      <w:tr w14:paraId="1F184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313EC719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TCP Flags</w:t>
            </w:r>
          </w:p>
        </w:tc>
        <w:tc>
          <w:tcPr>
            <w:tcW w:w="1835" w:type="dxa"/>
            <w:vAlign w:val="center"/>
          </w:tcPr>
          <w:p w14:paraId="2B2690EE">
            <w:pPr>
              <w:bidi w:val="0"/>
              <w:spacing w:before="0" w:beforeAutospacing="0" w:after="0" w:afterAutospacing="0"/>
            </w:pPr>
            <w:r>
              <w:t>SYN/ACK/FIN used normally</w:t>
            </w:r>
          </w:p>
        </w:tc>
        <w:tc>
          <w:tcPr>
            <w:tcW w:w="2161" w:type="dxa"/>
            <w:vAlign w:val="center"/>
          </w:tcPr>
          <w:p w14:paraId="1793399E">
            <w:pPr>
              <w:bidi w:val="0"/>
              <w:spacing w:before="0" w:beforeAutospacing="0" w:after="0" w:afterAutospacing="0"/>
            </w:pPr>
            <w:r>
              <w:t>Flag combinations encode bits</w:t>
            </w:r>
          </w:p>
        </w:tc>
        <w:tc>
          <w:tcPr>
            <w:tcW w:w="1763" w:type="dxa"/>
            <w:vAlign w:val="center"/>
          </w:tcPr>
          <w:p w14:paraId="2D4AD47D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430" w:type="dxa"/>
            <w:vAlign w:val="center"/>
          </w:tcPr>
          <w:p w14:paraId="69CA523F">
            <w:pPr>
              <w:bidi w:val="0"/>
              <w:spacing w:before="0" w:beforeAutospacing="0" w:after="0" w:afterAutospacing="0"/>
            </w:pPr>
            <w:r>
              <w:t>Flag usage pattern across flows</w:t>
            </w:r>
          </w:p>
        </w:tc>
      </w:tr>
      <w:tr w14:paraId="310EF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1324D473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Window Size</w:t>
            </w:r>
          </w:p>
        </w:tc>
        <w:tc>
          <w:tcPr>
            <w:tcW w:w="1835" w:type="dxa"/>
            <w:vAlign w:val="center"/>
          </w:tcPr>
          <w:p w14:paraId="289CFE9F">
            <w:pPr>
              <w:bidi w:val="0"/>
              <w:spacing w:before="0" w:beforeAutospacing="0" w:after="0" w:afterAutospacing="0"/>
            </w:pPr>
            <w:r>
              <w:t>Constant (</w:t>
            </w:r>
            <w:r>
              <w:rPr>
                <w:rFonts w:ascii="Consolas" w:hAnsi="Consolas" w:eastAsia="Consolas" w:cs="Consolas"/>
              </w:rPr>
              <w:t>8192</w:t>
            </w:r>
            <w:r>
              <w:t xml:space="preserve"> in dataset)</w:t>
            </w:r>
          </w:p>
        </w:tc>
        <w:tc>
          <w:tcPr>
            <w:tcW w:w="2161" w:type="dxa"/>
            <w:vAlign w:val="center"/>
          </w:tcPr>
          <w:p w14:paraId="59595AE4">
            <w:pPr>
              <w:bidi w:val="0"/>
              <w:spacing w:before="0" w:beforeAutospacing="0" w:after="0" w:afterAutospacing="0"/>
            </w:pPr>
            <w:r>
              <w:t>Window size variations encode data</w:t>
            </w:r>
          </w:p>
        </w:tc>
        <w:tc>
          <w:tcPr>
            <w:tcW w:w="1763" w:type="dxa"/>
            <w:vAlign w:val="center"/>
          </w:tcPr>
          <w:p w14:paraId="3A91C68C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430" w:type="dxa"/>
            <w:vAlign w:val="center"/>
          </w:tcPr>
          <w:p w14:paraId="20CC1C8E">
            <w:pPr>
              <w:bidi w:val="0"/>
              <w:spacing w:before="0" w:beforeAutospacing="0" w:after="0" w:afterAutospacing="0"/>
            </w:pPr>
            <w:r>
              <w:t>Same window across flows</w:t>
            </w:r>
          </w:p>
        </w:tc>
      </w:tr>
      <w:tr w14:paraId="21359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2" w:type="dxa"/>
            <w:vAlign w:val="center"/>
          </w:tcPr>
          <w:p w14:paraId="2E68C755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Flow Duration</w:t>
            </w:r>
          </w:p>
        </w:tc>
        <w:tc>
          <w:tcPr>
            <w:tcW w:w="1835" w:type="dxa"/>
            <w:vAlign w:val="center"/>
          </w:tcPr>
          <w:p w14:paraId="5935FEDB">
            <w:pPr>
              <w:bidi w:val="0"/>
              <w:spacing w:before="0" w:beforeAutospacing="0" w:after="0" w:afterAutospacing="0"/>
            </w:pPr>
            <w:r>
              <w:t>Near-zero durations</w:t>
            </w:r>
          </w:p>
        </w:tc>
        <w:tc>
          <w:tcPr>
            <w:tcW w:w="2161" w:type="dxa"/>
            <w:vAlign w:val="center"/>
          </w:tcPr>
          <w:p w14:paraId="19384E3B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763" w:type="dxa"/>
            <w:vAlign w:val="center"/>
          </w:tcPr>
          <w:p w14:paraId="08339A1D">
            <w:pPr>
              <w:bidi w:val="0"/>
              <w:spacing w:before="0" w:beforeAutospacing="0" w:after="0" w:afterAutospacing="0"/>
            </w:pPr>
            <w:r>
              <w:t>Deliberate delays encode bits</w:t>
            </w:r>
          </w:p>
        </w:tc>
        <w:tc>
          <w:tcPr>
            <w:tcW w:w="2430" w:type="dxa"/>
            <w:vAlign w:val="center"/>
          </w:tcPr>
          <w:p w14:paraId="7F1CFC72">
            <w:pPr>
              <w:bidi w:val="0"/>
              <w:spacing w:before="0" w:beforeAutospacing="0" w:after="0" w:afterAutospacing="0"/>
            </w:pPr>
            <w:r>
              <w:t>Flow grouping encodes data</w:t>
            </w:r>
          </w:p>
        </w:tc>
      </w:tr>
    </w:tbl>
    <w:p w14:paraId="69993525"/>
    <w:p w14:paraId="122DDCF5">
      <w:pPr>
        <w:pStyle w:val="2"/>
        <w:bidi w:val="0"/>
        <w:spacing w:before="299" w:beforeAutospacing="0" w:after="299" w:afterAutospacing="0"/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Table 3: UDP (From Your Dataset)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041"/>
        <w:gridCol w:w="2061"/>
        <w:gridCol w:w="1820"/>
        <w:gridCol w:w="2067"/>
      </w:tblGrid>
      <w:tr w14:paraId="74432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5" w:type="dxa"/>
            <w:vAlign w:val="center"/>
          </w:tcPr>
          <w:p w14:paraId="20BF94EB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Category / Field</w:t>
            </w:r>
          </w:p>
        </w:tc>
        <w:tc>
          <w:tcPr>
            <w:tcW w:w="2072" w:type="dxa"/>
            <w:vAlign w:val="center"/>
          </w:tcPr>
          <w:p w14:paraId="58B4B37A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Normal (Baseline Traffic)</w:t>
            </w:r>
          </w:p>
        </w:tc>
        <w:tc>
          <w:tcPr>
            <w:tcW w:w="2100" w:type="dxa"/>
            <w:vAlign w:val="center"/>
          </w:tcPr>
          <w:p w14:paraId="2971850E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Header Manipulation (Covert)</w:t>
            </w:r>
          </w:p>
        </w:tc>
        <w:tc>
          <w:tcPr>
            <w:tcW w:w="1850" w:type="dxa"/>
            <w:vAlign w:val="center"/>
          </w:tcPr>
          <w:p w14:paraId="1ED82D11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Time Obfuscation (Covert)</w:t>
            </w:r>
          </w:p>
        </w:tc>
        <w:tc>
          <w:tcPr>
            <w:tcW w:w="2143" w:type="dxa"/>
            <w:vAlign w:val="center"/>
          </w:tcPr>
          <w:p w14:paraId="7A71F188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Flow Bending (Covert)</w:t>
            </w:r>
          </w:p>
        </w:tc>
      </w:tr>
      <w:tr w14:paraId="3AAED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5" w:type="dxa"/>
            <w:vAlign w:val="center"/>
          </w:tcPr>
          <w:p w14:paraId="3956A9C1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Source Port</w:t>
            </w:r>
          </w:p>
        </w:tc>
        <w:tc>
          <w:tcPr>
            <w:tcW w:w="2072" w:type="dxa"/>
            <w:vAlign w:val="center"/>
          </w:tcPr>
          <w:p w14:paraId="2D4ABAAE">
            <w:pPr>
              <w:bidi w:val="0"/>
              <w:spacing w:before="0" w:beforeAutospacing="0" w:after="0" w:afterAutospacing="0"/>
            </w:pPr>
            <w:r>
              <w:t>Incrementing / random</w:t>
            </w:r>
          </w:p>
        </w:tc>
        <w:tc>
          <w:tcPr>
            <w:tcW w:w="2100" w:type="dxa"/>
            <w:vAlign w:val="center"/>
          </w:tcPr>
          <w:p w14:paraId="7BEC3BB2">
            <w:pPr>
              <w:bidi w:val="0"/>
              <w:spacing w:before="0" w:beforeAutospacing="0" w:after="0" w:afterAutospacing="0"/>
            </w:pPr>
            <w:r>
              <w:t>Port numbers encode data</w:t>
            </w:r>
          </w:p>
        </w:tc>
        <w:tc>
          <w:tcPr>
            <w:tcW w:w="1850" w:type="dxa"/>
            <w:vAlign w:val="center"/>
          </w:tcPr>
          <w:p w14:paraId="2C8401FE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143" w:type="dxa"/>
            <w:vAlign w:val="center"/>
          </w:tcPr>
          <w:p w14:paraId="21D123EA">
            <w:pPr>
              <w:bidi w:val="0"/>
              <w:spacing w:before="0" w:beforeAutospacing="0" w:after="0" w:afterAutospacing="0"/>
            </w:pPr>
            <w:r>
              <w:t>Port ordering across flows</w:t>
            </w:r>
          </w:p>
        </w:tc>
      </w:tr>
      <w:tr w14:paraId="01641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5" w:type="dxa"/>
            <w:vAlign w:val="center"/>
          </w:tcPr>
          <w:p w14:paraId="642A8721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Destination Port</w:t>
            </w:r>
          </w:p>
        </w:tc>
        <w:tc>
          <w:tcPr>
            <w:tcW w:w="2072" w:type="dxa"/>
            <w:vAlign w:val="center"/>
          </w:tcPr>
          <w:p w14:paraId="2C9CD602">
            <w:pPr>
              <w:bidi w:val="0"/>
              <w:spacing w:before="0" w:beforeAutospacing="0" w:after="0" w:afterAutospacing="0"/>
            </w:pPr>
            <w:r>
              <w:t>Fixed service ports</w:t>
            </w:r>
          </w:p>
        </w:tc>
        <w:tc>
          <w:tcPr>
            <w:tcW w:w="2100" w:type="dxa"/>
            <w:vAlign w:val="center"/>
          </w:tcPr>
          <w:p w14:paraId="208D2867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850" w:type="dxa"/>
            <w:vAlign w:val="center"/>
          </w:tcPr>
          <w:p w14:paraId="744D1340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143" w:type="dxa"/>
            <w:vAlign w:val="center"/>
          </w:tcPr>
          <w:p w14:paraId="2D7A469B">
            <w:pPr>
              <w:bidi w:val="0"/>
              <w:spacing w:before="0" w:beforeAutospacing="0" w:after="0" w:afterAutospacing="0"/>
            </w:pPr>
            <w:r>
              <w:t>Same destination used repeatedly</w:t>
            </w:r>
          </w:p>
        </w:tc>
      </w:tr>
      <w:tr w14:paraId="7DF0778C">
        <w:trPr>
          <w:trHeight w:val="300" w:hRule="atLeast"/>
        </w:trPr>
        <w:tc>
          <w:tcPr>
            <w:tcW w:w="1195" w:type="dxa"/>
            <w:vAlign w:val="center"/>
          </w:tcPr>
          <w:p w14:paraId="6CFBFBE9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Packet Length</w:t>
            </w:r>
          </w:p>
        </w:tc>
        <w:tc>
          <w:tcPr>
            <w:tcW w:w="2072" w:type="dxa"/>
            <w:vAlign w:val="center"/>
          </w:tcPr>
          <w:p w14:paraId="5D1A1DA8">
            <w:pPr>
              <w:bidi w:val="0"/>
              <w:spacing w:before="0" w:beforeAutospacing="0" w:after="0" w:afterAutospacing="0"/>
            </w:pPr>
            <w:r>
              <w:t>Constant lengths (e.g., 92 bytes)</w:t>
            </w:r>
          </w:p>
        </w:tc>
        <w:tc>
          <w:tcPr>
            <w:tcW w:w="2100" w:type="dxa"/>
            <w:vAlign w:val="center"/>
          </w:tcPr>
          <w:p w14:paraId="0FE97E6A">
            <w:pPr>
              <w:bidi w:val="0"/>
              <w:spacing w:before="0" w:beforeAutospacing="0" w:after="0" w:afterAutospacing="0"/>
            </w:pPr>
            <w:r>
              <w:t>Length variations encode bits</w:t>
            </w:r>
          </w:p>
        </w:tc>
        <w:tc>
          <w:tcPr>
            <w:tcW w:w="1850" w:type="dxa"/>
            <w:vAlign w:val="center"/>
          </w:tcPr>
          <w:p w14:paraId="6D5CFEB2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143" w:type="dxa"/>
            <w:vAlign w:val="center"/>
          </w:tcPr>
          <w:p w14:paraId="57167CF4">
            <w:pPr>
              <w:bidi w:val="0"/>
              <w:spacing w:before="0" w:beforeAutospacing="0" w:after="0" w:afterAutospacing="0"/>
            </w:pPr>
            <w:r>
              <w:t>Length patterns across flows</w:t>
            </w:r>
          </w:p>
        </w:tc>
      </w:tr>
      <w:tr w14:paraId="57E52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5" w:type="dxa"/>
            <w:vAlign w:val="center"/>
          </w:tcPr>
          <w:p w14:paraId="53613E7A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Payload Presence</w:t>
            </w:r>
          </w:p>
        </w:tc>
        <w:tc>
          <w:tcPr>
            <w:tcW w:w="2072" w:type="dxa"/>
            <w:vAlign w:val="center"/>
          </w:tcPr>
          <w:p w14:paraId="5A26DC60">
            <w:pPr>
              <w:bidi w:val="0"/>
              <w:spacing w:before="0" w:beforeAutospacing="0" w:after="0" w:afterAutospacing="0"/>
            </w:pPr>
            <w:r>
              <w:t>Empty or standard payload</w:t>
            </w:r>
          </w:p>
        </w:tc>
        <w:tc>
          <w:tcPr>
            <w:tcW w:w="2100" w:type="dxa"/>
            <w:vAlign w:val="center"/>
          </w:tcPr>
          <w:p w14:paraId="2B37CE01">
            <w:pPr>
              <w:bidi w:val="0"/>
              <w:spacing w:before="0" w:beforeAutospacing="0" w:after="0" w:afterAutospacing="0"/>
            </w:pPr>
            <w:r>
              <w:t>Payload padding used</w:t>
            </w:r>
          </w:p>
        </w:tc>
        <w:tc>
          <w:tcPr>
            <w:tcW w:w="1850" w:type="dxa"/>
            <w:vAlign w:val="center"/>
          </w:tcPr>
          <w:p w14:paraId="021EB31F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143" w:type="dxa"/>
            <w:vAlign w:val="center"/>
          </w:tcPr>
          <w:p w14:paraId="2EC9EA33">
            <w:pPr>
              <w:bidi w:val="0"/>
              <w:spacing w:before="0" w:beforeAutospacing="0" w:after="0" w:afterAutospacing="0"/>
            </w:pPr>
            <w:r>
              <w:t>Payload split across flows</w:t>
            </w:r>
          </w:p>
        </w:tc>
      </w:tr>
      <w:tr w14:paraId="7610E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5" w:type="dxa"/>
            <w:vAlign w:val="center"/>
          </w:tcPr>
          <w:p w14:paraId="6EECD346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Flow Duration</w:t>
            </w:r>
          </w:p>
        </w:tc>
        <w:tc>
          <w:tcPr>
            <w:tcW w:w="2072" w:type="dxa"/>
            <w:vAlign w:val="center"/>
          </w:tcPr>
          <w:p w14:paraId="396651FC">
            <w:pPr>
              <w:bidi w:val="0"/>
              <w:spacing w:before="0" w:beforeAutospacing="0" w:after="0" w:afterAutospacing="0"/>
            </w:pPr>
            <w:r>
              <w:t>Very short</w:t>
            </w:r>
          </w:p>
        </w:tc>
        <w:tc>
          <w:tcPr>
            <w:tcW w:w="2100" w:type="dxa"/>
            <w:vAlign w:val="center"/>
          </w:tcPr>
          <w:p w14:paraId="256B27C7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850" w:type="dxa"/>
            <w:vAlign w:val="center"/>
          </w:tcPr>
          <w:p w14:paraId="05DDDFDB">
            <w:pPr>
              <w:bidi w:val="0"/>
              <w:spacing w:before="0" w:beforeAutospacing="0" w:after="0" w:afterAutospacing="0"/>
            </w:pPr>
            <w:r>
              <w:t>Timing gaps encode bits</w:t>
            </w:r>
          </w:p>
        </w:tc>
        <w:tc>
          <w:tcPr>
            <w:tcW w:w="2143" w:type="dxa"/>
            <w:vAlign w:val="center"/>
          </w:tcPr>
          <w:p w14:paraId="43238FFB">
            <w:pPr>
              <w:bidi w:val="0"/>
              <w:spacing w:before="0" w:beforeAutospacing="0" w:after="0" w:afterAutospacing="0"/>
            </w:pPr>
            <w:r>
              <w:t>Duration patterns encode data</w:t>
            </w:r>
          </w:p>
        </w:tc>
      </w:tr>
      <w:tr w14:paraId="18BED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95" w:type="dxa"/>
            <w:vAlign w:val="center"/>
          </w:tcPr>
          <w:p w14:paraId="4A632FCB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Packets per Flow</w:t>
            </w:r>
          </w:p>
        </w:tc>
        <w:tc>
          <w:tcPr>
            <w:tcW w:w="2072" w:type="dxa"/>
            <w:vAlign w:val="center"/>
          </w:tcPr>
          <w:p w14:paraId="17321BC8">
            <w:pPr>
              <w:bidi w:val="0"/>
              <w:spacing w:before="0" w:beforeAutospacing="0" w:after="0" w:afterAutospacing="0"/>
            </w:pPr>
            <w:r>
              <w:t>Usually 1</w:t>
            </w:r>
          </w:p>
        </w:tc>
        <w:tc>
          <w:tcPr>
            <w:tcW w:w="2100" w:type="dxa"/>
            <w:vAlign w:val="center"/>
          </w:tcPr>
          <w:p w14:paraId="5C5BF9CE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850" w:type="dxa"/>
            <w:vAlign w:val="center"/>
          </w:tcPr>
          <w:p w14:paraId="56074540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143" w:type="dxa"/>
            <w:vAlign w:val="center"/>
          </w:tcPr>
          <w:p w14:paraId="3D3C36F4">
            <w:pPr>
              <w:bidi w:val="0"/>
              <w:spacing w:before="0" w:beforeAutospacing="0" w:after="0" w:afterAutospacing="0"/>
            </w:pPr>
            <w:r>
              <w:t>Multiple flows encode message</w:t>
            </w:r>
          </w:p>
        </w:tc>
      </w:tr>
    </w:tbl>
    <w:p w14:paraId="557859B2"/>
    <w:p w14:paraId="3F840F4E">
      <w:pPr>
        <w:pStyle w:val="2"/>
        <w:bidi w:val="0"/>
        <w:spacing w:before="299" w:beforeAutospacing="0" w:after="299" w:afterAutospacing="0"/>
      </w:pPr>
      <w:r>
        <w:rPr>
          <w:rFonts w:ascii="Aptos" w:hAnsi="Aptos" w:eastAsia="Aptos" w:cs="Aptos"/>
          <w:b/>
          <w:bCs/>
          <w:sz w:val="36"/>
          <w:szCs w:val="36"/>
          <w:lang w:val="en-US"/>
        </w:rPr>
        <w:t>Table 4: ICMP (From Your Dataset)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774"/>
        <w:gridCol w:w="2430"/>
        <w:gridCol w:w="1876"/>
        <w:gridCol w:w="2010"/>
      </w:tblGrid>
      <w:tr w14:paraId="7AC6A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0" w:type="dxa"/>
            <w:vAlign w:val="center"/>
          </w:tcPr>
          <w:p w14:paraId="0C7439A8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Category / Field</w:t>
            </w:r>
          </w:p>
        </w:tc>
        <w:tc>
          <w:tcPr>
            <w:tcW w:w="1774" w:type="dxa"/>
            <w:vAlign w:val="center"/>
          </w:tcPr>
          <w:p w14:paraId="50E9C278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Normal (Baseline Traffic)</w:t>
            </w:r>
          </w:p>
        </w:tc>
        <w:tc>
          <w:tcPr>
            <w:tcW w:w="2430" w:type="dxa"/>
            <w:vAlign w:val="center"/>
          </w:tcPr>
          <w:p w14:paraId="2FFA6BF6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Header Manipulation (Covert)</w:t>
            </w:r>
          </w:p>
        </w:tc>
        <w:tc>
          <w:tcPr>
            <w:tcW w:w="1876" w:type="dxa"/>
            <w:vAlign w:val="center"/>
          </w:tcPr>
          <w:p w14:paraId="46E7D8EA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Time Obfuscation (Covert)</w:t>
            </w:r>
          </w:p>
        </w:tc>
        <w:tc>
          <w:tcPr>
            <w:tcW w:w="2010" w:type="dxa"/>
            <w:vAlign w:val="center"/>
          </w:tcPr>
          <w:p w14:paraId="4F4D88C5">
            <w:pPr>
              <w:bidi w:val="0"/>
              <w:spacing w:before="0" w:beforeAutospacing="0" w:after="0" w:afterAutospacing="0"/>
              <w:jc w:val="center"/>
            </w:pPr>
            <w:r>
              <w:rPr>
                <w:b/>
                <w:bCs/>
              </w:rPr>
              <w:t>Flow Bending (Covert)</w:t>
            </w:r>
          </w:p>
        </w:tc>
      </w:tr>
      <w:tr w14:paraId="6777D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0" w:type="dxa"/>
            <w:vAlign w:val="center"/>
          </w:tcPr>
          <w:p w14:paraId="3D7262E2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ICMP Type</w:t>
            </w:r>
          </w:p>
        </w:tc>
        <w:tc>
          <w:tcPr>
            <w:tcW w:w="1774" w:type="dxa"/>
            <w:vAlign w:val="center"/>
          </w:tcPr>
          <w:p w14:paraId="3758789A">
            <w:pPr>
              <w:bidi w:val="0"/>
              <w:spacing w:before="0" w:beforeAutospacing="0" w:after="0" w:afterAutospacing="0"/>
            </w:pPr>
            <w:r>
              <w:t>Standard Echo / Reply</w:t>
            </w:r>
          </w:p>
        </w:tc>
        <w:tc>
          <w:tcPr>
            <w:tcW w:w="2430" w:type="dxa"/>
            <w:vAlign w:val="center"/>
          </w:tcPr>
          <w:p w14:paraId="5864A698">
            <w:pPr>
              <w:bidi w:val="0"/>
              <w:spacing w:before="0" w:beforeAutospacing="0" w:after="0" w:afterAutospacing="0"/>
            </w:pPr>
            <w:r>
              <w:t>Type field encodes bits</w:t>
            </w:r>
          </w:p>
        </w:tc>
        <w:tc>
          <w:tcPr>
            <w:tcW w:w="1876" w:type="dxa"/>
            <w:vAlign w:val="center"/>
          </w:tcPr>
          <w:p w14:paraId="0CE60F7E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010" w:type="dxa"/>
            <w:vAlign w:val="center"/>
          </w:tcPr>
          <w:p w14:paraId="3AA8DBF8">
            <w:pPr>
              <w:bidi w:val="0"/>
              <w:spacing w:before="0" w:beforeAutospacing="0" w:after="0" w:afterAutospacing="0"/>
            </w:pPr>
            <w:r>
              <w:t>Alternating ICMP types</w:t>
            </w:r>
          </w:p>
        </w:tc>
      </w:tr>
      <w:tr w14:paraId="5800DC8B">
        <w:trPr>
          <w:trHeight w:val="300" w:hRule="atLeast"/>
        </w:trPr>
        <w:tc>
          <w:tcPr>
            <w:tcW w:w="1270" w:type="dxa"/>
            <w:vAlign w:val="center"/>
          </w:tcPr>
          <w:p w14:paraId="2D19EB84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ICMP Code</w:t>
            </w:r>
          </w:p>
        </w:tc>
        <w:tc>
          <w:tcPr>
            <w:tcW w:w="1774" w:type="dxa"/>
            <w:vAlign w:val="center"/>
          </w:tcPr>
          <w:p w14:paraId="19F0F24A">
            <w:pPr>
              <w:bidi w:val="0"/>
              <w:spacing w:before="0" w:beforeAutospacing="0" w:after="0" w:afterAutospacing="0"/>
            </w:pPr>
            <w:r>
              <w:t>Fixed per type</w:t>
            </w:r>
          </w:p>
        </w:tc>
        <w:tc>
          <w:tcPr>
            <w:tcW w:w="2430" w:type="dxa"/>
            <w:vAlign w:val="center"/>
          </w:tcPr>
          <w:p w14:paraId="7EA94503">
            <w:pPr>
              <w:bidi w:val="0"/>
              <w:spacing w:before="0" w:beforeAutospacing="0" w:after="0" w:afterAutospacing="0"/>
            </w:pPr>
            <w:r>
              <w:t>Code field encodes data</w:t>
            </w:r>
          </w:p>
        </w:tc>
        <w:tc>
          <w:tcPr>
            <w:tcW w:w="1876" w:type="dxa"/>
            <w:vAlign w:val="center"/>
          </w:tcPr>
          <w:p w14:paraId="7FA2BE4F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010" w:type="dxa"/>
            <w:vAlign w:val="center"/>
          </w:tcPr>
          <w:p w14:paraId="571F0D7B">
            <w:pPr>
              <w:bidi w:val="0"/>
              <w:spacing w:before="0" w:beforeAutospacing="0" w:after="0" w:afterAutospacing="0"/>
            </w:pPr>
            <w:r>
              <w:t>Code sequence across packets</w:t>
            </w:r>
          </w:p>
        </w:tc>
      </w:tr>
      <w:tr w14:paraId="1D45B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0" w:type="dxa"/>
            <w:vAlign w:val="center"/>
          </w:tcPr>
          <w:p w14:paraId="42011094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Identifier</w:t>
            </w:r>
          </w:p>
        </w:tc>
        <w:tc>
          <w:tcPr>
            <w:tcW w:w="1774" w:type="dxa"/>
            <w:vAlign w:val="center"/>
          </w:tcPr>
          <w:p w14:paraId="7C7231A0">
            <w:pPr>
              <w:bidi w:val="0"/>
              <w:spacing w:before="0" w:beforeAutospacing="0" w:after="0" w:afterAutospacing="0"/>
            </w:pPr>
            <w:r>
              <w:t>Constant per session</w:t>
            </w:r>
          </w:p>
        </w:tc>
        <w:tc>
          <w:tcPr>
            <w:tcW w:w="2430" w:type="dxa"/>
            <w:vAlign w:val="center"/>
          </w:tcPr>
          <w:p w14:paraId="370B0B4F">
            <w:pPr>
              <w:bidi w:val="0"/>
              <w:spacing w:before="0" w:beforeAutospacing="0" w:after="0" w:afterAutospacing="0"/>
            </w:pPr>
            <w:r>
              <w:t>Identifier bits encode data</w:t>
            </w:r>
          </w:p>
        </w:tc>
        <w:tc>
          <w:tcPr>
            <w:tcW w:w="1876" w:type="dxa"/>
            <w:vAlign w:val="center"/>
          </w:tcPr>
          <w:p w14:paraId="70EE3717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010" w:type="dxa"/>
            <w:vAlign w:val="center"/>
          </w:tcPr>
          <w:p w14:paraId="56CE96FF">
            <w:pPr>
              <w:bidi w:val="0"/>
              <w:spacing w:before="0" w:beforeAutospacing="0" w:after="0" w:afterAutospacing="0"/>
            </w:pPr>
            <w:r>
              <w:t>Identifier patterns across flows</w:t>
            </w:r>
          </w:p>
        </w:tc>
      </w:tr>
      <w:tr w14:paraId="054C2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0" w:type="dxa"/>
            <w:vAlign w:val="center"/>
          </w:tcPr>
          <w:p w14:paraId="002CE233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Sequence Number</w:t>
            </w:r>
          </w:p>
        </w:tc>
        <w:tc>
          <w:tcPr>
            <w:tcW w:w="1774" w:type="dxa"/>
            <w:vAlign w:val="center"/>
          </w:tcPr>
          <w:p w14:paraId="32F487F7">
            <w:pPr>
              <w:bidi w:val="0"/>
              <w:spacing w:before="0" w:beforeAutospacing="0" w:after="0" w:afterAutospacing="0"/>
            </w:pPr>
            <w:r>
              <w:t>Incremental</w:t>
            </w:r>
          </w:p>
        </w:tc>
        <w:tc>
          <w:tcPr>
            <w:tcW w:w="2430" w:type="dxa"/>
            <w:vAlign w:val="center"/>
          </w:tcPr>
          <w:p w14:paraId="4BB30581">
            <w:pPr>
              <w:bidi w:val="0"/>
              <w:spacing w:before="0" w:beforeAutospacing="0" w:after="0" w:afterAutospacing="0"/>
            </w:pPr>
            <w:r>
              <w:t>Sequence number carries covert bits</w:t>
            </w:r>
          </w:p>
        </w:tc>
        <w:tc>
          <w:tcPr>
            <w:tcW w:w="1876" w:type="dxa"/>
            <w:vAlign w:val="center"/>
          </w:tcPr>
          <w:p w14:paraId="280285DE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010" w:type="dxa"/>
            <w:vAlign w:val="center"/>
          </w:tcPr>
          <w:p w14:paraId="7FD507E5">
            <w:pPr>
              <w:bidi w:val="0"/>
              <w:spacing w:before="0" w:beforeAutospacing="0" w:after="0" w:afterAutospacing="0"/>
            </w:pPr>
            <w:r>
              <w:t>Reordered sequences</w:t>
            </w:r>
          </w:p>
        </w:tc>
      </w:tr>
      <w:tr w14:paraId="6B9E6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0" w:type="dxa"/>
            <w:vAlign w:val="center"/>
          </w:tcPr>
          <w:p w14:paraId="5E68F652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Payload Size</w:t>
            </w:r>
          </w:p>
        </w:tc>
        <w:tc>
          <w:tcPr>
            <w:tcW w:w="1774" w:type="dxa"/>
            <w:vAlign w:val="center"/>
          </w:tcPr>
          <w:p w14:paraId="6E786D51">
            <w:pPr>
              <w:bidi w:val="0"/>
              <w:spacing w:before="0" w:beforeAutospacing="0" w:after="0" w:afterAutospacing="0"/>
            </w:pPr>
            <w:r>
              <w:t>Constant</w:t>
            </w:r>
          </w:p>
        </w:tc>
        <w:tc>
          <w:tcPr>
            <w:tcW w:w="2430" w:type="dxa"/>
            <w:vAlign w:val="center"/>
          </w:tcPr>
          <w:p w14:paraId="034DD204">
            <w:pPr>
              <w:bidi w:val="0"/>
              <w:spacing w:before="0" w:beforeAutospacing="0" w:after="0" w:afterAutospacing="0"/>
            </w:pPr>
            <w:r>
              <w:t>Payload length variation encodes bits</w:t>
            </w:r>
          </w:p>
        </w:tc>
        <w:tc>
          <w:tcPr>
            <w:tcW w:w="1876" w:type="dxa"/>
            <w:vAlign w:val="center"/>
          </w:tcPr>
          <w:p w14:paraId="7A3DC263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2010" w:type="dxa"/>
            <w:vAlign w:val="center"/>
          </w:tcPr>
          <w:p w14:paraId="1114C862">
            <w:pPr>
              <w:bidi w:val="0"/>
              <w:spacing w:before="0" w:beforeAutospacing="0" w:after="0" w:afterAutospacing="0"/>
            </w:pPr>
            <w:r>
              <w:t>Payload split across packets</w:t>
            </w:r>
          </w:p>
        </w:tc>
      </w:tr>
      <w:tr w14:paraId="20556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0" w:type="dxa"/>
            <w:vAlign w:val="center"/>
          </w:tcPr>
          <w:p w14:paraId="25F25016">
            <w:pPr>
              <w:bidi w:val="0"/>
              <w:spacing w:before="0" w:beforeAutospacing="0" w:after="0" w:afterAutospacing="0"/>
            </w:pPr>
            <w:r>
              <w:rPr>
                <w:b/>
                <w:bCs/>
              </w:rPr>
              <w:t>Packet Timing</w:t>
            </w:r>
          </w:p>
        </w:tc>
        <w:tc>
          <w:tcPr>
            <w:tcW w:w="1774" w:type="dxa"/>
            <w:vAlign w:val="center"/>
          </w:tcPr>
          <w:p w14:paraId="3E256132">
            <w:pPr>
              <w:bidi w:val="0"/>
              <w:spacing w:before="0" w:beforeAutospacing="0" w:after="0" w:afterAutospacing="0"/>
            </w:pPr>
            <w:r>
              <w:t>Irregular but natural</w:t>
            </w:r>
          </w:p>
        </w:tc>
        <w:tc>
          <w:tcPr>
            <w:tcW w:w="2430" w:type="dxa"/>
            <w:vAlign w:val="center"/>
          </w:tcPr>
          <w:p w14:paraId="1312C824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  <w:tc>
          <w:tcPr>
            <w:tcW w:w="1876" w:type="dxa"/>
            <w:vAlign w:val="center"/>
          </w:tcPr>
          <w:p w14:paraId="756B9982">
            <w:pPr>
              <w:bidi w:val="0"/>
              <w:spacing w:before="0" w:beforeAutospacing="0" w:after="0" w:afterAutospacing="0"/>
            </w:pPr>
            <w:r>
              <w:t>Timing gaps encode bits</w:t>
            </w:r>
          </w:p>
        </w:tc>
        <w:tc>
          <w:tcPr>
            <w:tcW w:w="2010" w:type="dxa"/>
            <w:vAlign w:val="center"/>
          </w:tcPr>
          <w:p w14:paraId="713D90A7">
            <w:pPr>
              <w:bidi w:val="0"/>
              <w:spacing w:before="0" w:beforeAutospacing="0" w:after="0" w:afterAutospacing="0"/>
            </w:pPr>
            <w:r>
              <w:t>Same as normal</w:t>
            </w:r>
          </w:p>
        </w:tc>
      </w:tr>
    </w:tbl>
    <w:p w14:paraId="2F9CF950"/>
    <w:p w14:paraId="1E90FD28">
      <w:pPr>
        <w:pStyle w:val="3"/>
        <w:bidi w:val="0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✅ Summary (Very Important)</w:t>
      </w:r>
    </w:p>
    <w:p w14:paraId="621CD7C4">
      <w:pPr>
        <w:pStyle w:val="7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✔ All tables are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derived from your dataset structure</w:t>
      </w:r>
    </w:p>
    <w:p w14:paraId="35245A4F">
      <w:pPr>
        <w:pStyle w:val="7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✔ No new protocols, no invented values</w:t>
      </w:r>
    </w:p>
    <w:p w14:paraId="33EAFC9A">
      <w:pPr>
        <w:pStyle w:val="7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✔ Covert techniques use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existing fields only</w:t>
      </w:r>
    </w:p>
    <w:p w14:paraId="6F0A1A25">
      <w:pPr>
        <w:pStyle w:val="7"/>
        <w:numPr>
          <w:ilvl w:val="0"/>
          <w:numId w:val="2"/>
        </w:numPr>
        <w:bidi w:val="0"/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✔ Suitable for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research paper / thesis / dataset explanation</w:t>
      </w:r>
    </w:p>
    <w:p w14:paraId="12C558D3">
      <w:pPr>
        <w:bidi w:val="0"/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If you want next:</w:t>
      </w:r>
    </w:p>
    <w:p w14:paraId="0F60E2B6">
      <w:pPr>
        <w:pStyle w:val="7"/>
        <w:numPr>
          <w:ilvl w:val="0"/>
          <w:numId w:val="3"/>
        </w:numPr>
        <w:bidi w:val="0"/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📄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Academic-ready version</w:t>
      </w:r>
    </w:p>
    <w:p w14:paraId="6860234E">
      <w:pPr>
        <w:pStyle w:val="7"/>
        <w:numPr>
          <w:ilvl w:val="0"/>
          <w:numId w:val="3"/>
        </w:numPr>
        <w:bidi w:val="0"/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📊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Mapping table from CSV column → covert technique</w:t>
      </w:r>
    </w:p>
    <w:p w14:paraId="063DF9D0">
      <w:pPr>
        <w:pStyle w:val="7"/>
        <w:numPr>
          <w:ilvl w:val="0"/>
          <w:numId w:val="3"/>
        </w:numPr>
        <w:bidi w:val="0"/>
        <w:spacing w:before="240" w:beforeAutospacing="0" w:after="240" w:afterAutospacing="0"/>
        <w:rPr>
          <w:rFonts w:ascii="Aptos" w:hAnsi="Aptos" w:eastAsia="Aptos" w:cs="Aptos"/>
          <w:b/>
          <w:bCs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 xml:space="preserve">🧠 </w:t>
      </w:r>
      <w:r>
        <w:rPr>
          <w:rFonts w:ascii="Aptos" w:hAnsi="Aptos" w:eastAsia="Aptos" w:cs="Aptos"/>
          <w:b/>
          <w:bCs/>
          <w:sz w:val="24"/>
          <w:szCs w:val="24"/>
          <w:lang w:val="en-US"/>
        </w:rPr>
        <w:t>Which ML features detect which covert method</w:t>
      </w:r>
    </w:p>
    <w:p w14:paraId="2C74160E">
      <w:pPr>
        <w:bidi w:val="0"/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Just tell me.</w:t>
      </w:r>
    </w:p>
    <w:p w14:paraId="0ED0418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0EBE1"/>
    <w:multiLevelType w:val="multilevel"/>
    <w:tmpl w:val="1100EB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CE5BBD3"/>
    <w:multiLevelType w:val="multilevel"/>
    <w:tmpl w:val="2CE5BB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BA11261"/>
    <w:multiLevelType w:val="multilevel"/>
    <w:tmpl w:val="7BA112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61A68"/>
    <w:rsid w:val="2255BEE9"/>
    <w:rsid w:val="34A51C1B"/>
    <w:rsid w:val="46861A68"/>
    <w:rsid w:val="7CA9F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2026-01-30T16:38:00Z</dcterms:created>
  <dc:creator>shamamamuzaffar@gmail.com</dc:creator>
  <cp:lastModifiedBy>malai</cp:lastModifiedBy>
  <dcterms:modified xsi:type="dcterms:W3CDTF">2026-03-20T06:20:36Z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C439049842334352B4E954FBD76F0DC1_12</vt:lpwstr>
  </property>
</Properties>
</file>