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EA394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 xml:space="preserve">Based on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all the normal DNS data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and the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covert/malicious DNS data you shared earlier</w:t>
      </w:r>
      <w:r>
        <w:rPr>
          <w:rFonts w:ascii="Aptos" w:hAnsi="Aptos" w:eastAsia="Aptos" w:cs="Aptos"/>
          <w:sz w:val="24"/>
          <w:szCs w:val="24"/>
          <w:lang w:val="en-US"/>
        </w:rPr>
        <w:t xml:space="preserve">, here is a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clear comparison table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showing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which DNS packet/data fields differ</w:t>
      </w:r>
      <w:r>
        <w:rPr>
          <w:rFonts w:ascii="Aptos" w:hAnsi="Aptos" w:eastAsia="Aptos" w:cs="Aptos"/>
          <w:sz w:val="24"/>
          <w:szCs w:val="24"/>
          <w:lang w:val="en-US"/>
        </w:rPr>
        <w:t xml:space="preserve">, and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how normal vs covert DNS looks in practice</w:t>
      </w:r>
      <w:r>
        <w:rPr>
          <w:rFonts w:ascii="Aptos" w:hAnsi="Aptos" w:eastAsia="Aptos" w:cs="Aptos"/>
          <w:sz w:val="24"/>
          <w:szCs w:val="24"/>
          <w:lang w:val="en-US"/>
        </w:rPr>
        <w:t>.</w:t>
      </w:r>
    </w:p>
    <w:p w14:paraId="50E842C8"/>
    <w:p w14:paraId="739CAA16">
      <w:pPr>
        <w:pStyle w:val="2"/>
        <w:spacing w:before="299" w:beforeAutospacing="0" w:after="299" w:afterAutospacing="0"/>
      </w:pPr>
      <w:r>
        <w:rPr>
          <w:rFonts w:ascii="Aptos" w:hAnsi="Aptos" w:eastAsia="Aptos" w:cs="Aptos"/>
          <w:b/>
          <w:bCs/>
          <w:sz w:val="36"/>
          <w:szCs w:val="36"/>
          <w:lang w:val="en-US"/>
        </w:rPr>
        <w:t>🧠 Normal DNS vs Covert (Tunneled) DNS – Comparative Analysis Table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923"/>
        <w:gridCol w:w="5727"/>
      </w:tblGrid>
      <w:tr w14:paraId="35652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3B8EF49D">
            <w:pPr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DNS Field / Feature</w:t>
            </w:r>
          </w:p>
        </w:tc>
        <w:tc>
          <w:tcPr>
            <w:tcW w:w="2718" w:type="dxa"/>
            <w:vAlign w:val="center"/>
          </w:tcPr>
          <w:p w14:paraId="4DC6E5AA">
            <w:pPr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Normal DNS Traffic (From Your Benign Data)</w:t>
            </w:r>
          </w:p>
        </w:tc>
        <w:tc>
          <w:tcPr>
            <w:tcW w:w="4968" w:type="dxa"/>
            <w:vAlign w:val="center"/>
          </w:tcPr>
          <w:p w14:paraId="27C2E78E">
            <w:pPr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Covert / Malicious DNS Traffic (From Your Covert Data)</w:t>
            </w:r>
          </w:p>
        </w:tc>
      </w:tr>
      <w:tr w14:paraId="305B2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5C552FE9">
            <w:pPr>
              <w:spacing w:before="0" w:beforeAutospacing="0" w:after="0" w:afterAutospacing="0"/>
            </w:pPr>
            <w:r>
              <w:rPr>
                <w:b/>
                <w:bCs/>
              </w:rPr>
              <w:t>DNS Purpose</w:t>
            </w:r>
          </w:p>
        </w:tc>
        <w:tc>
          <w:tcPr>
            <w:tcW w:w="2718" w:type="dxa"/>
            <w:vAlign w:val="center"/>
          </w:tcPr>
          <w:p w14:paraId="2DFFE806">
            <w:pPr>
              <w:spacing w:before="0" w:beforeAutospacing="0" w:after="0" w:afterAutospacing="0"/>
            </w:pPr>
            <w:r>
              <w:t>Name resolution</w:t>
            </w:r>
          </w:p>
        </w:tc>
        <w:tc>
          <w:tcPr>
            <w:tcW w:w="4968" w:type="dxa"/>
            <w:vAlign w:val="center"/>
          </w:tcPr>
          <w:p w14:paraId="5759053E">
            <w:pPr>
              <w:spacing w:before="0" w:beforeAutospacing="0" w:after="0" w:afterAutospacing="0"/>
            </w:pPr>
            <w:r>
              <w:t>Data exfiltration / C2 communication</w:t>
            </w:r>
          </w:p>
        </w:tc>
      </w:tr>
      <w:tr w14:paraId="213A0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3DB0E58E">
            <w:pPr>
              <w:spacing w:before="0" w:beforeAutospacing="0" w:after="0" w:afterAutospacing="0"/>
            </w:pPr>
            <w:r>
              <w:rPr>
                <w:b/>
                <w:bCs/>
              </w:rPr>
              <w:t>Query Domain Name</w:t>
            </w:r>
          </w:p>
        </w:tc>
        <w:tc>
          <w:tcPr>
            <w:tcW w:w="2718" w:type="dxa"/>
            <w:vAlign w:val="center"/>
          </w:tcPr>
          <w:p w14:paraId="58C15098">
            <w:pPr>
              <w:spacing w:before="0" w:beforeAutospacing="0" w:after="0" w:afterAutospacing="0"/>
            </w:pPr>
            <w:r>
              <w:t xml:space="preserve">Human-readable (e.g., </w:t>
            </w:r>
            <w:r>
              <w:fldChar w:fldCharType="begin"/>
            </w:r>
            <w:r>
              <w:instrText xml:space="preserve"> HYPERLINK "https://www.airbnb.tools" \h </w:instrText>
            </w:r>
            <w:r>
              <w:fldChar w:fldCharType="separate"/>
            </w:r>
            <w:r>
              <w:rPr>
                <w:rStyle w:val="5"/>
                <w:rFonts w:ascii="Consolas" w:hAnsi="Consolas" w:eastAsia="Consolas" w:cs="Consolas"/>
              </w:rPr>
              <w:t>www.airbnb.tools</w:t>
            </w:r>
            <w:r>
              <w:rPr>
                <w:rStyle w:val="5"/>
                <w:rFonts w:ascii="Consolas" w:hAnsi="Consolas" w:eastAsia="Consolas" w:cs="Consolas"/>
              </w:rPr>
              <w:fldChar w:fldCharType="end"/>
            </w:r>
            <w:r>
              <w:t>)</w:t>
            </w:r>
          </w:p>
        </w:tc>
        <w:tc>
          <w:tcPr>
            <w:tcW w:w="4968" w:type="dxa"/>
            <w:vAlign w:val="center"/>
          </w:tcPr>
          <w:p w14:paraId="017C907F">
            <w:pPr>
              <w:spacing w:before="0" w:beforeAutospacing="0" w:after="0" w:afterAutospacing="0"/>
            </w:pPr>
            <w:r>
              <w:t xml:space="preserve">Random-looking, encoded (e.g., </w:t>
            </w:r>
            <w:r>
              <w:rPr>
                <w:rFonts w:ascii="Consolas" w:hAnsi="Consolas" w:eastAsia="Consolas" w:cs="Consolas"/>
              </w:rPr>
              <w:t>ce7e01cccd96c95965437b031e65fa8655.bot.hackbiji.top</w:t>
            </w:r>
            <w:r>
              <w:t>)</w:t>
            </w:r>
          </w:p>
        </w:tc>
      </w:tr>
      <w:tr w14:paraId="4ACC5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7E9545B4">
            <w:pPr>
              <w:spacing w:before="0" w:beforeAutospacing="0" w:after="0" w:afterAutospacing="0"/>
            </w:pPr>
            <w:r>
              <w:rPr>
                <w:b/>
                <w:bCs/>
              </w:rPr>
              <w:t>Subdomain Structure</w:t>
            </w:r>
          </w:p>
        </w:tc>
        <w:tc>
          <w:tcPr>
            <w:tcW w:w="2718" w:type="dxa"/>
            <w:vAlign w:val="center"/>
          </w:tcPr>
          <w:p w14:paraId="3E117194">
            <w:pPr>
              <w:spacing w:before="0" w:beforeAutospacing="0" w:after="0" w:afterAutospacing="0"/>
            </w:pPr>
            <w:r>
              <w:t>Short, meaningful labels</w:t>
            </w:r>
          </w:p>
        </w:tc>
        <w:tc>
          <w:tcPr>
            <w:tcW w:w="4968" w:type="dxa"/>
            <w:vAlign w:val="center"/>
          </w:tcPr>
          <w:p w14:paraId="1DFCB89C">
            <w:pPr>
              <w:spacing w:before="0" w:beforeAutospacing="0" w:after="0" w:afterAutospacing="0"/>
            </w:pPr>
            <w:r>
              <w:t>Very long, hex/base32-like strings</w:t>
            </w:r>
          </w:p>
        </w:tc>
      </w:tr>
      <w:tr w14:paraId="133C7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31C2FBA7">
            <w:pPr>
              <w:spacing w:before="0" w:beforeAutospacing="0" w:after="0" w:afterAutospacing="0"/>
            </w:pPr>
            <w:r>
              <w:rPr>
                <w:b/>
                <w:bCs/>
              </w:rPr>
              <w:t>Domain Name Length</w:t>
            </w:r>
          </w:p>
        </w:tc>
        <w:tc>
          <w:tcPr>
            <w:tcW w:w="2718" w:type="dxa"/>
            <w:vAlign w:val="center"/>
          </w:tcPr>
          <w:p w14:paraId="57D01CAA">
            <w:pPr>
              <w:spacing w:before="0" w:beforeAutospacing="0" w:after="0" w:afterAutospacing="0"/>
            </w:pPr>
            <w:r>
              <w:t>Short–medium (10–30 chars)</w:t>
            </w:r>
          </w:p>
        </w:tc>
        <w:tc>
          <w:tcPr>
            <w:tcW w:w="4968" w:type="dxa"/>
            <w:vAlign w:val="center"/>
          </w:tcPr>
          <w:p w14:paraId="0E389E02">
            <w:pPr>
              <w:spacing w:before="0" w:beforeAutospacing="0" w:after="0" w:afterAutospacing="0"/>
            </w:pPr>
            <w:r>
              <w:t>Very long (40–70+ chars)</w:t>
            </w:r>
          </w:p>
        </w:tc>
      </w:tr>
      <w:tr w14:paraId="47000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0E6821AF">
            <w:pPr>
              <w:spacing w:before="0" w:beforeAutospacing="0" w:after="0" w:afterAutospacing="0"/>
            </w:pPr>
            <w:r>
              <w:rPr>
                <w:b/>
                <w:bCs/>
              </w:rPr>
              <w:t>Subdomain Length</w:t>
            </w:r>
          </w:p>
        </w:tc>
        <w:tc>
          <w:tcPr>
            <w:tcW w:w="2718" w:type="dxa"/>
            <w:vAlign w:val="center"/>
          </w:tcPr>
          <w:p w14:paraId="1B1C47A5">
            <w:pPr>
              <w:spacing w:before="0" w:beforeAutospacing="0" w:after="0" w:afterAutospacing="0"/>
            </w:pPr>
            <w:r>
              <w:t>Small (2–14 chars)</w:t>
            </w:r>
          </w:p>
        </w:tc>
        <w:tc>
          <w:tcPr>
            <w:tcW w:w="4968" w:type="dxa"/>
            <w:vAlign w:val="center"/>
          </w:tcPr>
          <w:p w14:paraId="12911EE6">
            <w:pPr>
              <w:spacing w:before="0" w:beforeAutospacing="0" w:after="0" w:afterAutospacing="0"/>
            </w:pPr>
            <w:r>
              <w:t>Very large (30–50+ chars)</w:t>
            </w:r>
          </w:p>
        </w:tc>
      </w:tr>
      <w:tr w14:paraId="7594B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5D854ED8">
            <w:pPr>
              <w:spacing w:before="0" w:beforeAutospacing="0" w:after="0" w:afterAutospacing="0"/>
            </w:pPr>
            <w:r>
              <w:rPr>
                <w:b/>
                <w:bCs/>
              </w:rPr>
              <w:t>Character Set</w:t>
            </w:r>
          </w:p>
        </w:tc>
        <w:tc>
          <w:tcPr>
            <w:tcW w:w="2718" w:type="dxa"/>
            <w:vAlign w:val="center"/>
          </w:tcPr>
          <w:p w14:paraId="7E76D0E7">
            <w:pPr>
              <w:spacing w:before="0" w:beforeAutospacing="0" w:after="0" w:afterAutospacing="0"/>
            </w:pPr>
            <w:r>
              <w:t>Mostly letters, few digits</w:t>
            </w:r>
          </w:p>
        </w:tc>
        <w:tc>
          <w:tcPr>
            <w:tcW w:w="4968" w:type="dxa"/>
            <w:vAlign w:val="center"/>
          </w:tcPr>
          <w:p w14:paraId="51CFBCE8">
            <w:pPr>
              <w:spacing w:before="0" w:beforeAutospacing="0" w:after="0" w:afterAutospacing="0"/>
            </w:pPr>
            <w:r>
              <w:t>Heavy use of hex/alphanumeric</w:t>
            </w:r>
          </w:p>
        </w:tc>
      </w:tr>
      <w:tr w14:paraId="31589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1C89C622">
            <w:pPr>
              <w:spacing w:before="0" w:beforeAutospacing="0" w:after="0" w:afterAutospacing="0"/>
            </w:pPr>
            <w:r>
              <w:rPr>
                <w:b/>
                <w:bCs/>
              </w:rPr>
              <w:t>Numerical Percentage</w:t>
            </w:r>
          </w:p>
        </w:tc>
        <w:tc>
          <w:tcPr>
            <w:tcW w:w="2718" w:type="dxa"/>
            <w:vAlign w:val="center"/>
          </w:tcPr>
          <w:p w14:paraId="62E23764">
            <w:pPr>
              <w:spacing w:before="0" w:beforeAutospacing="0" w:after="0" w:afterAutospacing="0"/>
            </w:pPr>
            <w:r>
              <w:t>0–15%</w:t>
            </w:r>
          </w:p>
        </w:tc>
        <w:tc>
          <w:tcPr>
            <w:tcW w:w="4968" w:type="dxa"/>
            <w:vAlign w:val="center"/>
          </w:tcPr>
          <w:p w14:paraId="351C3EDD">
            <w:pPr>
              <w:spacing w:before="0" w:beforeAutospacing="0" w:after="0" w:afterAutospacing="0"/>
            </w:pPr>
            <w:r>
              <w:t>High (20–60%+)</w:t>
            </w:r>
          </w:p>
        </w:tc>
      </w:tr>
      <w:tr w14:paraId="07B06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40FFDB0F">
            <w:pPr>
              <w:spacing w:before="0" w:beforeAutospacing="0" w:after="0" w:afterAutospacing="0"/>
            </w:pPr>
            <w:r>
              <w:rPr>
                <w:b/>
                <w:bCs/>
              </w:rPr>
              <w:t>Character Entropy</w:t>
            </w:r>
          </w:p>
        </w:tc>
        <w:tc>
          <w:tcPr>
            <w:tcW w:w="2718" w:type="dxa"/>
            <w:vAlign w:val="center"/>
          </w:tcPr>
          <w:p w14:paraId="73ECDE99">
            <w:pPr>
              <w:spacing w:before="0" w:beforeAutospacing="0" w:after="0" w:afterAutospacing="0"/>
            </w:pPr>
            <w:r>
              <w:t>Low–moderate (≈2.5–3.8)</w:t>
            </w:r>
          </w:p>
        </w:tc>
        <w:tc>
          <w:tcPr>
            <w:tcW w:w="4968" w:type="dxa"/>
            <w:vAlign w:val="center"/>
          </w:tcPr>
          <w:p w14:paraId="4DB0E585">
            <w:pPr>
              <w:spacing w:before="0" w:beforeAutospacing="0" w:after="0" w:afterAutospacing="0"/>
            </w:pPr>
            <w:r>
              <w:t>High (≈4.2–5.0)</w:t>
            </w:r>
          </w:p>
        </w:tc>
      </w:tr>
      <w:tr w14:paraId="68CE2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703C1B31">
            <w:pPr>
              <w:spacing w:before="0" w:beforeAutospacing="0" w:after="0" w:afterAutospacing="0"/>
            </w:pPr>
            <w:r>
              <w:rPr>
                <w:b/>
                <w:bCs/>
              </w:rPr>
              <w:t>N-gram Patterns</w:t>
            </w:r>
          </w:p>
        </w:tc>
        <w:tc>
          <w:tcPr>
            <w:tcW w:w="2718" w:type="dxa"/>
            <w:vAlign w:val="center"/>
          </w:tcPr>
          <w:p w14:paraId="2E3F5403">
            <w:pPr>
              <w:spacing w:before="0" w:beforeAutospacing="0" w:after="0" w:afterAutospacing="0"/>
            </w:pPr>
            <w:r>
              <w:t>Linguistic (</w:t>
            </w:r>
            <w:r>
              <w:rPr>
                <w:rFonts w:ascii="Consolas" w:hAnsi="Consolas" w:eastAsia="Consolas" w:cs="Consolas"/>
              </w:rPr>
              <w:t>air</w:t>
            </w:r>
            <w:r>
              <w:t xml:space="preserve">, </w:t>
            </w:r>
            <w:r>
              <w:rPr>
                <w:rFonts w:ascii="Consolas" w:hAnsi="Consolas" w:eastAsia="Consolas" w:cs="Consolas"/>
              </w:rPr>
              <w:t>com</w:t>
            </w:r>
            <w:r>
              <w:t xml:space="preserve">, </w:t>
            </w:r>
            <w:r>
              <w:rPr>
                <w:rFonts w:ascii="Consolas" w:hAnsi="Consolas" w:eastAsia="Consolas" w:cs="Consolas"/>
              </w:rPr>
              <w:t>shop</w:t>
            </w:r>
            <w:r>
              <w:t>)</w:t>
            </w:r>
          </w:p>
        </w:tc>
        <w:tc>
          <w:tcPr>
            <w:tcW w:w="4968" w:type="dxa"/>
            <w:vAlign w:val="center"/>
          </w:tcPr>
          <w:p w14:paraId="368281AA">
            <w:pPr>
              <w:spacing w:before="0" w:beforeAutospacing="0" w:after="0" w:afterAutospacing="0"/>
            </w:pPr>
            <w:r>
              <w:t>Random (</w:t>
            </w:r>
            <w:r>
              <w:rPr>
                <w:rFonts w:ascii="Consolas" w:hAnsi="Consolas" w:eastAsia="Consolas" w:cs="Consolas"/>
              </w:rPr>
              <w:t>7e0</w:t>
            </w:r>
            <w:r>
              <w:t xml:space="preserve">, </w:t>
            </w:r>
            <w:r>
              <w:rPr>
                <w:rFonts w:ascii="Consolas" w:hAnsi="Consolas" w:eastAsia="Consolas" w:cs="Consolas"/>
              </w:rPr>
              <w:t>cc9</w:t>
            </w:r>
            <w:r>
              <w:t xml:space="preserve">, </w:t>
            </w:r>
            <w:r>
              <w:rPr>
                <w:rFonts w:ascii="Consolas" w:hAnsi="Consolas" w:eastAsia="Consolas" w:cs="Consolas"/>
              </w:rPr>
              <w:t>fa8</w:t>
            </w:r>
            <w:r>
              <w:t>)</w:t>
            </w:r>
          </w:p>
        </w:tc>
      </w:tr>
      <w:tr w14:paraId="7C0FD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25F66285">
            <w:pPr>
              <w:spacing w:before="0" w:beforeAutospacing="0" w:after="0" w:afterAutospacing="0"/>
            </w:pPr>
            <w:r>
              <w:rPr>
                <w:b/>
                <w:bCs/>
              </w:rPr>
              <w:t>Vowel/Consonant Ratio</w:t>
            </w:r>
          </w:p>
        </w:tc>
        <w:tc>
          <w:tcPr>
            <w:tcW w:w="2718" w:type="dxa"/>
            <w:vAlign w:val="center"/>
          </w:tcPr>
          <w:p w14:paraId="6ABF88C0">
            <w:pPr>
              <w:spacing w:before="0" w:beforeAutospacing="0" w:after="0" w:afterAutospacing="0"/>
            </w:pPr>
            <w:r>
              <w:t>Balanced, natural</w:t>
            </w:r>
          </w:p>
        </w:tc>
        <w:tc>
          <w:tcPr>
            <w:tcW w:w="4968" w:type="dxa"/>
            <w:vAlign w:val="center"/>
          </w:tcPr>
          <w:p w14:paraId="6742B073">
            <w:pPr>
              <w:spacing w:before="0" w:beforeAutospacing="0" w:after="0" w:afterAutospacing="0"/>
            </w:pPr>
            <w:r>
              <w:t>Unbalanced or meaningless</w:t>
            </w:r>
          </w:p>
        </w:tc>
      </w:tr>
      <w:tr w14:paraId="36A95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2A9396AD">
            <w:pPr>
              <w:spacing w:before="0" w:beforeAutospacing="0" w:after="0" w:afterAutospacing="0"/>
            </w:pPr>
            <w:r>
              <w:rPr>
                <w:b/>
                <w:bCs/>
              </w:rPr>
              <w:t>Continuous Numeric Length</w:t>
            </w:r>
          </w:p>
        </w:tc>
        <w:tc>
          <w:tcPr>
            <w:tcW w:w="2718" w:type="dxa"/>
            <w:vAlign w:val="center"/>
          </w:tcPr>
          <w:p w14:paraId="54A23DB9">
            <w:pPr>
              <w:spacing w:before="0" w:beforeAutospacing="0" w:after="0" w:afterAutospacing="0"/>
            </w:pPr>
            <w:r>
              <w:t>0–3</w:t>
            </w:r>
          </w:p>
        </w:tc>
        <w:tc>
          <w:tcPr>
            <w:tcW w:w="4968" w:type="dxa"/>
            <w:vAlign w:val="center"/>
          </w:tcPr>
          <w:p w14:paraId="153D54B4">
            <w:pPr>
              <w:spacing w:before="0" w:beforeAutospacing="0" w:after="0" w:afterAutospacing="0"/>
            </w:pPr>
            <w:r>
              <w:t>High (8–20+)</w:t>
            </w:r>
          </w:p>
        </w:tc>
      </w:tr>
      <w:tr w14:paraId="156B0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6DB73862">
            <w:pPr>
              <w:spacing w:before="0" w:beforeAutospacing="0" w:after="0" w:afterAutospacing="0"/>
            </w:pPr>
            <w:r>
              <w:rPr>
                <w:b/>
                <w:bCs/>
              </w:rPr>
              <w:t>DNS Query Types</w:t>
            </w:r>
          </w:p>
        </w:tc>
        <w:tc>
          <w:tcPr>
            <w:tcW w:w="2718" w:type="dxa"/>
            <w:vAlign w:val="center"/>
          </w:tcPr>
          <w:p w14:paraId="24B41C0C">
            <w:pPr>
              <w:spacing w:before="0" w:beforeAutospacing="0" w:after="0" w:afterAutospacing="0"/>
            </w:pPr>
            <w:r>
              <w:t xml:space="preserve">Mostly </w:t>
            </w:r>
            <w:r>
              <w:rPr>
                <w:rFonts w:ascii="Consolas" w:hAnsi="Consolas" w:eastAsia="Consolas" w:cs="Consolas"/>
              </w:rPr>
              <w:t>A</w:t>
            </w:r>
            <w:r>
              <w:t xml:space="preserve">, </w:t>
            </w:r>
            <w:r>
              <w:rPr>
                <w:rFonts w:ascii="Consolas" w:hAnsi="Consolas" w:eastAsia="Consolas" w:cs="Consolas"/>
              </w:rPr>
              <w:t>AAAA</w:t>
            </w:r>
          </w:p>
        </w:tc>
        <w:tc>
          <w:tcPr>
            <w:tcW w:w="4968" w:type="dxa"/>
            <w:vAlign w:val="center"/>
          </w:tcPr>
          <w:p w14:paraId="204FABFB">
            <w:pPr>
              <w:spacing w:before="0" w:beforeAutospacing="0" w:after="0" w:afterAutospacing="0"/>
            </w:pPr>
            <w:r>
              <w:t xml:space="preserve">Abused </w:t>
            </w:r>
            <w:r>
              <w:rPr>
                <w:rFonts w:ascii="Consolas" w:hAnsi="Consolas" w:eastAsia="Consolas" w:cs="Consolas"/>
              </w:rPr>
              <w:t>TXT</w:t>
            </w:r>
            <w:r>
              <w:t xml:space="preserve">, </w:t>
            </w:r>
            <w:r>
              <w:rPr>
                <w:rFonts w:ascii="Consolas" w:hAnsi="Consolas" w:eastAsia="Consolas" w:cs="Consolas"/>
              </w:rPr>
              <w:t>CNAME</w:t>
            </w:r>
            <w:r>
              <w:t xml:space="preserve">, </w:t>
            </w:r>
            <w:r>
              <w:rPr>
                <w:rFonts w:ascii="Consolas" w:hAnsi="Consolas" w:eastAsia="Consolas" w:cs="Consolas"/>
              </w:rPr>
              <w:t>MX</w:t>
            </w:r>
          </w:p>
        </w:tc>
      </w:tr>
      <w:tr w14:paraId="6021A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590E98FB">
            <w:pPr>
              <w:spacing w:before="0" w:beforeAutospacing="0" w:after="0" w:afterAutospacing="0"/>
            </w:pPr>
            <w:r>
              <w:rPr>
                <w:b/>
                <w:bCs/>
              </w:rPr>
              <w:t>Response Behavior</w:t>
            </w:r>
          </w:p>
        </w:tc>
        <w:tc>
          <w:tcPr>
            <w:tcW w:w="2718" w:type="dxa"/>
            <w:vAlign w:val="center"/>
          </w:tcPr>
          <w:p w14:paraId="3CBC1E37">
            <w:pPr>
              <w:spacing w:before="0" w:beforeAutospacing="0" w:after="0" w:afterAutospacing="0"/>
            </w:pPr>
            <w:r>
              <w:t>Successful resolution</w:t>
            </w:r>
          </w:p>
        </w:tc>
        <w:tc>
          <w:tcPr>
            <w:tcW w:w="4968" w:type="dxa"/>
            <w:vAlign w:val="center"/>
          </w:tcPr>
          <w:p w14:paraId="0E8F7879">
            <w:pPr>
              <w:spacing w:before="0" w:beforeAutospacing="0" w:after="0" w:afterAutospacing="0"/>
            </w:pPr>
            <w:r>
              <w:t xml:space="preserve">Frequent </w:t>
            </w:r>
            <w:r>
              <w:rPr>
                <w:rFonts w:ascii="Consolas" w:hAnsi="Consolas" w:eastAsia="Consolas" w:cs="Consolas"/>
              </w:rPr>
              <w:t>Server Failure</w:t>
            </w:r>
          </w:p>
        </w:tc>
      </w:tr>
      <w:tr w14:paraId="017D6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6FCE401D">
            <w:pPr>
              <w:spacing w:before="0" w:beforeAutospacing="0" w:after="0" w:afterAutospacing="0"/>
            </w:pPr>
            <w:r>
              <w:rPr>
                <w:b/>
                <w:bCs/>
              </w:rPr>
              <w:t>TTL Values</w:t>
            </w:r>
          </w:p>
        </w:tc>
        <w:tc>
          <w:tcPr>
            <w:tcW w:w="2718" w:type="dxa"/>
            <w:vAlign w:val="center"/>
          </w:tcPr>
          <w:p w14:paraId="6A2EE33E">
            <w:pPr>
              <w:spacing w:before="0" w:beforeAutospacing="0" w:after="0" w:afterAutospacing="0"/>
            </w:pPr>
            <w:r>
              <w:t>Stable, realistic (300–3600)</w:t>
            </w:r>
          </w:p>
        </w:tc>
        <w:tc>
          <w:tcPr>
            <w:tcW w:w="4968" w:type="dxa"/>
            <w:vAlign w:val="center"/>
          </w:tcPr>
          <w:p w14:paraId="6E733D16">
            <w:pPr>
              <w:spacing w:before="0" w:beforeAutospacing="0" w:after="0" w:afterAutospacing="0"/>
            </w:pPr>
            <w:r>
              <w:t>Unusual, repetitive, or manipulated</w:t>
            </w:r>
          </w:p>
        </w:tc>
      </w:tr>
      <w:tr w14:paraId="44ACD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4ED90EDF">
            <w:pPr>
              <w:spacing w:before="0" w:beforeAutospacing="0" w:after="0" w:afterAutospacing="0"/>
            </w:pPr>
            <w:r>
              <w:rPr>
                <w:b/>
                <w:bCs/>
              </w:rPr>
              <w:t>Query Frequency</w:t>
            </w:r>
          </w:p>
        </w:tc>
        <w:tc>
          <w:tcPr>
            <w:tcW w:w="2718" w:type="dxa"/>
            <w:vAlign w:val="center"/>
          </w:tcPr>
          <w:p w14:paraId="3708C817">
            <w:pPr>
              <w:spacing w:before="0" w:beforeAutospacing="0" w:after="0" w:afterAutospacing="0"/>
            </w:pPr>
            <w:r>
              <w:t>Human-paced</w:t>
            </w:r>
          </w:p>
        </w:tc>
        <w:tc>
          <w:tcPr>
            <w:tcW w:w="4968" w:type="dxa"/>
            <w:vAlign w:val="center"/>
          </w:tcPr>
          <w:p w14:paraId="55C475E0">
            <w:pPr>
              <w:spacing w:before="0" w:beforeAutospacing="0" w:after="0" w:afterAutospacing="0"/>
            </w:pPr>
            <w:r>
              <w:t>Rapid, machine-paced</w:t>
            </w:r>
          </w:p>
        </w:tc>
      </w:tr>
      <w:tr w14:paraId="72400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7F504040">
            <w:pPr>
              <w:spacing w:before="0" w:beforeAutospacing="0" w:after="0" w:afterAutospacing="0"/>
            </w:pPr>
            <w:r>
              <w:rPr>
                <w:b/>
                <w:bCs/>
              </w:rPr>
              <w:t>Packet Timing</w:t>
            </w:r>
          </w:p>
        </w:tc>
        <w:tc>
          <w:tcPr>
            <w:tcW w:w="2718" w:type="dxa"/>
            <w:vAlign w:val="center"/>
          </w:tcPr>
          <w:p w14:paraId="5279126B">
            <w:pPr>
              <w:spacing w:before="0" w:beforeAutospacing="0" w:after="0" w:afterAutospacing="0"/>
            </w:pPr>
            <w:r>
              <w:t>Irregular</w:t>
            </w:r>
          </w:p>
        </w:tc>
        <w:tc>
          <w:tcPr>
            <w:tcW w:w="4968" w:type="dxa"/>
            <w:vAlign w:val="center"/>
          </w:tcPr>
          <w:p w14:paraId="030C29F7">
            <w:pPr>
              <w:spacing w:before="0" w:beforeAutospacing="0" w:after="0" w:afterAutospacing="0"/>
            </w:pPr>
            <w:r>
              <w:t>Periodic / beacon-like</w:t>
            </w:r>
          </w:p>
        </w:tc>
      </w:tr>
      <w:tr w14:paraId="6E0D4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2EF23BFE">
            <w:pPr>
              <w:spacing w:before="0" w:beforeAutospacing="0" w:after="0" w:afterAutospacing="0"/>
            </w:pPr>
            <w:r>
              <w:rPr>
                <w:b/>
                <w:bCs/>
              </w:rPr>
              <w:t>Packet Size</w:t>
            </w:r>
          </w:p>
        </w:tc>
        <w:tc>
          <w:tcPr>
            <w:tcW w:w="2718" w:type="dxa"/>
            <w:vAlign w:val="center"/>
          </w:tcPr>
          <w:p w14:paraId="7547F1E5">
            <w:pPr>
              <w:spacing w:before="0" w:beforeAutospacing="0" w:after="0" w:afterAutospacing="0"/>
            </w:pPr>
            <w:r>
              <w:t>Variable</w:t>
            </w:r>
          </w:p>
        </w:tc>
        <w:tc>
          <w:tcPr>
            <w:tcW w:w="4968" w:type="dxa"/>
            <w:vAlign w:val="center"/>
          </w:tcPr>
          <w:p w14:paraId="64753D8E">
            <w:pPr>
              <w:spacing w:before="0" w:beforeAutospacing="0" w:after="0" w:afterAutospacing="0"/>
            </w:pPr>
            <w:r>
              <w:t>Consistent (encoded payload chunks)</w:t>
            </w:r>
          </w:p>
        </w:tc>
      </w:tr>
      <w:tr w14:paraId="7B8C8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37749983">
            <w:pPr>
              <w:spacing w:before="0" w:beforeAutospacing="0" w:after="0" w:afterAutospacing="0"/>
            </w:pPr>
            <w:r>
              <w:rPr>
                <w:b/>
                <w:bCs/>
              </w:rPr>
              <w:t>Second-Level Domain</w:t>
            </w:r>
          </w:p>
        </w:tc>
        <w:tc>
          <w:tcPr>
            <w:tcW w:w="2718" w:type="dxa"/>
            <w:vAlign w:val="center"/>
          </w:tcPr>
          <w:p w14:paraId="1756FFA4">
            <w:pPr>
              <w:spacing w:before="0" w:beforeAutospacing="0" w:after="0" w:afterAutospacing="0"/>
            </w:pPr>
            <w:r>
              <w:t>Well-known legitimate domains</w:t>
            </w:r>
          </w:p>
        </w:tc>
        <w:tc>
          <w:tcPr>
            <w:tcW w:w="4968" w:type="dxa"/>
            <w:vAlign w:val="center"/>
          </w:tcPr>
          <w:p w14:paraId="09A183F3">
            <w:pPr>
              <w:spacing w:before="0" w:beforeAutospacing="0" w:after="0" w:afterAutospacing="0"/>
            </w:pPr>
            <w:r>
              <w:t>Malware-controlled domain</w:t>
            </w:r>
          </w:p>
        </w:tc>
      </w:tr>
      <w:tr w14:paraId="384CD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72B26917">
            <w:pPr>
              <w:spacing w:before="0" w:beforeAutospacing="0" w:after="0" w:afterAutospacing="0"/>
            </w:pPr>
            <w:r>
              <w:rPr>
                <w:b/>
                <w:bCs/>
              </w:rPr>
              <w:t>TLD Usage</w:t>
            </w:r>
          </w:p>
        </w:tc>
        <w:tc>
          <w:tcPr>
            <w:tcW w:w="2718" w:type="dxa"/>
            <w:vAlign w:val="center"/>
          </w:tcPr>
          <w:p w14:paraId="34B0580A">
            <w:pPr>
              <w:spacing w:before="0" w:beforeAutospacing="0" w:after="0" w:afterAutospacing="0"/>
            </w:pPr>
            <w:r>
              <w:t>Popular TLDs (</w:t>
            </w:r>
            <w:r>
              <w:rPr>
                <w:rFonts w:ascii="Consolas" w:hAnsi="Consolas" w:eastAsia="Consolas" w:cs="Consolas"/>
              </w:rPr>
              <w:t>.com</w:t>
            </w:r>
            <w:r>
              <w:t xml:space="preserve">, </w:t>
            </w:r>
            <w:r>
              <w:rPr>
                <w:rFonts w:ascii="Consolas" w:hAnsi="Consolas" w:eastAsia="Consolas" w:cs="Consolas"/>
              </w:rPr>
              <w:t>.org</w:t>
            </w:r>
            <w:r>
              <w:t>)</w:t>
            </w:r>
          </w:p>
        </w:tc>
        <w:tc>
          <w:tcPr>
            <w:tcW w:w="4968" w:type="dxa"/>
            <w:vAlign w:val="center"/>
          </w:tcPr>
          <w:p w14:paraId="30C15DC8">
            <w:pPr>
              <w:spacing w:before="0" w:beforeAutospacing="0" w:after="0" w:afterAutospacing="0"/>
            </w:pPr>
            <w:r>
              <w:t>Abused TLDs (</w:t>
            </w:r>
            <w:r>
              <w:rPr>
                <w:rFonts w:ascii="Consolas" w:hAnsi="Consolas" w:eastAsia="Consolas" w:cs="Consolas"/>
              </w:rPr>
              <w:t>.top</w:t>
            </w:r>
            <w:r>
              <w:t xml:space="preserve">, </w:t>
            </w:r>
            <w:r>
              <w:rPr>
                <w:rFonts w:ascii="Consolas" w:hAnsi="Consolas" w:eastAsia="Consolas" w:cs="Consolas"/>
              </w:rPr>
              <w:t>.xyz</w:t>
            </w:r>
            <w:r>
              <w:t>)</w:t>
            </w:r>
          </w:p>
        </w:tc>
      </w:tr>
      <w:tr w14:paraId="06290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75" w:type="dxa"/>
            <w:vAlign w:val="center"/>
          </w:tcPr>
          <w:p w14:paraId="5CC71B5B">
            <w:pPr>
              <w:spacing w:before="0" w:beforeAutospacing="0" w:after="0" w:afterAutospacing="0"/>
            </w:pPr>
            <w:r>
              <w:rPr>
                <w:b/>
                <w:bCs/>
              </w:rPr>
              <w:t>Label / Class</w:t>
            </w:r>
          </w:p>
        </w:tc>
        <w:tc>
          <w:tcPr>
            <w:tcW w:w="2718" w:type="dxa"/>
            <w:vAlign w:val="center"/>
          </w:tcPr>
          <w:p w14:paraId="40ACAA13">
            <w:pPr>
              <w:spacing w:before="0" w:beforeAutospacing="0" w:after="0" w:afterAutospacing="0"/>
            </w:pPr>
            <w:r>
              <w:rPr>
                <w:rFonts w:ascii="Consolas" w:hAnsi="Consolas" w:eastAsia="Consolas" w:cs="Consolas"/>
              </w:rPr>
              <w:t>Benign</w:t>
            </w:r>
          </w:p>
        </w:tc>
        <w:tc>
          <w:tcPr>
            <w:tcW w:w="4968" w:type="dxa"/>
            <w:vAlign w:val="center"/>
          </w:tcPr>
          <w:p w14:paraId="6AEFF0A9">
            <w:pPr>
              <w:spacing w:before="0" w:beforeAutospacing="0" w:after="0" w:afterAutospacing="0"/>
            </w:pPr>
            <w:r>
              <w:rPr>
                <w:rFonts w:ascii="Consolas" w:hAnsi="Consolas" w:eastAsia="Consolas" w:cs="Consolas"/>
              </w:rPr>
              <w:t>Malicious</w:t>
            </w:r>
          </w:p>
        </w:tc>
      </w:tr>
    </w:tbl>
    <w:p w14:paraId="04996555"/>
    <w:p w14:paraId="4095753D">
      <w:pPr>
        <w:pStyle w:val="2"/>
        <w:bidi w:val="0"/>
        <w:spacing w:before="299" w:beforeAutospacing="0" w:after="299" w:afterAutospacing="0"/>
      </w:pPr>
      <w:r>
        <w:rPr>
          <w:rFonts w:ascii="Aptos" w:hAnsi="Aptos" w:eastAsia="Aptos" w:cs="Aptos"/>
          <w:b/>
          <w:bCs/>
          <w:sz w:val="36"/>
          <w:szCs w:val="36"/>
          <w:lang w:val="en-US"/>
        </w:rPr>
        <w:t>🔬 DNS Packet-Level Difference Summary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2840"/>
        <w:gridCol w:w="3499"/>
      </w:tblGrid>
      <w:tr w14:paraId="7ABA8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46" w:type="dxa"/>
            <w:vAlign w:val="center"/>
          </w:tcPr>
          <w:p w14:paraId="1BEC1D6C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DNS Packet Part</w:t>
            </w:r>
          </w:p>
        </w:tc>
        <w:tc>
          <w:tcPr>
            <w:tcW w:w="2840" w:type="dxa"/>
            <w:vAlign w:val="center"/>
          </w:tcPr>
          <w:p w14:paraId="362BFEA3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Normal DNS Looks Like</w:t>
            </w:r>
          </w:p>
        </w:tc>
        <w:tc>
          <w:tcPr>
            <w:tcW w:w="3499" w:type="dxa"/>
            <w:vAlign w:val="center"/>
          </w:tcPr>
          <w:p w14:paraId="75B9B123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Covert DNS Looks Like</w:t>
            </w:r>
          </w:p>
        </w:tc>
      </w:tr>
      <w:tr w14:paraId="0D58C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46" w:type="dxa"/>
            <w:vAlign w:val="center"/>
          </w:tcPr>
          <w:p w14:paraId="478E64AF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Question Section</w:t>
            </w:r>
          </w:p>
        </w:tc>
        <w:tc>
          <w:tcPr>
            <w:tcW w:w="2840" w:type="dxa"/>
            <w:vAlign w:val="center"/>
          </w:tcPr>
          <w:p w14:paraId="231AAFD0">
            <w:pPr>
              <w:bidi w:val="0"/>
              <w:spacing w:before="0" w:beforeAutospacing="0" w:after="0" w:afterAutospacing="0"/>
            </w:pPr>
            <w:r>
              <w:t>Clean domain query</w:t>
            </w:r>
          </w:p>
        </w:tc>
        <w:tc>
          <w:tcPr>
            <w:tcW w:w="3499" w:type="dxa"/>
            <w:vAlign w:val="center"/>
          </w:tcPr>
          <w:p w14:paraId="72AC952E">
            <w:pPr>
              <w:bidi w:val="0"/>
              <w:spacing w:before="0" w:beforeAutospacing="0" w:after="0" w:afterAutospacing="0"/>
            </w:pPr>
            <w:r>
              <w:t>Encoded payload hidden in name</w:t>
            </w:r>
          </w:p>
        </w:tc>
      </w:tr>
      <w:tr w14:paraId="37BAB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46" w:type="dxa"/>
            <w:vAlign w:val="center"/>
          </w:tcPr>
          <w:p w14:paraId="49A2515C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Answer Section</w:t>
            </w:r>
          </w:p>
        </w:tc>
        <w:tc>
          <w:tcPr>
            <w:tcW w:w="2840" w:type="dxa"/>
            <w:vAlign w:val="center"/>
          </w:tcPr>
          <w:p w14:paraId="16965B07">
            <w:pPr>
              <w:bidi w:val="0"/>
              <w:spacing w:before="0" w:beforeAutospacing="0" w:after="0" w:afterAutospacing="0"/>
            </w:pPr>
            <w:r>
              <w:t>Valid IP / record</w:t>
            </w:r>
          </w:p>
        </w:tc>
        <w:tc>
          <w:tcPr>
            <w:tcW w:w="3499" w:type="dxa"/>
            <w:vAlign w:val="center"/>
          </w:tcPr>
          <w:p w14:paraId="3DCB748E">
            <w:pPr>
              <w:bidi w:val="0"/>
              <w:spacing w:before="0" w:beforeAutospacing="0" w:after="0" w:afterAutospacing="0"/>
            </w:pPr>
            <w:r>
              <w:t>TXT/CNAME carrying data</w:t>
            </w:r>
          </w:p>
        </w:tc>
      </w:tr>
      <w:tr w14:paraId="3CD8E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46" w:type="dxa"/>
            <w:vAlign w:val="center"/>
          </w:tcPr>
          <w:p w14:paraId="66F088CB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Transaction ID</w:t>
            </w:r>
          </w:p>
        </w:tc>
        <w:tc>
          <w:tcPr>
            <w:tcW w:w="2840" w:type="dxa"/>
            <w:vAlign w:val="center"/>
          </w:tcPr>
          <w:p w14:paraId="4965F167">
            <w:pPr>
              <w:bidi w:val="0"/>
              <w:spacing w:before="0" w:beforeAutospacing="0" w:after="0" w:afterAutospacing="0"/>
            </w:pPr>
            <w:r>
              <w:t>Random but low volume</w:t>
            </w:r>
          </w:p>
        </w:tc>
        <w:tc>
          <w:tcPr>
            <w:tcW w:w="3499" w:type="dxa"/>
            <w:vAlign w:val="center"/>
          </w:tcPr>
          <w:p w14:paraId="3819C2B1">
            <w:pPr>
              <w:bidi w:val="0"/>
              <w:spacing w:before="0" w:beforeAutospacing="0" w:after="0" w:afterAutospacing="0"/>
            </w:pPr>
            <w:r>
              <w:t>Random + high frequency</w:t>
            </w:r>
          </w:p>
        </w:tc>
      </w:tr>
      <w:tr w14:paraId="3C31E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46" w:type="dxa"/>
            <w:vAlign w:val="center"/>
          </w:tcPr>
          <w:p w14:paraId="7892F9FB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Flags</w:t>
            </w:r>
          </w:p>
        </w:tc>
        <w:tc>
          <w:tcPr>
            <w:tcW w:w="2840" w:type="dxa"/>
            <w:vAlign w:val="center"/>
          </w:tcPr>
          <w:p w14:paraId="46151BC6">
            <w:pPr>
              <w:bidi w:val="0"/>
              <w:spacing w:before="0" w:beforeAutospacing="0" w:after="0" w:afterAutospacing="0"/>
            </w:pPr>
            <w:r>
              <w:t>Standard responses</w:t>
            </w:r>
          </w:p>
        </w:tc>
        <w:tc>
          <w:tcPr>
            <w:tcW w:w="3499" w:type="dxa"/>
            <w:vAlign w:val="center"/>
          </w:tcPr>
          <w:p w14:paraId="2236A57D">
            <w:pPr>
              <w:bidi w:val="0"/>
              <w:spacing w:before="0" w:beforeAutospacing="0" w:after="0" w:afterAutospacing="0"/>
            </w:pPr>
            <w:r>
              <w:t>Often errors or failures</w:t>
            </w:r>
          </w:p>
        </w:tc>
      </w:tr>
      <w:tr w14:paraId="48584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46" w:type="dxa"/>
            <w:vAlign w:val="center"/>
          </w:tcPr>
          <w:p w14:paraId="1694CC36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Payload Usage</w:t>
            </w:r>
          </w:p>
        </w:tc>
        <w:tc>
          <w:tcPr>
            <w:tcW w:w="2840" w:type="dxa"/>
            <w:vAlign w:val="center"/>
          </w:tcPr>
          <w:p w14:paraId="3997B3A6">
            <w:pPr>
              <w:bidi w:val="0"/>
              <w:spacing w:before="0" w:beforeAutospacing="0" w:after="0" w:afterAutospacing="0"/>
            </w:pPr>
            <w:r>
              <w:t>Minimal</w:t>
            </w:r>
          </w:p>
        </w:tc>
        <w:tc>
          <w:tcPr>
            <w:tcW w:w="3499" w:type="dxa"/>
            <w:vAlign w:val="center"/>
          </w:tcPr>
          <w:p w14:paraId="7B297506">
            <w:pPr>
              <w:bidi w:val="0"/>
              <w:spacing w:before="0" w:beforeAutospacing="0" w:after="0" w:afterAutospacing="0"/>
            </w:pPr>
            <w:r>
              <w:t>Maximized to carry data</w:t>
            </w:r>
          </w:p>
        </w:tc>
      </w:tr>
    </w:tbl>
    <w:p w14:paraId="7D8B3077">
      <w:bookmarkStart w:id="0" w:name="_GoBack"/>
      <w:bookmarkEnd w:id="0"/>
    </w:p>
    <w:p w14:paraId="7DB8564E">
      <w:pPr>
        <w:pStyle w:val="2"/>
        <w:bidi w:val="0"/>
        <w:spacing w:before="299" w:beforeAutospacing="0" w:after="299" w:afterAutospacing="0"/>
      </w:pPr>
      <w:r>
        <w:rPr>
          <w:rFonts w:ascii="Aptos" w:hAnsi="Aptos" w:eastAsia="Aptos" w:cs="Aptos"/>
          <w:b/>
          <w:bCs/>
          <w:sz w:val="36"/>
          <w:szCs w:val="36"/>
          <w:lang w:val="en-US"/>
        </w:rPr>
        <w:t>✅ Research Conclusion (Short &amp; Clear)</w:t>
      </w:r>
    </w:p>
    <w:p w14:paraId="45320B05">
      <w:pPr>
        <w:pStyle w:val="7"/>
        <w:numPr>
          <w:ilvl w:val="0"/>
          <w:numId w:val="1"/>
        </w:numPr>
        <w:bidi w:val="0"/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Your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benign dataset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shows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natural language domains</w:t>
      </w:r>
      <w:r>
        <w:rPr>
          <w:rFonts w:ascii="Aptos" w:hAnsi="Aptos" w:eastAsia="Aptos" w:cs="Aptos"/>
          <w:sz w:val="24"/>
          <w:szCs w:val="24"/>
          <w:lang w:val="en-US"/>
        </w:rPr>
        <w:t>, low entropy, balanced characters.</w:t>
      </w:r>
    </w:p>
    <w:p w14:paraId="2649A3EF">
      <w:pPr>
        <w:pStyle w:val="7"/>
        <w:numPr>
          <w:ilvl w:val="0"/>
          <w:numId w:val="1"/>
        </w:numPr>
        <w:bidi w:val="0"/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Your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covert dataset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shows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high entropy, encoded subdomains</w:t>
      </w:r>
      <w:r>
        <w:rPr>
          <w:rFonts w:ascii="Aptos" w:hAnsi="Aptos" w:eastAsia="Aptos" w:cs="Aptos"/>
          <w:sz w:val="24"/>
          <w:szCs w:val="24"/>
          <w:lang w:val="en-US"/>
        </w:rPr>
        <w:t>, abnormal query types, and beaconing behavior.</w:t>
      </w:r>
    </w:p>
    <w:p w14:paraId="0EED1CE6">
      <w:pPr>
        <w:pStyle w:val="7"/>
        <w:numPr>
          <w:ilvl w:val="0"/>
          <w:numId w:val="1"/>
        </w:numPr>
        <w:bidi w:val="0"/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These differences are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strong, explainable, and ML-friendly</w:t>
      </w:r>
      <w:r>
        <w:rPr>
          <w:rFonts w:ascii="Aptos" w:hAnsi="Aptos" w:eastAsia="Aptos" w:cs="Aptos"/>
          <w:sz w:val="24"/>
          <w:szCs w:val="24"/>
          <w:lang w:val="en-US"/>
        </w:rPr>
        <w:t>.</w:t>
      </w:r>
    </w:p>
    <w:p w14:paraId="46372289"/>
    <w:p w14:paraId="3E4AFCA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DC6A09"/>
    <w:multiLevelType w:val="multilevel"/>
    <w:tmpl w:val="40DC6A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B88EAE"/>
    <w:rsid w:val="33B88EAE"/>
    <w:rsid w:val="47E3777D"/>
    <w:rsid w:val="6B1E99E7"/>
    <w:rsid w:val="71A9A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467886"/>
      <w:u w:val="single"/>
    </w:rPr>
  </w:style>
  <w:style w:type="table" w:styleId="6">
    <w:name w:val="Table Grid"/>
    <w:basedOn w:val="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TotalTime>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2026-01-30T13:41:00Z</dcterms:created>
  <dc:creator>shamamamuzaffar@gmail.com</dc:creator>
  <cp:lastModifiedBy>malai</cp:lastModifiedBy>
  <dcterms:modified xsi:type="dcterms:W3CDTF">2026-03-20T06:16:24Z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30D96EB6968D4E5E88CB80EE6E2123F6_12</vt:lpwstr>
  </property>
</Properties>
</file>