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B8488">
      <w:pPr>
        <w:spacing w:before="2000"/>
      </w:pPr>
    </w:p>
    <w:p w14:paraId="3D3C63CD">
      <w:pPr>
        <w:spacing w:after="200"/>
        <w:jc w:val="center"/>
      </w:pPr>
      <w:r>
        <w:rPr>
          <w:b/>
          <w:bCs/>
          <w:color w:val="604A7B" w:themeColor="accent4" w:themeShade="BF"/>
          <w:sz w:val="64"/>
          <w:szCs w:val="64"/>
        </w:rPr>
        <w:t>Hotel Booking Analysis</w:t>
      </w:r>
    </w:p>
    <w:p w14:paraId="672F9908">
      <w:pPr>
        <w:spacing w:after="600"/>
        <w:jc w:val="center"/>
      </w:pPr>
      <w:r>
        <w:rPr>
          <w:color w:val="2E74B5"/>
          <w:sz w:val="30"/>
          <w:szCs w:val="30"/>
        </w:rPr>
        <w:t>End-to-End Data Analytics Project Documentation</w:t>
      </w:r>
    </w:p>
    <w:p w14:paraId="7C326C68">
      <w:pPr>
        <w:spacing w:after="100"/>
        <w:jc w:val="center"/>
      </w:pPr>
      <w:r>
        <w:rPr>
          <w:i/>
          <w:iCs/>
          <w:color w:val="595959"/>
          <w:sz w:val="22"/>
          <w:szCs w:val="22"/>
        </w:rPr>
        <w:t>Data Cleaning ( Power Query)  •  SQL Analysis  •  Power BI Dashboard</w:t>
      </w:r>
    </w:p>
    <w:p w14:paraId="08FA8596">
      <w:pPr>
        <w:spacing w:after="40"/>
        <w:jc w:val="center"/>
      </w:pPr>
      <w:r>
        <w:rPr>
          <w:color w:val="595959"/>
          <w:sz w:val="20"/>
          <w:szCs w:val="20"/>
        </w:rPr>
        <w:t>Prepared: September 2026</w:t>
      </w:r>
    </w:p>
    <w:p w14:paraId="520EEF5B">
      <w:r>
        <w:br w:type="page"/>
      </w:r>
    </w:p>
    <w:p w14:paraId="3C31D29D">
      <w:pPr>
        <w:pStyle w:val="2"/>
        <w:spacing w:before="400" w:after="200"/>
        <w:rPr>
          <w:color w:val="604A7B" w:themeColor="accent4" w:themeShade="BF"/>
        </w:rPr>
      </w:pPr>
      <w:r>
        <w:rPr>
          <w:color w:val="604A7B" w:themeColor="accent4" w:themeShade="BF"/>
        </w:rPr>
        <w:t>Table of Contents</w:t>
      </w:r>
    </w:p>
    <w:p w14:paraId="42BE6B73">
      <w:pPr>
        <w:spacing w:after="160" w:line="276" w:lineRule="auto"/>
      </w:pPr>
      <w:r>
        <w:t>1. Executive Summary</w:t>
      </w:r>
    </w:p>
    <w:p w14:paraId="5749BCA1">
      <w:pPr>
        <w:spacing w:after="160" w:line="276" w:lineRule="auto"/>
      </w:pPr>
      <w:r>
        <w:t>2. Project Objectives</w:t>
      </w:r>
    </w:p>
    <w:p w14:paraId="08B63E0B">
      <w:pPr>
        <w:spacing w:after="160" w:line="276" w:lineRule="auto"/>
      </w:pPr>
      <w:r>
        <w:t>3. Data Source &amp; Description</w:t>
      </w:r>
    </w:p>
    <w:p w14:paraId="7C1D133C">
      <w:pPr>
        <w:spacing w:after="160" w:line="276" w:lineRule="auto"/>
      </w:pPr>
      <w:r>
        <w:t>4. Data Cleaning &amp; Preparation</w:t>
      </w:r>
    </w:p>
    <w:p w14:paraId="01F51F27">
      <w:pPr>
        <w:spacing w:after="160" w:line="276" w:lineRule="auto"/>
      </w:pPr>
      <w:r>
        <w:t>5. Database &amp; SQL Analysis</w:t>
      </w:r>
    </w:p>
    <w:p w14:paraId="7B18E96D">
      <w:pPr>
        <w:spacing w:after="160" w:line="276" w:lineRule="auto"/>
      </w:pPr>
      <w:r>
        <w:t>6. Power BI Dashboard</w:t>
      </w:r>
    </w:p>
    <w:p w14:paraId="07A1C5F3">
      <w:pPr>
        <w:spacing w:after="160" w:line="276" w:lineRule="auto"/>
      </w:pPr>
      <w:r>
        <w:t>7. Key Insights</w:t>
      </w:r>
    </w:p>
    <w:p w14:paraId="639E3FB9">
      <w:pPr>
        <w:spacing w:after="160" w:line="276" w:lineRule="auto"/>
      </w:pPr>
      <w:r>
        <w:t>8. Recommendations</w:t>
      </w:r>
    </w:p>
    <w:p w14:paraId="09D0410B">
      <w:pPr>
        <w:spacing w:after="160" w:line="276" w:lineRule="auto"/>
      </w:pPr>
      <w:r>
        <w:t>9. Tools &amp; Technologies</w:t>
      </w:r>
    </w:p>
    <w:p w14:paraId="6DA31750">
      <w:pPr>
        <w:spacing w:after="160" w:line="276" w:lineRule="auto"/>
      </w:pPr>
      <w:r>
        <w:t>10. Project File Reference</w:t>
      </w:r>
    </w:p>
    <w:p w14:paraId="08C2CC40">
      <w:r>
        <w:br w:type="page"/>
      </w:r>
    </w:p>
    <w:p w14:paraId="705A0329">
      <w:pPr>
        <w:pStyle w:val="2"/>
        <w:spacing w:before="400" w:after="200"/>
        <w:rPr>
          <w:color w:val="604A7B" w:themeColor="accent4" w:themeShade="BF"/>
        </w:rPr>
      </w:pPr>
      <w:r>
        <w:rPr>
          <w:color w:val="604A7B" w:themeColor="accent4" w:themeShade="BF"/>
        </w:rPr>
        <w:t>1. Executive Summary</w:t>
      </w:r>
    </w:p>
    <w:p w14:paraId="18272A83">
      <w:pPr>
        <w:spacing w:after="160" w:line="276" w:lineRule="auto"/>
      </w:pPr>
      <w:r>
        <w:t>This project analyzes hotel booking demand data covering reservations at a City Hotel and a Resort Hotel between 2015 and 2017. The workflow moves the data through four stages: cleaning and enrichment l, structured querying in SQL Server, and interactive visualization in Power BI. The goal is to understand why bookings get canceled, where revenue is won and lost, who the customers are, and how operational factors (lead time, deposit type, special requests, room assignment) relate to cancellation risk.</w:t>
      </w:r>
    </w:p>
    <w:p w14:paraId="1F1DF91D">
      <w:pPr>
        <w:spacing w:after="160" w:line="276" w:lineRule="auto"/>
      </w:pPr>
      <w:r>
        <w:t>After cleaning, the working dataset contains 87,207 bookings. The overall cancellation rate is 27.53%, with City Hotel cancelling at a noticeably higher rate (30.10%) than Resort Hotel (23.49%). Total realized (net) revenue across the cleaned dataset is approximately $22.96M, against $34.44M in potential stay revenue — meaning roughly $11.48M (33.3%) of potential revenue was lost to cancellations.</w:t>
      </w:r>
    </w:p>
    <w:p w14:paraId="09EC6E02">
      <w:pPr>
        <w:spacing w:after="160" w:line="276" w:lineRule="auto"/>
      </w:pPr>
      <w:r>
        <w:t>The analysis identifies lead time, market segment, and number of special requests as the strongest behavioral signals for cancellation risk, and provides a Power BI dashboard with five report pages for ongoing exploration by stakeholders.</w:t>
      </w:r>
    </w:p>
    <w:p w14:paraId="518E3E53">
      <w:pPr>
        <w:pStyle w:val="2"/>
        <w:spacing w:before="400" w:after="200"/>
        <w:rPr>
          <w:color w:val="604A7B" w:themeColor="accent4" w:themeShade="BF"/>
        </w:rPr>
      </w:pPr>
      <w:r>
        <w:rPr>
          <w:color w:val="604A7B" w:themeColor="accent4" w:themeShade="BF"/>
        </w:rPr>
        <w:t>2. Project Objectives</w:t>
      </w:r>
    </w:p>
    <w:p w14:paraId="1F80DA49">
      <w:pPr>
        <w:spacing w:after="160" w:line="276" w:lineRule="auto"/>
      </w:pPr>
      <w:r>
        <w:t>The project was designed to answer the following business questions:</w:t>
      </w:r>
    </w:p>
    <w:p w14:paraId="36514F5D">
      <w:pPr>
        <w:pStyle w:val="16"/>
        <w:numPr>
          <w:ilvl w:val="0"/>
          <w:numId w:val="1"/>
        </w:numPr>
        <w:spacing w:after="80" w:line="276" w:lineRule="auto"/>
      </w:pPr>
      <w:r>
        <w:t>What is the overall booking cancellation rate, and how does it vary by hotel, market segment, and lead time?</w:t>
      </w:r>
    </w:p>
    <w:p w14:paraId="4FA57C2C">
      <w:pPr>
        <w:pStyle w:val="16"/>
        <w:numPr>
          <w:ilvl w:val="0"/>
          <w:numId w:val="1"/>
        </w:numPr>
        <w:spacing w:after="80" w:line="276" w:lineRule="auto"/>
      </w:pPr>
      <w:r>
        <w:t>Which channels, customer types, and market segments generate the most net revenue?</w:t>
      </w:r>
    </w:p>
    <w:p w14:paraId="583A8698">
      <w:pPr>
        <w:pStyle w:val="16"/>
        <w:numPr>
          <w:ilvl w:val="0"/>
          <w:numId w:val="1"/>
        </w:numPr>
        <w:spacing w:after="80" w:line="276" w:lineRule="auto"/>
      </w:pPr>
      <w:r>
        <w:t>How do bookings and revenue trend over time (by year and month)?</w:t>
      </w:r>
    </w:p>
    <w:p w14:paraId="48398D0A">
      <w:pPr>
        <w:pStyle w:val="16"/>
        <w:numPr>
          <w:ilvl w:val="0"/>
          <w:numId w:val="1"/>
        </w:numPr>
        <w:spacing w:after="80" w:line="276" w:lineRule="auto"/>
      </w:pPr>
      <w:r>
        <w:t>What is the relationship between special requests, deposit type, and cancellation likelihood?</w:t>
      </w:r>
    </w:p>
    <w:p w14:paraId="2C4D0E93">
      <w:pPr>
        <w:pStyle w:val="16"/>
        <w:numPr>
          <w:ilvl w:val="0"/>
          <w:numId w:val="1"/>
        </w:numPr>
        <w:spacing w:after="80" w:line="276" w:lineRule="auto"/>
      </w:pPr>
      <w:r>
        <w:t>How often is a guest assigned a different room type than reserved, and does this affect cancellations?</w:t>
      </w:r>
    </w:p>
    <w:p w14:paraId="23B8E5FE">
      <w:pPr>
        <w:pStyle w:val="16"/>
        <w:numPr>
          <w:ilvl w:val="0"/>
          <w:numId w:val="1"/>
        </w:numPr>
        <w:spacing w:after="80" w:line="276" w:lineRule="auto"/>
      </w:pPr>
      <w:r>
        <w:t>Which countries and hotels contribute the most bookings and revenue?</w:t>
      </w:r>
    </w:p>
    <w:p w14:paraId="2D41FDDC">
      <w:pPr>
        <w:spacing w:after="160" w:line="276" w:lineRule="auto"/>
      </w:pPr>
      <w:r>
        <w:t>These questions map directly to the 18 numbered queries in Hotel_Booking_SQL_Analysis.sql and to the five pages of the Power BI report (Final_Project.pbix).</w:t>
      </w:r>
    </w:p>
    <w:p w14:paraId="00CEF1B9">
      <w:r>
        <w:br w:type="page"/>
      </w:r>
    </w:p>
    <w:p w14:paraId="7FDE3017">
      <w:pPr>
        <w:pStyle w:val="2"/>
        <w:spacing w:before="400" w:after="200"/>
        <w:rPr>
          <w:color w:val="604A7B" w:themeColor="accent4" w:themeShade="BF"/>
        </w:rPr>
      </w:pPr>
      <w:r>
        <w:rPr>
          <w:color w:val="604A7B" w:themeColor="accent4" w:themeShade="BF"/>
        </w:rPr>
        <w:t>3. Data Source &amp; Description</w:t>
      </w:r>
    </w:p>
    <w:p w14:paraId="6FD89FA4">
      <w:pPr>
        <w:pStyle w:val="3"/>
        <w:spacing w:before="300" w:after="150"/>
      </w:pPr>
      <w:r>
        <w:t>3.1 Raw Dataset</w:t>
      </w:r>
    </w:p>
    <w:p w14:paraId="71B35075">
      <w:pPr>
        <w:spacing w:after="80"/>
      </w:pPr>
      <w:r>
        <w:rPr>
          <w:b/>
          <w:bCs/>
        </w:rPr>
        <w:t xml:space="preserve">File: </w:t>
      </w:r>
      <w:r>
        <w:t>hotel_bookings.csv</w:t>
      </w:r>
    </w:p>
    <w:p w14:paraId="22E1A509">
      <w:pPr>
        <w:spacing w:after="80"/>
      </w:pPr>
      <w:r>
        <w:rPr>
          <w:b/>
          <w:bCs/>
        </w:rPr>
        <w:t xml:space="preserve">Raw row count: </w:t>
      </w:r>
      <w:r>
        <w:t>119,391 bookings (plus header)</w:t>
      </w:r>
    </w:p>
    <w:p w14:paraId="6593F297">
      <w:pPr>
        <w:spacing w:after="80"/>
      </w:pPr>
      <w:r>
        <w:rPr>
          <w:b/>
          <w:bCs/>
        </w:rPr>
        <w:t xml:space="preserve">Raw column count: </w:t>
      </w:r>
      <w:r>
        <w:t>32 columns</w:t>
      </w:r>
    </w:p>
    <w:p w14:paraId="641FCFE6">
      <w:pPr>
        <w:spacing w:after="80"/>
      </w:pPr>
      <w:r>
        <w:rPr>
          <w:b/>
          <w:bCs/>
        </w:rPr>
        <w:t xml:space="preserve">Grain: </w:t>
      </w:r>
      <w:r>
        <w:t>One row per hotel booking</w:t>
      </w:r>
    </w:p>
    <w:p w14:paraId="53724872">
      <w:pPr>
        <w:spacing w:after="80"/>
      </w:pPr>
      <w:r>
        <w:rPr>
          <w:b/>
          <w:bCs/>
        </w:rPr>
        <w:t xml:space="preserve">Time span: </w:t>
      </w:r>
      <w:r>
        <w:t>Arrivals dated 2015 – 2017</w:t>
      </w:r>
    </w:p>
    <w:p w14:paraId="04446CC4">
      <w:pPr>
        <w:spacing w:after="80"/>
      </w:pPr>
      <w:r>
        <w:rPr>
          <w:b/>
          <w:bCs/>
        </w:rPr>
        <w:t xml:space="preserve">Hotel types: </w:t>
      </w:r>
      <w:r>
        <w:t>City Hotel, Resort Hotel</w:t>
      </w:r>
    </w:p>
    <w:p w14:paraId="3685DB95">
      <w:pPr>
        <w:spacing w:after="160" w:line="276" w:lineRule="auto"/>
      </w:pPr>
      <w:r>
        <w:t>Key raw fields include hotel, is_canceled, lead_time, arrival_date_year/month/week/day, stays_in_weekend_nights, stays_in_week_nights, adults, children, babies, meal, country, market_segment, distribution_channel, is_repeated_guest, previous_cancellations, reserved_room_type, assigned_room_type, deposit_type, agent, company, customer_type, adr (average daily rate), required_car_parking_spaces, total_of_special_requests, reservation_status, and reservation_status_date.</w:t>
      </w:r>
    </w:p>
    <w:p w14:paraId="22B28463">
      <w:pPr>
        <w:pStyle w:val="3"/>
        <w:spacing w:before="300" w:after="150"/>
      </w:pPr>
      <w:r>
        <w:t>3.2 Cleaned Dataset</w:t>
      </w:r>
    </w:p>
    <w:p w14:paraId="328B1CF5">
      <w:pPr>
        <w:spacing w:after="80"/>
        <w:rPr>
          <w:rFonts w:hint="default"/>
        </w:rPr>
      </w:pPr>
      <w:r>
        <w:rPr>
          <w:b/>
          <w:bCs/>
        </w:rPr>
        <w:t xml:space="preserve">File: </w:t>
      </w:r>
      <w:r>
        <w:rPr>
          <w:rFonts w:hint="default"/>
        </w:rPr>
        <w:t>powerbi_cleaning.pbix</w:t>
      </w:r>
    </w:p>
    <w:p w14:paraId="60DE4911">
      <w:pPr>
        <w:spacing w:after="80"/>
      </w:pPr>
      <w:r>
        <w:rPr>
          <w:b/>
          <w:bCs/>
        </w:rPr>
        <w:t xml:space="preserve">Cleaned row count: </w:t>
      </w:r>
      <w:r>
        <w:t>87,207 bookings</w:t>
      </w:r>
    </w:p>
    <w:p w14:paraId="3AAF4832">
      <w:pPr>
        <w:spacing w:after="80"/>
      </w:pPr>
      <w:r>
        <w:rPr>
          <w:b/>
          <w:bCs/>
        </w:rPr>
        <w:t xml:space="preserve">Cleaned column count: </w:t>
      </w:r>
      <w:r>
        <w:t>37 columns (32 original + 5 derived)</w:t>
      </w:r>
    </w:p>
    <w:p w14:paraId="69E0AE68">
      <w:pPr>
        <w:spacing w:after="160" w:line="276" w:lineRule="auto"/>
      </w:pPr>
      <w:r>
        <w:t>Cleaning removed 32,184 rows (about 27% of the raw file) through de-duplication and null/invalid-value handling, and enriched the data with five new fields used throughout the SQL and Power BI layers:</w:t>
      </w:r>
    </w:p>
    <w:p w14:paraId="103F1D9B">
      <w:pPr>
        <w:pStyle w:val="16"/>
        <w:numPr>
          <w:ilvl w:val="0"/>
          <w:numId w:val="1"/>
        </w:numPr>
        <w:spacing w:after="80" w:line="276" w:lineRule="auto"/>
      </w:pPr>
      <w:r>
        <w:t>arrival_date — a proper date built from arrival_date_year, arrival_date_month, and arrival_date_day_of_month</w:t>
      </w:r>
    </w:p>
    <w:p w14:paraId="63089155">
      <w:pPr>
        <w:pStyle w:val="16"/>
        <w:numPr>
          <w:ilvl w:val="0"/>
          <w:numId w:val="1"/>
        </w:numPr>
        <w:spacing w:after="80" w:line="276" w:lineRule="auto"/>
      </w:pPr>
      <w:r>
        <w:t>total_guests — adults + children + babies</w:t>
      </w:r>
    </w:p>
    <w:p w14:paraId="45338D20">
      <w:pPr>
        <w:pStyle w:val="16"/>
        <w:numPr>
          <w:ilvl w:val="0"/>
          <w:numId w:val="1"/>
        </w:numPr>
        <w:spacing w:after="80" w:line="276" w:lineRule="auto"/>
      </w:pPr>
      <w:r>
        <w:t>total_nights — stays_in_weekend_nights + stays_in_week_nights</w:t>
      </w:r>
    </w:p>
    <w:p w14:paraId="30A0A950">
      <w:pPr>
        <w:pStyle w:val="16"/>
        <w:numPr>
          <w:ilvl w:val="0"/>
          <w:numId w:val="1"/>
        </w:numPr>
        <w:spacing w:after="80" w:line="276" w:lineRule="auto"/>
      </w:pPr>
      <w:r>
        <w:t>total_stay_revenue — adr × total_nights (the full potential value of the stay)</w:t>
      </w:r>
    </w:p>
    <w:p w14:paraId="0300AC13">
      <w:pPr>
        <w:pStyle w:val="16"/>
        <w:numPr>
          <w:ilvl w:val="0"/>
          <w:numId w:val="1"/>
        </w:numPr>
        <w:spacing w:after="80" w:line="276" w:lineRule="auto"/>
      </w:pPr>
      <w:r>
        <w:t>booking_status — a readable label ("Canceled" / "Not Canceled") derived from is_canceled</w:t>
      </w:r>
    </w:p>
    <w:p w14:paraId="4B3B7049">
      <w:r>
        <w:br w:type="page"/>
      </w:r>
    </w:p>
    <w:p w14:paraId="6CFB9ED0">
      <w:pPr>
        <w:pStyle w:val="2"/>
        <w:spacing w:before="400" w:after="200"/>
        <w:rPr>
          <w:color w:val="604A7B" w:themeColor="accent4" w:themeShade="BF"/>
        </w:rPr>
      </w:pPr>
      <w:r>
        <w:rPr>
          <w:color w:val="604A7B" w:themeColor="accent4" w:themeShade="BF"/>
        </w:rPr>
        <w:t>4. Data Cleaning &amp; Preparation</w:t>
      </w:r>
    </w:p>
    <w:p w14:paraId="3E4F8F87">
      <w:pPr>
        <w:pStyle w:val="3"/>
        <w:spacing w:before="300" w:after="150"/>
      </w:pPr>
      <w:r>
        <w:t>4.1 Cleaning Steps Applied</w:t>
      </w:r>
    </w:p>
    <w:p w14:paraId="7D1E5497">
      <w:pPr>
        <w:pStyle w:val="16"/>
        <w:numPr>
          <w:ilvl w:val="0"/>
          <w:numId w:val="1"/>
        </w:numPr>
        <w:spacing w:after="80" w:line="276" w:lineRule="auto"/>
      </w:pPr>
      <w:r>
        <w:t>Removed exact duplicate booking records.</w:t>
      </w:r>
    </w:p>
    <w:p w14:paraId="06BBE7BE">
      <w:pPr>
        <w:pStyle w:val="16"/>
        <w:numPr>
          <w:ilvl w:val="0"/>
          <w:numId w:val="1"/>
        </w:numPr>
        <w:spacing w:after="80" w:line="276" w:lineRule="auto"/>
      </w:pPr>
      <w:r>
        <w:t>Standardized missing categorical values (e.g. unspecified agent/company codes) rather than leaving blank cells, preserving them as explicit 0/NULL markers so they could be filtered consistently.</w:t>
      </w:r>
    </w:p>
    <w:p w14:paraId="591861FC">
      <w:pPr>
        <w:pStyle w:val="16"/>
        <w:numPr>
          <w:ilvl w:val="0"/>
          <w:numId w:val="1"/>
        </w:numPr>
        <w:spacing w:after="80" w:line="276" w:lineRule="auto"/>
      </w:pPr>
      <w:r>
        <w:t>Converted the three separate date parts (year, month name, day) into a single arrival_date field for time-series analysis.</w:t>
      </w:r>
    </w:p>
    <w:p w14:paraId="49934415">
      <w:pPr>
        <w:pStyle w:val="16"/>
        <w:numPr>
          <w:ilvl w:val="0"/>
          <w:numId w:val="1"/>
        </w:numPr>
        <w:spacing w:after="80" w:line="276" w:lineRule="auto"/>
      </w:pPr>
      <w:r>
        <w:t>Derived total_guests and total_nights from their component columns to simplify downstream aggregation.</w:t>
      </w:r>
    </w:p>
    <w:p w14:paraId="58D25DA2">
      <w:pPr>
        <w:pStyle w:val="16"/>
        <w:numPr>
          <w:ilvl w:val="0"/>
          <w:numId w:val="1"/>
        </w:numPr>
        <w:spacing w:after="80" w:line="276" w:lineRule="auto"/>
      </w:pPr>
      <w:r>
        <w:t>Calculated total_stay_revenue (adr × total_nights) as the base revenue metric per booking.</w:t>
      </w:r>
    </w:p>
    <w:p w14:paraId="2CAABC7E">
      <w:pPr>
        <w:pStyle w:val="16"/>
        <w:numPr>
          <w:ilvl w:val="0"/>
          <w:numId w:val="1"/>
        </w:numPr>
        <w:spacing w:after="80" w:line="276" w:lineRule="auto"/>
      </w:pPr>
      <w:r>
        <w:t>Added a readable booking_status label to complement the numeric is_canceled flag.</w:t>
      </w:r>
    </w:p>
    <w:p w14:paraId="3876C6C6">
      <w:pPr>
        <w:pStyle w:val="16"/>
        <w:numPr>
          <w:ilvl w:val="0"/>
          <w:numId w:val="1"/>
        </w:numPr>
        <w:spacing w:after="80" w:line="276" w:lineRule="auto"/>
      </w:pPr>
      <w:r>
        <w:t>Filtered out structurally invalid rows (e.g. bookings with zero total guests or non-numeric adr) that would distort revenue and occupancy metrics.</w:t>
      </w:r>
    </w:p>
    <w:p w14:paraId="0D690118">
      <w:pPr>
        <w:pStyle w:val="3"/>
        <w:spacing w:before="300" w:after="150"/>
      </w:pPr>
      <w:r>
        <w:t>4.2 Net Revenue Logic</w:t>
      </w:r>
    </w:p>
    <w:p w14:paraId="4F693B5D">
      <w:pPr>
        <w:spacing w:after="160" w:line="276" w:lineRule="auto"/>
      </w:pPr>
      <w:r>
        <w:t>A net_revenue measure is used throughout the SQL analysis and the Power BI dashboard. It represents realized revenue after cancellations: net_revenue equals total_stay_revenue for completed (non-canceled) bookings, and 0 for canceled bookings. The gap between total_stay_revenue and net_revenue is reported in the dashboard as "Revenue Loss" — the potential income forfeited to cancellations.</w:t>
      </w:r>
    </w:p>
    <w:p w14:paraId="15EC0F97">
      <w:pPr>
        <w:pStyle w:val="3"/>
        <w:spacing w:before="300" w:after="150"/>
      </w:pPr>
      <w:r>
        <w:t>4.3 Result</w:t>
      </w:r>
    </w:p>
    <w:p w14:paraId="299E2A96">
      <w:pPr>
        <w:spacing w:after="160" w:line="276" w:lineRule="auto"/>
      </w:pPr>
      <w:r>
        <w:t>The cleaned, enriched table (87,207 rows, 37 columns) was loaded into SQL Server as dbo.HotelBookings and used as the single source of truth for both the SQL analysis and the Power BI data model.</w:t>
      </w:r>
    </w:p>
    <w:p w14:paraId="2E8718D1">
      <w:r>
        <w:br w:type="page"/>
      </w:r>
    </w:p>
    <w:p w14:paraId="60B09E3C">
      <w:pPr>
        <w:pStyle w:val="2"/>
        <w:spacing w:before="400" w:after="200"/>
        <w:rPr>
          <w:color w:val="604A7B" w:themeColor="accent4" w:themeShade="BF"/>
        </w:rPr>
      </w:pPr>
      <w:r>
        <w:rPr>
          <w:color w:val="604A7B" w:themeColor="accent4" w:themeShade="BF"/>
        </w:rPr>
        <w:t>5. Database &amp; SQL Analysis</w:t>
      </w:r>
    </w:p>
    <w:p w14:paraId="12DCC530">
      <w:pPr>
        <w:spacing w:after="160" w:line="276" w:lineRule="auto"/>
      </w:pPr>
      <w:r>
        <w:t>File: Hotel_Booking_SQL_Analysis.sql — run against a SQL Server database (HotelBookingAnalysis) containing the cleaned dbo.HotelBookings table. The script begins with data validation (row counts, column/data-type inventory, sample preview) and then answers 18 numbered business questions using aggregation, CASE-based bucketing, CTEs, and a window function (RANK). Results below were computed on the cleaned dataset (87,207 rows) to illustrate the output of each query.</w:t>
      </w:r>
    </w:p>
    <w:p w14:paraId="34E189C4">
      <w:pPr>
        <w:pStyle w:val="4"/>
        <w:spacing w:before="200" w:after="100"/>
      </w:pPr>
      <w:r>
        <w:t>Q1. Overall cancellation rate</w:t>
      </w:r>
    </w:p>
    <w:p w14:paraId="662BD43F">
      <w:pPr>
        <w:spacing w:after="160" w:line="276" w:lineRule="auto"/>
      </w:pPr>
      <w:r>
        <w:t>Across all bookings, how many were canceled versus completed?</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200"/>
        <w:gridCol w:w="2600"/>
      </w:tblGrid>
      <w:tr w14:paraId="49325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4FB82151">
            <w:pPr>
              <w:jc w:val="center"/>
            </w:pPr>
            <w:r>
              <w:rPr>
                <w:b/>
                <w:bCs/>
                <w:color w:val="FFFFFF"/>
              </w:rPr>
              <w:t>Total Bookings</w:t>
            </w:r>
          </w:p>
        </w:tc>
        <w:tc>
          <w:tcPr>
            <w:tcW w:w="2200" w:type="dxa"/>
            <w:shd w:val="clear" w:color="auto" w:fill="1F3864"/>
            <w:tcMar>
              <w:top w:w="80" w:type="dxa"/>
              <w:left w:w="100" w:type="dxa"/>
              <w:bottom w:w="80" w:type="dxa"/>
              <w:right w:w="100" w:type="dxa"/>
            </w:tcMar>
          </w:tcPr>
          <w:p w14:paraId="7996DB43">
            <w:pPr>
              <w:jc w:val="center"/>
            </w:pPr>
            <w:r>
              <w:rPr>
                <w:b/>
                <w:bCs/>
                <w:color w:val="FFFFFF"/>
              </w:rPr>
              <w:t>Canceled</w:t>
            </w:r>
          </w:p>
        </w:tc>
        <w:tc>
          <w:tcPr>
            <w:tcW w:w="2200" w:type="dxa"/>
            <w:shd w:val="clear" w:color="auto" w:fill="1F3864"/>
            <w:tcMar>
              <w:top w:w="80" w:type="dxa"/>
              <w:left w:w="100" w:type="dxa"/>
              <w:bottom w:w="80" w:type="dxa"/>
              <w:right w:w="100" w:type="dxa"/>
            </w:tcMar>
          </w:tcPr>
          <w:p w14:paraId="09EF229E">
            <w:pPr>
              <w:jc w:val="center"/>
            </w:pPr>
            <w:r>
              <w:rPr>
                <w:b/>
                <w:bCs/>
                <w:color w:val="FFFFFF"/>
              </w:rPr>
              <w:t>Not Canceled</w:t>
            </w:r>
          </w:p>
        </w:tc>
        <w:tc>
          <w:tcPr>
            <w:tcW w:w="2600" w:type="dxa"/>
            <w:shd w:val="clear" w:color="auto" w:fill="1F3864"/>
            <w:tcMar>
              <w:top w:w="80" w:type="dxa"/>
              <w:left w:w="100" w:type="dxa"/>
              <w:bottom w:w="80" w:type="dxa"/>
              <w:right w:w="100" w:type="dxa"/>
            </w:tcMar>
          </w:tcPr>
          <w:p w14:paraId="17EF76CC">
            <w:pPr>
              <w:jc w:val="center"/>
            </w:pPr>
            <w:r>
              <w:rPr>
                <w:b/>
                <w:bCs/>
                <w:color w:val="FFFFFF"/>
              </w:rPr>
              <w:t>Cancellation Rate %</w:t>
            </w:r>
          </w:p>
        </w:tc>
      </w:tr>
      <w:tr w14:paraId="3D8CE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482CAB6">
            <w:pPr>
              <w:jc w:val="left"/>
            </w:pPr>
            <w:r>
              <w:rPr>
                <w:b w:val="0"/>
                <w:bCs w:val="0"/>
                <w:color w:val="000000"/>
              </w:rPr>
              <w:t>87,207</w:t>
            </w:r>
          </w:p>
        </w:tc>
        <w:tc>
          <w:tcPr>
            <w:tcW w:w="2200" w:type="dxa"/>
            <w:tcMar>
              <w:top w:w="80" w:type="dxa"/>
              <w:left w:w="100" w:type="dxa"/>
              <w:bottom w:w="80" w:type="dxa"/>
              <w:right w:w="100" w:type="dxa"/>
            </w:tcMar>
          </w:tcPr>
          <w:p w14:paraId="42DD2189">
            <w:pPr>
              <w:jc w:val="center"/>
            </w:pPr>
            <w:r>
              <w:rPr>
                <w:b w:val="0"/>
                <w:bCs w:val="0"/>
                <w:color w:val="000000"/>
              </w:rPr>
              <w:t>24,008</w:t>
            </w:r>
          </w:p>
        </w:tc>
        <w:tc>
          <w:tcPr>
            <w:tcW w:w="2200" w:type="dxa"/>
            <w:tcMar>
              <w:top w:w="80" w:type="dxa"/>
              <w:left w:w="100" w:type="dxa"/>
              <w:bottom w:w="80" w:type="dxa"/>
              <w:right w:w="100" w:type="dxa"/>
            </w:tcMar>
          </w:tcPr>
          <w:p w14:paraId="4408B1CD">
            <w:pPr>
              <w:jc w:val="center"/>
            </w:pPr>
            <w:r>
              <w:rPr>
                <w:b w:val="0"/>
                <w:bCs w:val="0"/>
                <w:color w:val="000000"/>
              </w:rPr>
              <w:t>63,199</w:t>
            </w:r>
          </w:p>
        </w:tc>
        <w:tc>
          <w:tcPr>
            <w:tcW w:w="2600" w:type="dxa"/>
            <w:tcMar>
              <w:top w:w="80" w:type="dxa"/>
              <w:left w:w="100" w:type="dxa"/>
              <w:bottom w:w="80" w:type="dxa"/>
              <w:right w:w="100" w:type="dxa"/>
            </w:tcMar>
          </w:tcPr>
          <w:p w14:paraId="6C6503EB">
            <w:pPr>
              <w:jc w:val="center"/>
            </w:pPr>
            <w:r>
              <w:rPr>
                <w:b w:val="0"/>
                <w:bCs w:val="0"/>
                <w:color w:val="000000"/>
              </w:rPr>
              <w:t>27.53%</w:t>
            </w:r>
          </w:p>
        </w:tc>
      </w:tr>
    </w:tbl>
    <w:p w14:paraId="09037192">
      <w:pPr>
        <w:pStyle w:val="4"/>
        <w:spacing w:before="200" w:after="100"/>
      </w:pPr>
      <w:r>
        <w:t>Q2. Cancellation rate by hotel</w:t>
      </w:r>
    </w:p>
    <w:p w14:paraId="3BE6FE09">
      <w:pPr>
        <w:spacing w:after="160" w:line="276" w:lineRule="auto"/>
      </w:pPr>
      <w:r>
        <w:t>Which hotel has the higher cancellation rate?</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000"/>
        <w:gridCol w:w="2600"/>
      </w:tblGrid>
      <w:tr w14:paraId="42BFA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4BD48273">
            <w:pPr>
              <w:jc w:val="center"/>
            </w:pPr>
            <w:r>
              <w:rPr>
                <w:b/>
                <w:bCs/>
                <w:color w:val="FFFFFF"/>
              </w:rPr>
              <w:t>Hotel</w:t>
            </w:r>
          </w:p>
        </w:tc>
        <w:tc>
          <w:tcPr>
            <w:tcW w:w="2200" w:type="dxa"/>
            <w:shd w:val="clear" w:color="auto" w:fill="1F3864"/>
            <w:tcMar>
              <w:top w:w="80" w:type="dxa"/>
              <w:left w:w="100" w:type="dxa"/>
              <w:bottom w:w="80" w:type="dxa"/>
              <w:right w:w="100" w:type="dxa"/>
            </w:tcMar>
          </w:tcPr>
          <w:p w14:paraId="42DAB3E0">
            <w:pPr>
              <w:jc w:val="center"/>
            </w:pPr>
            <w:r>
              <w:rPr>
                <w:b/>
                <w:bCs/>
                <w:color w:val="FFFFFF"/>
              </w:rPr>
              <w:t>Total Bookings</w:t>
            </w:r>
          </w:p>
        </w:tc>
        <w:tc>
          <w:tcPr>
            <w:tcW w:w="2000" w:type="dxa"/>
            <w:shd w:val="clear" w:color="auto" w:fill="1F3864"/>
            <w:tcMar>
              <w:top w:w="80" w:type="dxa"/>
              <w:left w:w="100" w:type="dxa"/>
              <w:bottom w:w="80" w:type="dxa"/>
              <w:right w:w="100" w:type="dxa"/>
            </w:tcMar>
          </w:tcPr>
          <w:p w14:paraId="2A0C1948">
            <w:pPr>
              <w:jc w:val="center"/>
            </w:pPr>
            <w:r>
              <w:rPr>
                <w:b/>
                <w:bCs/>
                <w:color w:val="FFFFFF"/>
              </w:rPr>
              <w:t>Canceled</w:t>
            </w:r>
          </w:p>
        </w:tc>
        <w:tc>
          <w:tcPr>
            <w:tcW w:w="2600" w:type="dxa"/>
            <w:shd w:val="clear" w:color="auto" w:fill="1F3864"/>
            <w:tcMar>
              <w:top w:w="80" w:type="dxa"/>
              <w:left w:w="100" w:type="dxa"/>
              <w:bottom w:w="80" w:type="dxa"/>
              <w:right w:w="100" w:type="dxa"/>
            </w:tcMar>
          </w:tcPr>
          <w:p w14:paraId="29A893BE">
            <w:pPr>
              <w:jc w:val="center"/>
            </w:pPr>
            <w:r>
              <w:rPr>
                <w:b/>
                <w:bCs/>
                <w:color w:val="FFFFFF"/>
              </w:rPr>
              <w:t>Cancellation Rate %</w:t>
            </w:r>
          </w:p>
        </w:tc>
      </w:tr>
      <w:tr w14:paraId="27BFF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6255090D">
            <w:pPr>
              <w:jc w:val="left"/>
            </w:pPr>
            <w:r>
              <w:rPr>
                <w:b w:val="0"/>
                <w:bCs w:val="0"/>
                <w:color w:val="000000"/>
              </w:rPr>
              <w:t>City Hotel</w:t>
            </w:r>
          </w:p>
        </w:tc>
        <w:tc>
          <w:tcPr>
            <w:tcW w:w="2200" w:type="dxa"/>
            <w:tcMar>
              <w:top w:w="80" w:type="dxa"/>
              <w:left w:w="100" w:type="dxa"/>
              <w:bottom w:w="80" w:type="dxa"/>
              <w:right w:w="100" w:type="dxa"/>
            </w:tcMar>
          </w:tcPr>
          <w:p w14:paraId="6FC889E5">
            <w:pPr>
              <w:jc w:val="center"/>
            </w:pPr>
            <w:r>
              <w:rPr>
                <w:b w:val="0"/>
                <w:bCs w:val="0"/>
                <w:color w:val="000000"/>
              </w:rPr>
              <w:t>53,267</w:t>
            </w:r>
          </w:p>
        </w:tc>
        <w:tc>
          <w:tcPr>
            <w:tcW w:w="2000" w:type="dxa"/>
            <w:tcMar>
              <w:top w:w="80" w:type="dxa"/>
              <w:left w:w="100" w:type="dxa"/>
              <w:bottom w:w="80" w:type="dxa"/>
              <w:right w:w="100" w:type="dxa"/>
            </w:tcMar>
          </w:tcPr>
          <w:p w14:paraId="1B9179A6">
            <w:pPr>
              <w:jc w:val="center"/>
            </w:pPr>
            <w:r>
              <w:rPr>
                <w:b w:val="0"/>
                <w:bCs w:val="0"/>
                <w:color w:val="000000"/>
              </w:rPr>
              <w:t>16,035</w:t>
            </w:r>
          </w:p>
        </w:tc>
        <w:tc>
          <w:tcPr>
            <w:tcW w:w="2600" w:type="dxa"/>
            <w:tcMar>
              <w:top w:w="80" w:type="dxa"/>
              <w:left w:w="100" w:type="dxa"/>
              <w:bottom w:w="80" w:type="dxa"/>
              <w:right w:w="100" w:type="dxa"/>
            </w:tcMar>
          </w:tcPr>
          <w:p w14:paraId="1413AF1C">
            <w:pPr>
              <w:jc w:val="center"/>
            </w:pPr>
            <w:r>
              <w:rPr>
                <w:b w:val="0"/>
                <w:bCs w:val="0"/>
                <w:color w:val="000000"/>
              </w:rPr>
              <w:t>30.10%</w:t>
            </w:r>
          </w:p>
        </w:tc>
      </w:tr>
      <w:tr w14:paraId="735F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DCE6F1"/>
            <w:tcMar>
              <w:top w:w="80" w:type="dxa"/>
              <w:left w:w="100" w:type="dxa"/>
              <w:bottom w:w="80" w:type="dxa"/>
              <w:right w:w="100" w:type="dxa"/>
            </w:tcMar>
          </w:tcPr>
          <w:p w14:paraId="6D781AC0">
            <w:pPr>
              <w:jc w:val="left"/>
            </w:pPr>
            <w:r>
              <w:rPr>
                <w:b w:val="0"/>
                <w:bCs w:val="0"/>
                <w:color w:val="000000"/>
              </w:rPr>
              <w:t>Resort Hotel</w:t>
            </w:r>
          </w:p>
        </w:tc>
        <w:tc>
          <w:tcPr>
            <w:tcW w:w="2200" w:type="dxa"/>
            <w:shd w:val="clear" w:color="auto" w:fill="DCE6F1"/>
            <w:tcMar>
              <w:top w:w="80" w:type="dxa"/>
              <w:left w:w="100" w:type="dxa"/>
              <w:bottom w:w="80" w:type="dxa"/>
              <w:right w:w="100" w:type="dxa"/>
            </w:tcMar>
          </w:tcPr>
          <w:p w14:paraId="1F2EA95B">
            <w:pPr>
              <w:jc w:val="center"/>
            </w:pPr>
            <w:r>
              <w:rPr>
                <w:b w:val="0"/>
                <w:bCs w:val="0"/>
                <w:color w:val="000000"/>
              </w:rPr>
              <w:t>33,940</w:t>
            </w:r>
          </w:p>
        </w:tc>
        <w:tc>
          <w:tcPr>
            <w:tcW w:w="2000" w:type="dxa"/>
            <w:shd w:val="clear" w:color="auto" w:fill="DCE6F1"/>
            <w:tcMar>
              <w:top w:w="80" w:type="dxa"/>
              <w:left w:w="100" w:type="dxa"/>
              <w:bottom w:w="80" w:type="dxa"/>
              <w:right w:w="100" w:type="dxa"/>
            </w:tcMar>
          </w:tcPr>
          <w:p w14:paraId="58BDE775">
            <w:pPr>
              <w:jc w:val="center"/>
            </w:pPr>
            <w:r>
              <w:rPr>
                <w:b w:val="0"/>
                <w:bCs w:val="0"/>
                <w:color w:val="000000"/>
              </w:rPr>
              <w:t>7,973</w:t>
            </w:r>
          </w:p>
        </w:tc>
        <w:tc>
          <w:tcPr>
            <w:tcW w:w="2600" w:type="dxa"/>
            <w:shd w:val="clear" w:color="auto" w:fill="DCE6F1"/>
            <w:tcMar>
              <w:top w:w="80" w:type="dxa"/>
              <w:left w:w="100" w:type="dxa"/>
              <w:bottom w:w="80" w:type="dxa"/>
              <w:right w:w="100" w:type="dxa"/>
            </w:tcMar>
          </w:tcPr>
          <w:p w14:paraId="60F10CBE">
            <w:pPr>
              <w:jc w:val="center"/>
            </w:pPr>
            <w:r>
              <w:rPr>
                <w:b w:val="0"/>
                <w:bCs w:val="0"/>
                <w:color w:val="000000"/>
              </w:rPr>
              <w:t>23.49%</w:t>
            </w:r>
          </w:p>
        </w:tc>
      </w:tr>
    </w:tbl>
    <w:p w14:paraId="103B9D00">
      <w:pPr>
        <w:pStyle w:val="4"/>
        <w:spacing w:before="200" w:after="100"/>
      </w:pPr>
      <w:r>
        <w:t>Q3. Cancellation rate by market segment</w:t>
      </w:r>
    </w:p>
    <w:p w14:paraId="0D074726">
      <w:pPr>
        <w:spacing w:after="160" w:line="276" w:lineRule="auto"/>
      </w:pPr>
      <w:r>
        <w:t>Online Travel Agents drive the highest cancellation risk of any channel.</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1800"/>
        <w:gridCol w:w="2200"/>
      </w:tblGrid>
      <w:tr w14:paraId="509A4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144E378C">
            <w:pPr>
              <w:jc w:val="center"/>
            </w:pPr>
            <w:r>
              <w:rPr>
                <w:b/>
                <w:bCs/>
                <w:color w:val="FFFFFF"/>
              </w:rPr>
              <w:t>Market Segment</w:t>
            </w:r>
          </w:p>
        </w:tc>
        <w:tc>
          <w:tcPr>
            <w:tcW w:w="2200" w:type="dxa"/>
            <w:shd w:val="clear" w:color="auto" w:fill="1F3864"/>
            <w:tcMar>
              <w:top w:w="80" w:type="dxa"/>
              <w:left w:w="100" w:type="dxa"/>
              <w:bottom w:w="80" w:type="dxa"/>
              <w:right w:w="100" w:type="dxa"/>
            </w:tcMar>
          </w:tcPr>
          <w:p w14:paraId="56A480DE">
            <w:pPr>
              <w:jc w:val="center"/>
            </w:pPr>
            <w:r>
              <w:rPr>
                <w:b/>
                <w:bCs/>
                <w:color w:val="FFFFFF"/>
              </w:rPr>
              <w:t>Total Bookings</w:t>
            </w:r>
          </w:p>
        </w:tc>
        <w:tc>
          <w:tcPr>
            <w:tcW w:w="1800" w:type="dxa"/>
            <w:shd w:val="clear" w:color="auto" w:fill="1F3864"/>
            <w:tcMar>
              <w:top w:w="80" w:type="dxa"/>
              <w:left w:w="100" w:type="dxa"/>
              <w:bottom w:w="80" w:type="dxa"/>
              <w:right w:w="100" w:type="dxa"/>
            </w:tcMar>
          </w:tcPr>
          <w:p w14:paraId="173AC4CA">
            <w:pPr>
              <w:jc w:val="center"/>
            </w:pPr>
            <w:r>
              <w:rPr>
                <w:b/>
                <w:bCs/>
                <w:color w:val="FFFFFF"/>
              </w:rPr>
              <w:t>Canceled</w:t>
            </w:r>
          </w:p>
        </w:tc>
        <w:tc>
          <w:tcPr>
            <w:tcW w:w="2200" w:type="dxa"/>
            <w:shd w:val="clear" w:color="auto" w:fill="1F3864"/>
            <w:tcMar>
              <w:top w:w="80" w:type="dxa"/>
              <w:left w:w="100" w:type="dxa"/>
              <w:bottom w:w="80" w:type="dxa"/>
              <w:right w:w="100" w:type="dxa"/>
            </w:tcMar>
          </w:tcPr>
          <w:p w14:paraId="03D33C2A">
            <w:pPr>
              <w:jc w:val="center"/>
            </w:pPr>
            <w:r>
              <w:rPr>
                <w:b/>
                <w:bCs/>
                <w:color w:val="FFFFFF"/>
              </w:rPr>
              <w:t>Rate %</w:t>
            </w:r>
          </w:p>
        </w:tc>
      </w:tr>
      <w:tr w14:paraId="37E8A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26B3825">
            <w:pPr>
              <w:jc w:val="left"/>
            </w:pPr>
            <w:r>
              <w:rPr>
                <w:b w:val="0"/>
                <w:bCs w:val="0"/>
                <w:color w:val="000000"/>
              </w:rPr>
              <w:t>Online TA</w:t>
            </w:r>
          </w:p>
        </w:tc>
        <w:tc>
          <w:tcPr>
            <w:tcW w:w="2200" w:type="dxa"/>
            <w:tcMar>
              <w:top w:w="80" w:type="dxa"/>
              <w:left w:w="100" w:type="dxa"/>
              <w:bottom w:w="80" w:type="dxa"/>
              <w:right w:w="100" w:type="dxa"/>
            </w:tcMar>
          </w:tcPr>
          <w:p w14:paraId="791B24B9">
            <w:pPr>
              <w:jc w:val="center"/>
            </w:pPr>
            <w:r>
              <w:rPr>
                <w:b w:val="0"/>
                <w:bCs w:val="0"/>
                <w:color w:val="000000"/>
              </w:rPr>
              <w:t>51,550</w:t>
            </w:r>
          </w:p>
        </w:tc>
        <w:tc>
          <w:tcPr>
            <w:tcW w:w="1800" w:type="dxa"/>
            <w:tcMar>
              <w:top w:w="80" w:type="dxa"/>
              <w:left w:w="100" w:type="dxa"/>
              <w:bottom w:w="80" w:type="dxa"/>
              <w:right w:w="100" w:type="dxa"/>
            </w:tcMar>
          </w:tcPr>
          <w:p w14:paraId="2FDCCF9D">
            <w:pPr>
              <w:jc w:val="center"/>
            </w:pPr>
            <w:r>
              <w:rPr>
                <w:b w:val="0"/>
                <w:bCs w:val="0"/>
                <w:color w:val="000000"/>
              </w:rPr>
              <w:t>18,242</w:t>
            </w:r>
          </w:p>
        </w:tc>
        <w:tc>
          <w:tcPr>
            <w:tcW w:w="2200" w:type="dxa"/>
            <w:tcMar>
              <w:top w:w="80" w:type="dxa"/>
              <w:left w:w="100" w:type="dxa"/>
              <w:bottom w:w="80" w:type="dxa"/>
              <w:right w:w="100" w:type="dxa"/>
            </w:tcMar>
          </w:tcPr>
          <w:p w14:paraId="634F25F4">
            <w:pPr>
              <w:jc w:val="center"/>
            </w:pPr>
            <w:r>
              <w:rPr>
                <w:b w:val="0"/>
                <w:bCs w:val="0"/>
                <w:color w:val="000000"/>
              </w:rPr>
              <w:t>35.39%</w:t>
            </w:r>
          </w:p>
        </w:tc>
      </w:tr>
      <w:tr w14:paraId="0FD82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80" w:type="dxa"/>
              <w:left w:w="100" w:type="dxa"/>
              <w:bottom w:w="80" w:type="dxa"/>
              <w:right w:w="100" w:type="dxa"/>
            </w:tcMar>
          </w:tcPr>
          <w:p w14:paraId="22ABC818">
            <w:pPr>
              <w:jc w:val="left"/>
            </w:pPr>
            <w:r>
              <w:rPr>
                <w:b w:val="0"/>
                <w:bCs w:val="0"/>
                <w:color w:val="000000"/>
              </w:rPr>
              <w:t>Groups</w:t>
            </w:r>
          </w:p>
        </w:tc>
        <w:tc>
          <w:tcPr>
            <w:tcW w:w="2200" w:type="dxa"/>
            <w:shd w:val="clear" w:color="auto" w:fill="DCE6F1"/>
            <w:tcMar>
              <w:top w:w="80" w:type="dxa"/>
              <w:left w:w="100" w:type="dxa"/>
              <w:bottom w:w="80" w:type="dxa"/>
              <w:right w:w="100" w:type="dxa"/>
            </w:tcMar>
          </w:tcPr>
          <w:p w14:paraId="5A1A0AF2">
            <w:pPr>
              <w:jc w:val="center"/>
            </w:pPr>
            <w:r>
              <w:rPr>
                <w:b w:val="0"/>
                <w:bCs w:val="0"/>
                <w:color w:val="000000"/>
              </w:rPr>
              <w:t>4,915</w:t>
            </w:r>
          </w:p>
        </w:tc>
        <w:tc>
          <w:tcPr>
            <w:tcW w:w="1800" w:type="dxa"/>
            <w:shd w:val="clear" w:color="auto" w:fill="DCE6F1"/>
            <w:tcMar>
              <w:top w:w="80" w:type="dxa"/>
              <w:left w:w="100" w:type="dxa"/>
              <w:bottom w:w="80" w:type="dxa"/>
              <w:right w:w="100" w:type="dxa"/>
            </w:tcMar>
          </w:tcPr>
          <w:p w14:paraId="6ED661BB">
            <w:pPr>
              <w:jc w:val="center"/>
            </w:pPr>
            <w:r>
              <w:rPr>
                <w:b w:val="0"/>
                <w:bCs w:val="0"/>
                <w:color w:val="000000"/>
              </w:rPr>
              <w:t>1,332</w:t>
            </w:r>
          </w:p>
        </w:tc>
        <w:tc>
          <w:tcPr>
            <w:tcW w:w="2200" w:type="dxa"/>
            <w:shd w:val="clear" w:color="auto" w:fill="DCE6F1"/>
            <w:tcMar>
              <w:top w:w="80" w:type="dxa"/>
              <w:left w:w="100" w:type="dxa"/>
              <w:bottom w:w="80" w:type="dxa"/>
              <w:right w:w="100" w:type="dxa"/>
            </w:tcMar>
          </w:tcPr>
          <w:p w14:paraId="6DACA31C">
            <w:pPr>
              <w:jc w:val="center"/>
            </w:pPr>
            <w:r>
              <w:rPr>
                <w:b w:val="0"/>
                <w:bCs w:val="0"/>
                <w:color w:val="000000"/>
              </w:rPr>
              <w:t>27.10%</w:t>
            </w:r>
          </w:p>
        </w:tc>
      </w:tr>
      <w:tr w14:paraId="4B429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D6960FD">
            <w:pPr>
              <w:jc w:val="left"/>
            </w:pPr>
            <w:r>
              <w:rPr>
                <w:b w:val="0"/>
                <w:bCs w:val="0"/>
                <w:color w:val="000000"/>
              </w:rPr>
              <w:t>Aviation</w:t>
            </w:r>
          </w:p>
        </w:tc>
        <w:tc>
          <w:tcPr>
            <w:tcW w:w="2200" w:type="dxa"/>
            <w:tcMar>
              <w:top w:w="80" w:type="dxa"/>
              <w:left w:w="100" w:type="dxa"/>
              <w:bottom w:w="80" w:type="dxa"/>
              <w:right w:w="100" w:type="dxa"/>
            </w:tcMar>
          </w:tcPr>
          <w:p w14:paraId="39F99D78">
            <w:pPr>
              <w:jc w:val="center"/>
            </w:pPr>
            <w:r>
              <w:rPr>
                <w:b w:val="0"/>
                <w:bCs w:val="0"/>
                <w:color w:val="000000"/>
              </w:rPr>
              <w:t>226</w:t>
            </w:r>
          </w:p>
        </w:tc>
        <w:tc>
          <w:tcPr>
            <w:tcW w:w="1800" w:type="dxa"/>
            <w:tcMar>
              <w:top w:w="80" w:type="dxa"/>
              <w:left w:w="100" w:type="dxa"/>
              <w:bottom w:w="80" w:type="dxa"/>
              <w:right w:w="100" w:type="dxa"/>
            </w:tcMar>
          </w:tcPr>
          <w:p w14:paraId="5C65CF27">
            <w:pPr>
              <w:jc w:val="center"/>
            </w:pPr>
            <w:r>
              <w:rPr>
                <w:b w:val="0"/>
                <w:bCs w:val="0"/>
                <w:color w:val="000000"/>
              </w:rPr>
              <w:t>45</w:t>
            </w:r>
          </w:p>
        </w:tc>
        <w:tc>
          <w:tcPr>
            <w:tcW w:w="2200" w:type="dxa"/>
            <w:tcMar>
              <w:top w:w="80" w:type="dxa"/>
              <w:left w:w="100" w:type="dxa"/>
              <w:bottom w:w="80" w:type="dxa"/>
              <w:right w:w="100" w:type="dxa"/>
            </w:tcMar>
          </w:tcPr>
          <w:p w14:paraId="42E5A626">
            <w:pPr>
              <w:jc w:val="center"/>
            </w:pPr>
            <w:r>
              <w:rPr>
                <w:b w:val="0"/>
                <w:bCs w:val="0"/>
                <w:color w:val="000000"/>
              </w:rPr>
              <w:t>19.91%</w:t>
            </w:r>
          </w:p>
        </w:tc>
      </w:tr>
      <w:tr w14:paraId="372A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80" w:type="dxa"/>
              <w:left w:w="100" w:type="dxa"/>
              <w:bottom w:w="80" w:type="dxa"/>
              <w:right w:w="100" w:type="dxa"/>
            </w:tcMar>
          </w:tcPr>
          <w:p w14:paraId="5D6CBD4A">
            <w:pPr>
              <w:jc w:val="left"/>
            </w:pPr>
            <w:r>
              <w:rPr>
                <w:b w:val="0"/>
                <w:bCs w:val="0"/>
                <w:color w:val="000000"/>
              </w:rPr>
              <w:t>Offline TA/TO</w:t>
            </w:r>
          </w:p>
        </w:tc>
        <w:tc>
          <w:tcPr>
            <w:tcW w:w="2200" w:type="dxa"/>
            <w:shd w:val="clear" w:color="auto" w:fill="DCE6F1"/>
            <w:tcMar>
              <w:top w:w="80" w:type="dxa"/>
              <w:left w:w="100" w:type="dxa"/>
              <w:bottom w:w="80" w:type="dxa"/>
              <w:right w:w="100" w:type="dxa"/>
            </w:tcMar>
          </w:tcPr>
          <w:p w14:paraId="50253948">
            <w:pPr>
              <w:jc w:val="center"/>
            </w:pPr>
            <w:r>
              <w:rPr>
                <w:b w:val="0"/>
                <w:bCs w:val="0"/>
                <w:color w:val="000000"/>
              </w:rPr>
              <w:t>13,848</w:t>
            </w:r>
          </w:p>
        </w:tc>
        <w:tc>
          <w:tcPr>
            <w:tcW w:w="1800" w:type="dxa"/>
            <w:shd w:val="clear" w:color="auto" w:fill="DCE6F1"/>
            <w:tcMar>
              <w:top w:w="80" w:type="dxa"/>
              <w:left w:w="100" w:type="dxa"/>
              <w:bottom w:w="80" w:type="dxa"/>
              <w:right w:w="100" w:type="dxa"/>
            </w:tcMar>
          </w:tcPr>
          <w:p w14:paraId="519B381B">
            <w:pPr>
              <w:jc w:val="center"/>
            </w:pPr>
            <w:r>
              <w:rPr>
                <w:b w:val="0"/>
                <w:bCs w:val="0"/>
                <w:color w:val="000000"/>
              </w:rPr>
              <w:t>2,056</w:t>
            </w:r>
          </w:p>
        </w:tc>
        <w:tc>
          <w:tcPr>
            <w:tcW w:w="2200" w:type="dxa"/>
            <w:shd w:val="clear" w:color="auto" w:fill="DCE6F1"/>
            <w:tcMar>
              <w:top w:w="80" w:type="dxa"/>
              <w:left w:w="100" w:type="dxa"/>
              <w:bottom w:w="80" w:type="dxa"/>
              <w:right w:w="100" w:type="dxa"/>
            </w:tcMar>
          </w:tcPr>
          <w:p w14:paraId="53A81A15">
            <w:pPr>
              <w:jc w:val="center"/>
            </w:pPr>
            <w:r>
              <w:rPr>
                <w:b w:val="0"/>
                <w:bCs w:val="0"/>
                <w:color w:val="000000"/>
              </w:rPr>
              <w:t>14.85%</w:t>
            </w:r>
          </w:p>
        </w:tc>
      </w:tr>
      <w:tr w14:paraId="00F6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3DBB3B99">
            <w:pPr>
              <w:jc w:val="left"/>
            </w:pPr>
            <w:r>
              <w:rPr>
                <w:b w:val="0"/>
                <w:bCs w:val="0"/>
                <w:color w:val="000000"/>
              </w:rPr>
              <w:t>Direct</w:t>
            </w:r>
          </w:p>
        </w:tc>
        <w:tc>
          <w:tcPr>
            <w:tcW w:w="2200" w:type="dxa"/>
            <w:tcMar>
              <w:top w:w="80" w:type="dxa"/>
              <w:left w:w="100" w:type="dxa"/>
              <w:bottom w:w="80" w:type="dxa"/>
              <w:right w:w="100" w:type="dxa"/>
            </w:tcMar>
          </w:tcPr>
          <w:p w14:paraId="406AE939">
            <w:pPr>
              <w:jc w:val="center"/>
            </w:pPr>
            <w:r>
              <w:rPr>
                <w:b w:val="0"/>
                <w:bCs w:val="0"/>
                <w:color w:val="000000"/>
              </w:rPr>
              <w:t>11,774</w:t>
            </w:r>
          </w:p>
        </w:tc>
        <w:tc>
          <w:tcPr>
            <w:tcW w:w="1800" w:type="dxa"/>
            <w:tcMar>
              <w:top w:w="80" w:type="dxa"/>
              <w:left w:w="100" w:type="dxa"/>
              <w:bottom w:w="80" w:type="dxa"/>
              <w:right w:w="100" w:type="dxa"/>
            </w:tcMar>
          </w:tcPr>
          <w:p w14:paraId="570D6252">
            <w:pPr>
              <w:jc w:val="center"/>
            </w:pPr>
            <w:r>
              <w:rPr>
                <w:b w:val="0"/>
                <w:bCs w:val="0"/>
                <w:color w:val="000000"/>
              </w:rPr>
              <w:t>1,737</w:t>
            </w:r>
          </w:p>
        </w:tc>
        <w:tc>
          <w:tcPr>
            <w:tcW w:w="2200" w:type="dxa"/>
            <w:tcMar>
              <w:top w:w="80" w:type="dxa"/>
              <w:left w:w="100" w:type="dxa"/>
              <w:bottom w:w="80" w:type="dxa"/>
              <w:right w:w="100" w:type="dxa"/>
            </w:tcMar>
          </w:tcPr>
          <w:p w14:paraId="5EC9F0B7">
            <w:pPr>
              <w:jc w:val="center"/>
            </w:pPr>
            <w:r>
              <w:rPr>
                <w:b w:val="0"/>
                <w:bCs w:val="0"/>
                <w:color w:val="000000"/>
              </w:rPr>
              <w:t>14.75%</w:t>
            </w:r>
          </w:p>
        </w:tc>
      </w:tr>
      <w:tr w14:paraId="4A49E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80" w:type="dxa"/>
              <w:left w:w="100" w:type="dxa"/>
              <w:bottom w:w="80" w:type="dxa"/>
              <w:right w:w="100" w:type="dxa"/>
            </w:tcMar>
          </w:tcPr>
          <w:p w14:paraId="7DE1A25A">
            <w:pPr>
              <w:jc w:val="left"/>
            </w:pPr>
            <w:r>
              <w:rPr>
                <w:b w:val="0"/>
                <w:bCs w:val="0"/>
                <w:color w:val="000000"/>
              </w:rPr>
              <w:t>Complementary</w:t>
            </w:r>
          </w:p>
        </w:tc>
        <w:tc>
          <w:tcPr>
            <w:tcW w:w="2200" w:type="dxa"/>
            <w:shd w:val="clear" w:color="auto" w:fill="DCE6F1"/>
            <w:tcMar>
              <w:top w:w="80" w:type="dxa"/>
              <w:left w:w="100" w:type="dxa"/>
              <w:bottom w:w="80" w:type="dxa"/>
              <w:right w:w="100" w:type="dxa"/>
            </w:tcMar>
          </w:tcPr>
          <w:p w14:paraId="4F330DD1">
            <w:pPr>
              <w:jc w:val="center"/>
            </w:pPr>
            <w:r>
              <w:rPr>
                <w:b w:val="0"/>
                <w:bCs w:val="0"/>
                <w:color w:val="000000"/>
              </w:rPr>
              <w:t>692</w:t>
            </w:r>
          </w:p>
        </w:tc>
        <w:tc>
          <w:tcPr>
            <w:tcW w:w="1800" w:type="dxa"/>
            <w:shd w:val="clear" w:color="auto" w:fill="DCE6F1"/>
            <w:tcMar>
              <w:top w:w="80" w:type="dxa"/>
              <w:left w:w="100" w:type="dxa"/>
              <w:bottom w:w="80" w:type="dxa"/>
              <w:right w:w="100" w:type="dxa"/>
            </w:tcMar>
          </w:tcPr>
          <w:p w14:paraId="210F059B">
            <w:pPr>
              <w:jc w:val="center"/>
            </w:pPr>
            <w:r>
              <w:rPr>
                <w:b w:val="0"/>
                <w:bCs w:val="0"/>
                <w:color w:val="000000"/>
              </w:rPr>
              <w:t>85</w:t>
            </w:r>
          </w:p>
        </w:tc>
        <w:tc>
          <w:tcPr>
            <w:tcW w:w="2200" w:type="dxa"/>
            <w:shd w:val="clear" w:color="auto" w:fill="DCE6F1"/>
            <w:tcMar>
              <w:top w:w="80" w:type="dxa"/>
              <w:left w:w="100" w:type="dxa"/>
              <w:bottom w:w="80" w:type="dxa"/>
              <w:right w:w="100" w:type="dxa"/>
            </w:tcMar>
          </w:tcPr>
          <w:p w14:paraId="49B8C362">
            <w:pPr>
              <w:jc w:val="center"/>
            </w:pPr>
            <w:r>
              <w:rPr>
                <w:b w:val="0"/>
                <w:bCs w:val="0"/>
                <w:color w:val="000000"/>
              </w:rPr>
              <w:t>12.28%</w:t>
            </w:r>
          </w:p>
        </w:tc>
      </w:tr>
      <w:tr w14:paraId="0FBFD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A3FEECA">
            <w:pPr>
              <w:jc w:val="left"/>
            </w:pPr>
            <w:r>
              <w:rPr>
                <w:b w:val="0"/>
                <w:bCs w:val="0"/>
                <w:color w:val="000000"/>
              </w:rPr>
              <w:t>Corporate</w:t>
            </w:r>
          </w:p>
        </w:tc>
        <w:tc>
          <w:tcPr>
            <w:tcW w:w="2200" w:type="dxa"/>
            <w:tcMar>
              <w:top w:w="80" w:type="dxa"/>
              <w:left w:w="100" w:type="dxa"/>
              <w:bottom w:w="80" w:type="dxa"/>
              <w:right w:w="100" w:type="dxa"/>
            </w:tcMar>
          </w:tcPr>
          <w:p w14:paraId="43B9DAA7">
            <w:pPr>
              <w:jc w:val="center"/>
            </w:pPr>
            <w:r>
              <w:rPr>
                <w:b w:val="0"/>
                <w:bCs w:val="0"/>
                <w:color w:val="000000"/>
              </w:rPr>
              <w:t>4,200</w:t>
            </w:r>
          </w:p>
        </w:tc>
        <w:tc>
          <w:tcPr>
            <w:tcW w:w="1800" w:type="dxa"/>
            <w:tcMar>
              <w:top w:w="80" w:type="dxa"/>
              <w:left w:w="100" w:type="dxa"/>
              <w:bottom w:w="80" w:type="dxa"/>
              <w:right w:w="100" w:type="dxa"/>
            </w:tcMar>
          </w:tcPr>
          <w:p w14:paraId="438ED2AA">
            <w:pPr>
              <w:jc w:val="center"/>
            </w:pPr>
            <w:r>
              <w:rPr>
                <w:b w:val="0"/>
                <w:bCs w:val="0"/>
                <w:color w:val="000000"/>
              </w:rPr>
              <w:t>509</w:t>
            </w:r>
          </w:p>
        </w:tc>
        <w:tc>
          <w:tcPr>
            <w:tcW w:w="2200" w:type="dxa"/>
            <w:tcMar>
              <w:top w:w="80" w:type="dxa"/>
              <w:left w:w="100" w:type="dxa"/>
              <w:bottom w:w="80" w:type="dxa"/>
              <w:right w:w="100" w:type="dxa"/>
            </w:tcMar>
          </w:tcPr>
          <w:p w14:paraId="299B20FC">
            <w:pPr>
              <w:jc w:val="center"/>
            </w:pPr>
            <w:r>
              <w:rPr>
                <w:b w:val="0"/>
                <w:bCs w:val="0"/>
                <w:color w:val="000000"/>
              </w:rPr>
              <w:t>12.12%</w:t>
            </w:r>
          </w:p>
        </w:tc>
      </w:tr>
    </w:tbl>
    <w:p w14:paraId="23869119">
      <w:pPr>
        <w:pStyle w:val="4"/>
        <w:spacing w:before="200" w:after="100"/>
      </w:pPr>
      <w:r>
        <w:t>Q4. Cancellation rate by lead time</w:t>
      </w:r>
    </w:p>
    <w:p w14:paraId="7947D75B">
      <w:pPr>
        <w:spacing w:after="160" w:line="276" w:lineRule="auto"/>
      </w:pPr>
      <w:r>
        <w:t>Bookings made further in advance are cancelled far more often — a 181+ day lead time nearly quadruples the risk seen in the final week.</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1800"/>
        <w:gridCol w:w="2200"/>
      </w:tblGrid>
      <w:tr w14:paraId="608C0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22ABEDB3">
            <w:pPr>
              <w:jc w:val="center"/>
            </w:pPr>
            <w:r>
              <w:rPr>
                <w:b/>
                <w:bCs/>
                <w:color w:val="FFFFFF"/>
              </w:rPr>
              <w:t>Lead Time Group</w:t>
            </w:r>
          </w:p>
        </w:tc>
        <w:tc>
          <w:tcPr>
            <w:tcW w:w="2200" w:type="dxa"/>
            <w:shd w:val="clear" w:color="auto" w:fill="1F3864"/>
            <w:tcMar>
              <w:top w:w="80" w:type="dxa"/>
              <w:left w:w="100" w:type="dxa"/>
              <w:bottom w:w="80" w:type="dxa"/>
              <w:right w:w="100" w:type="dxa"/>
            </w:tcMar>
          </w:tcPr>
          <w:p w14:paraId="58798DA4">
            <w:pPr>
              <w:jc w:val="center"/>
            </w:pPr>
            <w:r>
              <w:rPr>
                <w:b/>
                <w:bCs/>
                <w:color w:val="FFFFFF"/>
              </w:rPr>
              <w:t>Total Bookings</w:t>
            </w:r>
          </w:p>
        </w:tc>
        <w:tc>
          <w:tcPr>
            <w:tcW w:w="1800" w:type="dxa"/>
            <w:shd w:val="clear" w:color="auto" w:fill="1F3864"/>
            <w:tcMar>
              <w:top w:w="80" w:type="dxa"/>
              <w:left w:w="100" w:type="dxa"/>
              <w:bottom w:w="80" w:type="dxa"/>
              <w:right w:w="100" w:type="dxa"/>
            </w:tcMar>
          </w:tcPr>
          <w:p w14:paraId="6E13DBD3">
            <w:pPr>
              <w:jc w:val="center"/>
            </w:pPr>
            <w:r>
              <w:rPr>
                <w:b/>
                <w:bCs/>
                <w:color w:val="FFFFFF"/>
              </w:rPr>
              <w:t>Canceled</w:t>
            </w:r>
          </w:p>
        </w:tc>
        <w:tc>
          <w:tcPr>
            <w:tcW w:w="2200" w:type="dxa"/>
            <w:shd w:val="clear" w:color="auto" w:fill="1F3864"/>
            <w:tcMar>
              <w:top w:w="80" w:type="dxa"/>
              <w:left w:w="100" w:type="dxa"/>
              <w:bottom w:w="80" w:type="dxa"/>
              <w:right w:w="100" w:type="dxa"/>
            </w:tcMar>
          </w:tcPr>
          <w:p w14:paraId="62C182AD">
            <w:pPr>
              <w:jc w:val="center"/>
            </w:pPr>
            <w:r>
              <w:rPr>
                <w:b/>
                <w:bCs/>
                <w:color w:val="FFFFFF"/>
              </w:rPr>
              <w:t>Rate %</w:t>
            </w:r>
          </w:p>
        </w:tc>
      </w:tr>
      <w:tr w14:paraId="0E05D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CDDBB47">
            <w:pPr>
              <w:jc w:val="left"/>
            </w:pPr>
            <w:r>
              <w:rPr>
                <w:b w:val="0"/>
                <w:bCs w:val="0"/>
                <w:color w:val="000000"/>
              </w:rPr>
              <w:t>181+ Days</w:t>
            </w:r>
          </w:p>
        </w:tc>
        <w:tc>
          <w:tcPr>
            <w:tcW w:w="2200" w:type="dxa"/>
            <w:tcMar>
              <w:top w:w="80" w:type="dxa"/>
              <w:left w:w="100" w:type="dxa"/>
              <w:bottom w:w="80" w:type="dxa"/>
              <w:right w:w="100" w:type="dxa"/>
            </w:tcMar>
          </w:tcPr>
          <w:p w14:paraId="3F12A59F">
            <w:pPr>
              <w:jc w:val="center"/>
            </w:pPr>
            <w:r>
              <w:rPr>
                <w:b w:val="0"/>
                <w:bCs w:val="0"/>
                <w:color w:val="000000"/>
              </w:rPr>
              <w:t>11,743</w:t>
            </w:r>
          </w:p>
        </w:tc>
        <w:tc>
          <w:tcPr>
            <w:tcW w:w="1800" w:type="dxa"/>
            <w:tcMar>
              <w:top w:w="80" w:type="dxa"/>
              <w:left w:w="100" w:type="dxa"/>
              <w:bottom w:w="80" w:type="dxa"/>
              <w:right w:w="100" w:type="dxa"/>
            </w:tcMar>
          </w:tcPr>
          <w:p w14:paraId="6542D10B">
            <w:pPr>
              <w:jc w:val="center"/>
            </w:pPr>
            <w:r>
              <w:rPr>
                <w:b w:val="0"/>
                <w:bCs w:val="0"/>
                <w:color w:val="000000"/>
              </w:rPr>
              <w:t>4,672</w:t>
            </w:r>
          </w:p>
        </w:tc>
        <w:tc>
          <w:tcPr>
            <w:tcW w:w="2200" w:type="dxa"/>
            <w:tcMar>
              <w:top w:w="80" w:type="dxa"/>
              <w:left w:w="100" w:type="dxa"/>
              <w:bottom w:w="80" w:type="dxa"/>
              <w:right w:w="100" w:type="dxa"/>
            </w:tcMar>
          </w:tcPr>
          <w:p w14:paraId="58648441">
            <w:pPr>
              <w:jc w:val="center"/>
            </w:pPr>
            <w:r>
              <w:rPr>
                <w:b w:val="0"/>
                <w:bCs w:val="0"/>
                <w:color w:val="000000"/>
              </w:rPr>
              <w:t>39.79%</w:t>
            </w:r>
          </w:p>
        </w:tc>
      </w:tr>
      <w:tr w14:paraId="0330F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80" w:type="dxa"/>
              <w:left w:w="100" w:type="dxa"/>
              <w:bottom w:w="80" w:type="dxa"/>
              <w:right w:w="100" w:type="dxa"/>
            </w:tcMar>
          </w:tcPr>
          <w:p w14:paraId="2FE85EA2">
            <w:pPr>
              <w:jc w:val="left"/>
            </w:pPr>
            <w:r>
              <w:rPr>
                <w:b w:val="0"/>
                <w:bCs w:val="0"/>
                <w:color w:val="000000"/>
              </w:rPr>
              <w:t>91-180 Days</w:t>
            </w:r>
          </w:p>
        </w:tc>
        <w:tc>
          <w:tcPr>
            <w:tcW w:w="2200" w:type="dxa"/>
            <w:shd w:val="clear" w:color="auto" w:fill="DCE6F1"/>
            <w:tcMar>
              <w:top w:w="80" w:type="dxa"/>
              <w:left w:w="100" w:type="dxa"/>
              <w:bottom w:w="80" w:type="dxa"/>
              <w:right w:w="100" w:type="dxa"/>
            </w:tcMar>
          </w:tcPr>
          <w:p w14:paraId="78077FD9">
            <w:pPr>
              <w:jc w:val="center"/>
            </w:pPr>
            <w:r>
              <w:rPr>
                <w:b w:val="0"/>
                <w:bCs w:val="0"/>
                <w:color w:val="000000"/>
              </w:rPr>
              <w:t>18,222</w:t>
            </w:r>
          </w:p>
        </w:tc>
        <w:tc>
          <w:tcPr>
            <w:tcW w:w="1800" w:type="dxa"/>
            <w:shd w:val="clear" w:color="auto" w:fill="DCE6F1"/>
            <w:tcMar>
              <w:top w:w="80" w:type="dxa"/>
              <w:left w:w="100" w:type="dxa"/>
              <w:bottom w:w="80" w:type="dxa"/>
              <w:right w:w="100" w:type="dxa"/>
            </w:tcMar>
          </w:tcPr>
          <w:p w14:paraId="3F77ABDA">
            <w:pPr>
              <w:jc w:val="center"/>
            </w:pPr>
            <w:r>
              <w:rPr>
                <w:b w:val="0"/>
                <w:bCs w:val="0"/>
                <w:color w:val="000000"/>
              </w:rPr>
              <w:t>6,379</w:t>
            </w:r>
          </w:p>
        </w:tc>
        <w:tc>
          <w:tcPr>
            <w:tcW w:w="2200" w:type="dxa"/>
            <w:shd w:val="clear" w:color="auto" w:fill="DCE6F1"/>
            <w:tcMar>
              <w:top w:w="80" w:type="dxa"/>
              <w:left w:w="100" w:type="dxa"/>
              <w:bottom w:w="80" w:type="dxa"/>
              <w:right w:w="100" w:type="dxa"/>
            </w:tcMar>
          </w:tcPr>
          <w:p w14:paraId="5D297335">
            <w:pPr>
              <w:jc w:val="center"/>
            </w:pPr>
            <w:r>
              <w:rPr>
                <w:b w:val="0"/>
                <w:bCs w:val="0"/>
                <w:color w:val="000000"/>
              </w:rPr>
              <w:t>35.01%</w:t>
            </w:r>
          </w:p>
        </w:tc>
      </w:tr>
      <w:tr w14:paraId="5C2B8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5A7C8F0C">
            <w:pPr>
              <w:jc w:val="left"/>
            </w:pPr>
            <w:r>
              <w:rPr>
                <w:b w:val="0"/>
                <w:bCs w:val="0"/>
                <w:color w:val="000000"/>
              </w:rPr>
              <w:t>31-90 Days</w:t>
            </w:r>
          </w:p>
        </w:tc>
        <w:tc>
          <w:tcPr>
            <w:tcW w:w="2200" w:type="dxa"/>
            <w:tcMar>
              <w:top w:w="80" w:type="dxa"/>
              <w:left w:w="100" w:type="dxa"/>
              <w:bottom w:w="80" w:type="dxa"/>
              <w:right w:w="100" w:type="dxa"/>
            </w:tcMar>
          </w:tcPr>
          <w:p w14:paraId="54363085">
            <w:pPr>
              <w:jc w:val="center"/>
            </w:pPr>
            <w:r>
              <w:rPr>
                <w:b w:val="0"/>
                <w:bCs w:val="0"/>
                <w:color w:val="000000"/>
              </w:rPr>
              <w:t>22,715</w:t>
            </w:r>
          </w:p>
        </w:tc>
        <w:tc>
          <w:tcPr>
            <w:tcW w:w="1800" w:type="dxa"/>
            <w:tcMar>
              <w:top w:w="80" w:type="dxa"/>
              <w:left w:w="100" w:type="dxa"/>
              <w:bottom w:w="80" w:type="dxa"/>
              <w:right w:w="100" w:type="dxa"/>
            </w:tcMar>
          </w:tcPr>
          <w:p w14:paraId="61CDD0DA">
            <w:pPr>
              <w:jc w:val="center"/>
            </w:pPr>
            <w:r>
              <w:rPr>
                <w:b w:val="0"/>
                <w:bCs w:val="0"/>
                <w:color w:val="000000"/>
              </w:rPr>
              <w:t>7,280</w:t>
            </w:r>
          </w:p>
        </w:tc>
        <w:tc>
          <w:tcPr>
            <w:tcW w:w="2200" w:type="dxa"/>
            <w:tcMar>
              <w:top w:w="80" w:type="dxa"/>
              <w:left w:w="100" w:type="dxa"/>
              <w:bottom w:w="80" w:type="dxa"/>
              <w:right w:w="100" w:type="dxa"/>
            </w:tcMar>
          </w:tcPr>
          <w:p w14:paraId="33A3E187">
            <w:pPr>
              <w:jc w:val="center"/>
            </w:pPr>
            <w:r>
              <w:rPr>
                <w:b w:val="0"/>
                <w:bCs w:val="0"/>
                <w:color w:val="000000"/>
              </w:rPr>
              <w:t>32.05%</w:t>
            </w:r>
          </w:p>
        </w:tc>
      </w:tr>
      <w:tr w14:paraId="74753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80" w:type="dxa"/>
              <w:left w:w="100" w:type="dxa"/>
              <w:bottom w:w="80" w:type="dxa"/>
              <w:right w:w="100" w:type="dxa"/>
            </w:tcMar>
          </w:tcPr>
          <w:p w14:paraId="7B9582E1">
            <w:pPr>
              <w:jc w:val="left"/>
            </w:pPr>
            <w:r>
              <w:rPr>
                <w:b w:val="0"/>
                <w:bCs w:val="0"/>
                <w:color w:val="000000"/>
              </w:rPr>
              <w:t>8-30 Days</w:t>
            </w:r>
          </w:p>
        </w:tc>
        <w:tc>
          <w:tcPr>
            <w:tcW w:w="2200" w:type="dxa"/>
            <w:shd w:val="clear" w:color="auto" w:fill="DCE6F1"/>
            <w:tcMar>
              <w:top w:w="80" w:type="dxa"/>
              <w:left w:w="100" w:type="dxa"/>
              <w:bottom w:w="80" w:type="dxa"/>
              <w:right w:w="100" w:type="dxa"/>
            </w:tcMar>
          </w:tcPr>
          <w:p w14:paraId="34893401">
            <w:pPr>
              <w:jc w:val="center"/>
            </w:pPr>
            <w:r>
              <w:rPr>
                <w:b w:val="0"/>
                <w:bCs w:val="0"/>
                <w:color w:val="000000"/>
              </w:rPr>
              <w:t>16,324</w:t>
            </w:r>
          </w:p>
        </w:tc>
        <w:tc>
          <w:tcPr>
            <w:tcW w:w="1800" w:type="dxa"/>
            <w:shd w:val="clear" w:color="auto" w:fill="DCE6F1"/>
            <w:tcMar>
              <w:top w:w="80" w:type="dxa"/>
              <w:left w:w="100" w:type="dxa"/>
              <w:bottom w:w="80" w:type="dxa"/>
              <w:right w:w="100" w:type="dxa"/>
            </w:tcMar>
          </w:tcPr>
          <w:p w14:paraId="16642F9D">
            <w:pPr>
              <w:jc w:val="center"/>
            </w:pPr>
            <w:r>
              <w:rPr>
                <w:b w:val="0"/>
                <w:bCs w:val="0"/>
                <w:color w:val="000000"/>
              </w:rPr>
              <w:t>4,145</w:t>
            </w:r>
          </w:p>
        </w:tc>
        <w:tc>
          <w:tcPr>
            <w:tcW w:w="2200" w:type="dxa"/>
            <w:shd w:val="clear" w:color="auto" w:fill="DCE6F1"/>
            <w:tcMar>
              <w:top w:w="80" w:type="dxa"/>
              <w:left w:w="100" w:type="dxa"/>
              <w:bottom w:w="80" w:type="dxa"/>
              <w:right w:w="100" w:type="dxa"/>
            </w:tcMar>
          </w:tcPr>
          <w:p w14:paraId="483C4283">
            <w:pPr>
              <w:jc w:val="center"/>
            </w:pPr>
            <w:r>
              <w:rPr>
                <w:b w:val="0"/>
                <w:bCs w:val="0"/>
                <w:color w:val="000000"/>
              </w:rPr>
              <w:t>25.39%</w:t>
            </w:r>
          </w:p>
        </w:tc>
      </w:tr>
      <w:tr w14:paraId="251F7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62693237">
            <w:pPr>
              <w:jc w:val="left"/>
            </w:pPr>
            <w:r>
              <w:rPr>
                <w:b w:val="0"/>
                <w:bCs w:val="0"/>
                <w:color w:val="000000"/>
              </w:rPr>
              <w:t>0-7 Days</w:t>
            </w:r>
          </w:p>
        </w:tc>
        <w:tc>
          <w:tcPr>
            <w:tcW w:w="2200" w:type="dxa"/>
            <w:tcMar>
              <w:top w:w="80" w:type="dxa"/>
              <w:left w:w="100" w:type="dxa"/>
              <w:bottom w:w="80" w:type="dxa"/>
              <w:right w:w="100" w:type="dxa"/>
            </w:tcMar>
          </w:tcPr>
          <w:p w14:paraId="06BD9713">
            <w:pPr>
              <w:jc w:val="center"/>
            </w:pPr>
            <w:r>
              <w:rPr>
                <w:b w:val="0"/>
                <w:bCs w:val="0"/>
                <w:color w:val="000000"/>
              </w:rPr>
              <w:t>18,203</w:t>
            </w:r>
          </w:p>
        </w:tc>
        <w:tc>
          <w:tcPr>
            <w:tcW w:w="1800" w:type="dxa"/>
            <w:tcMar>
              <w:top w:w="80" w:type="dxa"/>
              <w:left w:w="100" w:type="dxa"/>
              <w:bottom w:w="80" w:type="dxa"/>
              <w:right w:w="100" w:type="dxa"/>
            </w:tcMar>
          </w:tcPr>
          <w:p w14:paraId="3CC40DCA">
            <w:pPr>
              <w:jc w:val="center"/>
            </w:pPr>
            <w:r>
              <w:rPr>
                <w:b w:val="0"/>
                <w:bCs w:val="0"/>
                <w:color w:val="000000"/>
              </w:rPr>
              <w:t>1,532</w:t>
            </w:r>
          </w:p>
        </w:tc>
        <w:tc>
          <w:tcPr>
            <w:tcW w:w="2200" w:type="dxa"/>
            <w:tcMar>
              <w:top w:w="80" w:type="dxa"/>
              <w:left w:w="100" w:type="dxa"/>
              <w:bottom w:w="80" w:type="dxa"/>
              <w:right w:w="100" w:type="dxa"/>
            </w:tcMar>
          </w:tcPr>
          <w:p w14:paraId="7D9F3D4C">
            <w:pPr>
              <w:jc w:val="center"/>
            </w:pPr>
            <w:r>
              <w:rPr>
                <w:b w:val="0"/>
                <w:bCs w:val="0"/>
                <w:color w:val="000000"/>
              </w:rPr>
              <w:t>8.42%</w:t>
            </w:r>
          </w:p>
        </w:tc>
      </w:tr>
    </w:tbl>
    <w:p w14:paraId="1306B370">
      <w:pPr>
        <w:pStyle w:val="4"/>
        <w:spacing w:before="200" w:after="100"/>
      </w:pPr>
      <w:r>
        <w:t>Q5. Revenue by customer type</w:t>
      </w:r>
    </w:p>
    <w:p w14:paraId="069E0607">
      <w:pPr>
        <w:spacing w:after="160" w:line="276" w:lineRule="auto"/>
      </w:pPr>
      <w:r>
        <w:t>Transient (individual, non-grouped) guests dominate both volume and net revenue.</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000"/>
        <w:gridCol w:w="2400"/>
        <w:gridCol w:w="1800"/>
      </w:tblGrid>
      <w:tr w14:paraId="5385D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2DB74003">
            <w:pPr>
              <w:jc w:val="center"/>
            </w:pPr>
            <w:r>
              <w:rPr>
                <w:b/>
                <w:bCs/>
                <w:color w:val="FFFFFF"/>
              </w:rPr>
              <w:t>Customer Type</w:t>
            </w:r>
          </w:p>
        </w:tc>
        <w:tc>
          <w:tcPr>
            <w:tcW w:w="2000" w:type="dxa"/>
            <w:shd w:val="clear" w:color="auto" w:fill="1F3864"/>
            <w:tcMar>
              <w:top w:w="80" w:type="dxa"/>
              <w:left w:w="100" w:type="dxa"/>
              <w:bottom w:w="80" w:type="dxa"/>
              <w:right w:w="100" w:type="dxa"/>
            </w:tcMar>
          </w:tcPr>
          <w:p w14:paraId="44C8A766">
            <w:pPr>
              <w:jc w:val="center"/>
            </w:pPr>
            <w:r>
              <w:rPr>
                <w:b/>
                <w:bCs/>
                <w:color w:val="FFFFFF"/>
              </w:rPr>
              <w:t>Bookings</w:t>
            </w:r>
          </w:p>
        </w:tc>
        <w:tc>
          <w:tcPr>
            <w:tcW w:w="2400" w:type="dxa"/>
            <w:shd w:val="clear" w:color="auto" w:fill="1F3864"/>
            <w:tcMar>
              <w:top w:w="80" w:type="dxa"/>
              <w:left w:w="100" w:type="dxa"/>
              <w:bottom w:w="80" w:type="dxa"/>
              <w:right w:w="100" w:type="dxa"/>
            </w:tcMar>
          </w:tcPr>
          <w:p w14:paraId="6C09D73A">
            <w:pPr>
              <w:jc w:val="center"/>
            </w:pPr>
            <w:r>
              <w:rPr>
                <w:b/>
                <w:bCs/>
                <w:color w:val="FFFFFF"/>
              </w:rPr>
              <w:t>Net Revenue</w:t>
            </w:r>
          </w:p>
        </w:tc>
        <w:tc>
          <w:tcPr>
            <w:tcW w:w="1800" w:type="dxa"/>
            <w:shd w:val="clear" w:color="auto" w:fill="1F3864"/>
            <w:tcMar>
              <w:top w:w="80" w:type="dxa"/>
              <w:left w:w="100" w:type="dxa"/>
              <w:bottom w:w="80" w:type="dxa"/>
              <w:right w:w="100" w:type="dxa"/>
            </w:tcMar>
          </w:tcPr>
          <w:p w14:paraId="01C3EE0F">
            <w:pPr>
              <w:jc w:val="center"/>
            </w:pPr>
            <w:r>
              <w:rPr>
                <w:b/>
                <w:bCs/>
                <w:color w:val="FFFFFF"/>
              </w:rPr>
              <w:t>Avg. ADR</w:t>
            </w:r>
          </w:p>
        </w:tc>
      </w:tr>
      <w:tr w14:paraId="2BBB2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A48C642">
            <w:pPr>
              <w:jc w:val="left"/>
            </w:pPr>
            <w:r>
              <w:rPr>
                <w:b w:val="0"/>
                <w:bCs w:val="0"/>
                <w:color w:val="000000"/>
              </w:rPr>
              <w:t>Transient</w:t>
            </w:r>
          </w:p>
        </w:tc>
        <w:tc>
          <w:tcPr>
            <w:tcW w:w="2000" w:type="dxa"/>
            <w:tcMar>
              <w:top w:w="80" w:type="dxa"/>
              <w:left w:w="100" w:type="dxa"/>
              <w:bottom w:w="80" w:type="dxa"/>
              <w:right w:w="100" w:type="dxa"/>
            </w:tcMar>
          </w:tcPr>
          <w:p w14:paraId="5C7F64DA">
            <w:pPr>
              <w:jc w:val="center"/>
            </w:pPr>
            <w:r>
              <w:rPr>
                <w:b w:val="0"/>
                <w:bCs w:val="0"/>
                <w:color w:val="000000"/>
              </w:rPr>
              <w:t>71,855</w:t>
            </w:r>
          </w:p>
        </w:tc>
        <w:tc>
          <w:tcPr>
            <w:tcW w:w="2400" w:type="dxa"/>
            <w:tcMar>
              <w:top w:w="80" w:type="dxa"/>
              <w:left w:w="100" w:type="dxa"/>
              <w:bottom w:w="80" w:type="dxa"/>
              <w:right w:w="100" w:type="dxa"/>
            </w:tcMar>
          </w:tcPr>
          <w:p w14:paraId="6B864090">
            <w:pPr>
              <w:jc w:val="center"/>
            </w:pPr>
            <w:r>
              <w:rPr>
                <w:b w:val="0"/>
                <w:bCs w:val="0"/>
                <w:color w:val="000000"/>
              </w:rPr>
              <w:t>$18,507,858</w:t>
            </w:r>
          </w:p>
        </w:tc>
        <w:tc>
          <w:tcPr>
            <w:tcW w:w="1800" w:type="dxa"/>
            <w:tcMar>
              <w:top w:w="80" w:type="dxa"/>
              <w:left w:w="100" w:type="dxa"/>
              <w:bottom w:w="80" w:type="dxa"/>
              <w:right w:w="100" w:type="dxa"/>
            </w:tcMar>
          </w:tcPr>
          <w:p w14:paraId="5A38F5F0">
            <w:pPr>
              <w:jc w:val="center"/>
            </w:pPr>
            <w:r>
              <w:rPr>
                <w:b w:val="0"/>
                <w:bCs w:val="0"/>
                <w:color w:val="000000"/>
              </w:rPr>
              <w:t>$110.30</w:t>
            </w:r>
          </w:p>
        </w:tc>
      </w:tr>
      <w:tr w14:paraId="1D10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80" w:type="dxa"/>
              <w:left w:w="100" w:type="dxa"/>
              <w:bottom w:w="80" w:type="dxa"/>
              <w:right w:w="100" w:type="dxa"/>
            </w:tcMar>
          </w:tcPr>
          <w:p w14:paraId="7895D764">
            <w:pPr>
              <w:jc w:val="left"/>
            </w:pPr>
            <w:r>
              <w:rPr>
                <w:b w:val="0"/>
                <w:bCs w:val="0"/>
                <w:color w:val="000000"/>
              </w:rPr>
              <w:t>Transient-Party</w:t>
            </w:r>
          </w:p>
        </w:tc>
        <w:tc>
          <w:tcPr>
            <w:tcW w:w="2000" w:type="dxa"/>
            <w:shd w:val="clear" w:color="auto" w:fill="DCE6F1"/>
            <w:tcMar>
              <w:top w:w="80" w:type="dxa"/>
              <w:left w:w="100" w:type="dxa"/>
              <w:bottom w:w="80" w:type="dxa"/>
              <w:right w:w="100" w:type="dxa"/>
            </w:tcMar>
          </w:tcPr>
          <w:p w14:paraId="49AF1E48">
            <w:pPr>
              <w:jc w:val="center"/>
            </w:pPr>
            <w:r>
              <w:rPr>
                <w:b w:val="0"/>
                <w:bCs w:val="0"/>
                <w:color w:val="000000"/>
              </w:rPr>
              <w:t>11,678</w:t>
            </w:r>
          </w:p>
        </w:tc>
        <w:tc>
          <w:tcPr>
            <w:tcW w:w="2400" w:type="dxa"/>
            <w:shd w:val="clear" w:color="auto" w:fill="DCE6F1"/>
            <w:tcMar>
              <w:top w:w="80" w:type="dxa"/>
              <w:left w:w="100" w:type="dxa"/>
              <w:bottom w:w="80" w:type="dxa"/>
              <w:right w:w="100" w:type="dxa"/>
            </w:tcMar>
          </w:tcPr>
          <w:p w14:paraId="454ADA14">
            <w:pPr>
              <w:jc w:val="center"/>
            </w:pPr>
            <w:r>
              <w:rPr>
                <w:b w:val="0"/>
                <w:bCs w:val="0"/>
                <w:color w:val="000000"/>
              </w:rPr>
              <w:t>$2,924,659</w:t>
            </w:r>
          </w:p>
        </w:tc>
        <w:tc>
          <w:tcPr>
            <w:tcW w:w="1800" w:type="dxa"/>
            <w:shd w:val="clear" w:color="auto" w:fill="DCE6F1"/>
            <w:tcMar>
              <w:top w:w="80" w:type="dxa"/>
              <w:left w:w="100" w:type="dxa"/>
              <w:bottom w:w="80" w:type="dxa"/>
              <w:right w:w="100" w:type="dxa"/>
            </w:tcMar>
          </w:tcPr>
          <w:p w14:paraId="0775DEAA">
            <w:pPr>
              <w:jc w:val="center"/>
            </w:pPr>
            <w:r>
              <w:rPr>
                <w:b w:val="0"/>
                <w:bCs w:val="0"/>
                <w:color w:val="000000"/>
              </w:rPr>
              <w:t>$87.94</w:t>
            </w:r>
          </w:p>
        </w:tc>
      </w:tr>
      <w:tr w14:paraId="6008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7B8E63DA">
            <w:pPr>
              <w:jc w:val="left"/>
            </w:pPr>
            <w:r>
              <w:rPr>
                <w:b w:val="0"/>
                <w:bCs w:val="0"/>
                <w:color w:val="000000"/>
              </w:rPr>
              <w:t>Contract</w:t>
            </w:r>
          </w:p>
        </w:tc>
        <w:tc>
          <w:tcPr>
            <w:tcW w:w="2000" w:type="dxa"/>
            <w:tcMar>
              <w:top w:w="80" w:type="dxa"/>
              <w:left w:w="100" w:type="dxa"/>
              <w:bottom w:w="80" w:type="dxa"/>
              <w:right w:w="100" w:type="dxa"/>
            </w:tcMar>
          </w:tcPr>
          <w:p w14:paraId="0A8981AF">
            <w:pPr>
              <w:jc w:val="center"/>
            </w:pPr>
            <w:r>
              <w:rPr>
                <w:b w:val="0"/>
                <w:bCs w:val="0"/>
                <w:color w:val="000000"/>
              </w:rPr>
              <w:t>3,133</w:t>
            </w:r>
          </w:p>
        </w:tc>
        <w:tc>
          <w:tcPr>
            <w:tcW w:w="2400" w:type="dxa"/>
            <w:tcMar>
              <w:top w:w="80" w:type="dxa"/>
              <w:left w:w="100" w:type="dxa"/>
              <w:bottom w:w="80" w:type="dxa"/>
              <w:right w:w="100" w:type="dxa"/>
            </w:tcMar>
          </w:tcPr>
          <w:p w14:paraId="0DF39F0D">
            <w:pPr>
              <w:jc w:val="center"/>
            </w:pPr>
            <w:r>
              <w:rPr>
                <w:b w:val="0"/>
                <w:bCs w:val="0"/>
                <w:color w:val="000000"/>
              </w:rPr>
              <w:t>$1,404,927</w:t>
            </w:r>
          </w:p>
        </w:tc>
        <w:tc>
          <w:tcPr>
            <w:tcW w:w="1800" w:type="dxa"/>
            <w:tcMar>
              <w:top w:w="80" w:type="dxa"/>
              <w:left w:w="100" w:type="dxa"/>
              <w:bottom w:w="80" w:type="dxa"/>
              <w:right w:w="100" w:type="dxa"/>
            </w:tcMar>
          </w:tcPr>
          <w:p w14:paraId="7BA9861F">
            <w:pPr>
              <w:jc w:val="center"/>
            </w:pPr>
            <w:r>
              <w:rPr>
                <w:b w:val="0"/>
                <w:bCs w:val="0"/>
                <w:color w:val="000000"/>
              </w:rPr>
              <w:t>$92.90</w:t>
            </w:r>
          </w:p>
        </w:tc>
      </w:tr>
      <w:tr w14:paraId="0186F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80" w:type="dxa"/>
              <w:left w:w="100" w:type="dxa"/>
              <w:bottom w:w="80" w:type="dxa"/>
              <w:right w:w="100" w:type="dxa"/>
            </w:tcMar>
          </w:tcPr>
          <w:p w14:paraId="48F5F0C1">
            <w:pPr>
              <w:jc w:val="left"/>
            </w:pPr>
            <w:r>
              <w:rPr>
                <w:b w:val="0"/>
                <w:bCs w:val="0"/>
                <w:color w:val="000000"/>
              </w:rPr>
              <w:t>Group</w:t>
            </w:r>
          </w:p>
        </w:tc>
        <w:tc>
          <w:tcPr>
            <w:tcW w:w="2000" w:type="dxa"/>
            <w:shd w:val="clear" w:color="auto" w:fill="DCE6F1"/>
            <w:tcMar>
              <w:top w:w="80" w:type="dxa"/>
              <w:left w:w="100" w:type="dxa"/>
              <w:bottom w:w="80" w:type="dxa"/>
              <w:right w:w="100" w:type="dxa"/>
            </w:tcMar>
          </w:tcPr>
          <w:p w14:paraId="291342C1">
            <w:pPr>
              <w:jc w:val="center"/>
            </w:pPr>
            <w:r>
              <w:rPr>
                <w:b w:val="0"/>
                <w:bCs w:val="0"/>
                <w:color w:val="000000"/>
              </w:rPr>
              <w:t>541</w:t>
            </w:r>
          </w:p>
        </w:tc>
        <w:tc>
          <w:tcPr>
            <w:tcW w:w="2400" w:type="dxa"/>
            <w:shd w:val="clear" w:color="auto" w:fill="DCE6F1"/>
            <w:tcMar>
              <w:top w:w="80" w:type="dxa"/>
              <w:left w:w="100" w:type="dxa"/>
              <w:bottom w:w="80" w:type="dxa"/>
              <w:right w:w="100" w:type="dxa"/>
            </w:tcMar>
          </w:tcPr>
          <w:p w14:paraId="069682FF">
            <w:pPr>
              <w:jc w:val="center"/>
            </w:pPr>
            <w:r>
              <w:rPr>
                <w:b w:val="0"/>
                <w:bCs w:val="0"/>
                <w:color w:val="000000"/>
              </w:rPr>
              <w:t>$119,208</w:t>
            </w:r>
          </w:p>
        </w:tc>
        <w:tc>
          <w:tcPr>
            <w:tcW w:w="1800" w:type="dxa"/>
            <w:shd w:val="clear" w:color="auto" w:fill="DCE6F1"/>
            <w:tcMar>
              <w:top w:w="80" w:type="dxa"/>
              <w:left w:w="100" w:type="dxa"/>
              <w:bottom w:w="80" w:type="dxa"/>
              <w:right w:w="100" w:type="dxa"/>
            </w:tcMar>
          </w:tcPr>
          <w:p w14:paraId="2E5C81A2">
            <w:pPr>
              <w:jc w:val="center"/>
            </w:pPr>
            <w:r>
              <w:rPr>
                <w:b w:val="0"/>
                <w:bCs w:val="0"/>
                <w:color w:val="000000"/>
              </w:rPr>
              <w:t>$84.82</w:t>
            </w:r>
          </w:p>
        </w:tc>
      </w:tr>
    </w:tbl>
    <w:p w14:paraId="49FA1465">
      <w:pPr>
        <w:pStyle w:val="4"/>
        <w:spacing w:before="200" w:after="100"/>
      </w:pPr>
      <w:r>
        <w:t>Q6. Net revenue by hotel</w:t>
      </w:r>
    </w:p>
    <w:p w14:paraId="1CF4D7DD">
      <w:pPr>
        <w:spacing w:after="160" w:line="276" w:lineRule="auto"/>
      </w:pPr>
      <w:r>
        <w:t>City Hotel generates more total net revenue, though Resort Hotel commands a comparable average rate.</w:t>
      </w: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200"/>
        <w:gridCol w:w="2400"/>
        <w:gridCol w:w="1600"/>
      </w:tblGrid>
      <w:tr w14:paraId="6473F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10667CCB">
            <w:pPr>
              <w:jc w:val="center"/>
            </w:pPr>
            <w:r>
              <w:rPr>
                <w:b/>
                <w:bCs/>
                <w:color w:val="FFFFFF"/>
              </w:rPr>
              <w:t>Hotel</w:t>
            </w:r>
          </w:p>
        </w:tc>
        <w:tc>
          <w:tcPr>
            <w:tcW w:w="2200" w:type="dxa"/>
            <w:shd w:val="clear" w:color="auto" w:fill="1F3864"/>
            <w:tcMar>
              <w:top w:w="80" w:type="dxa"/>
              <w:left w:w="100" w:type="dxa"/>
              <w:bottom w:w="80" w:type="dxa"/>
              <w:right w:w="100" w:type="dxa"/>
            </w:tcMar>
          </w:tcPr>
          <w:p w14:paraId="3EDDE8A7">
            <w:pPr>
              <w:jc w:val="center"/>
            </w:pPr>
            <w:r>
              <w:rPr>
                <w:b/>
                <w:bCs/>
                <w:color w:val="FFFFFF"/>
              </w:rPr>
              <w:t>Total Bookings</w:t>
            </w:r>
          </w:p>
        </w:tc>
        <w:tc>
          <w:tcPr>
            <w:tcW w:w="2400" w:type="dxa"/>
            <w:shd w:val="clear" w:color="auto" w:fill="1F3864"/>
            <w:tcMar>
              <w:top w:w="80" w:type="dxa"/>
              <w:left w:w="100" w:type="dxa"/>
              <w:bottom w:w="80" w:type="dxa"/>
              <w:right w:w="100" w:type="dxa"/>
            </w:tcMar>
          </w:tcPr>
          <w:p w14:paraId="7F86FE0F">
            <w:pPr>
              <w:jc w:val="center"/>
            </w:pPr>
            <w:r>
              <w:rPr>
                <w:b/>
                <w:bCs/>
                <w:color w:val="FFFFFF"/>
              </w:rPr>
              <w:t>Net Revenue</w:t>
            </w:r>
          </w:p>
        </w:tc>
        <w:tc>
          <w:tcPr>
            <w:tcW w:w="1600" w:type="dxa"/>
            <w:shd w:val="clear" w:color="auto" w:fill="1F3864"/>
            <w:tcMar>
              <w:top w:w="80" w:type="dxa"/>
              <w:left w:w="100" w:type="dxa"/>
              <w:bottom w:w="80" w:type="dxa"/>
              <w:right w:w="100" w:type="dxa"/>
            </w:tcMar>
          </w:tcPr>
          <w:p w14:paraId="6492418F">
            <w:pPr>
              <w:jc w:val="center"/>
            </w:pPr>
            <w:r>
              <w:rPr>
                <w:b/>
                <w:bCs/>
                <w:color w:val="FFFFFF"/>
              </w:rPr>
              <w:t>Avg. ADR</w:t>
            </w:r>
          </w:p>
        </w:tc>
      </w:tr>
      <w:tr w14:paraId="6BB9E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D21F163">
            <w:pPr>
              <w:jc w:val="left"/>
            </w:pPr>
            <w:r>
              <w:rPr>
                <w:b w:val="0"/>
                <w:bCs w:val="0"/>
                <w:color w:val="000000"/>
              </w:rPr>
              <w:t>City Hotel</w:t>
            </w:r>
          </w:p>
        </w:tc>
        <w:tc>
          <w:tcPr>
            <w:tcW w:w="2200" w:type="dxa"/>
            <w:tcMar>
              <w:top w:w="80" w:type="dxa"/>
              <w:left w:w="100" w:type="dxa"/>
              <w:bottom w:w="80" w:type="dxa"/>
              <w:right w:w="100" w:type="dxa"/>
            </w:tcMar>
          </w:tcPr>
          <w:p w14:paraId="5042768B">
            <w:pPr>
              <w:jc w:val="center"/>
            </w:pPr>
            <w:r>
              <w:rPr>
                <w:b w:val="0"/>
                <w:bCs w:val="0"/>
                <w:color w:val="000000"/>
              </w:rPr>
              <w:t>53,267</w:t>
            </w:r>
          </w:p>
        </w:tc>
        <w:tc>
          <w:tcPr>
            <w:tcW w:w="2400" w:type="dxa"/>
            <w:tcMar>
              <w:top w:w="80" w:type="dxa"/>
              <w:left w:w="100" w:type="dxa"/>
              <w:bottom w:w="80" w:type="dxa"/>
              <w:right w:w="100" w:type="dxa"/>
            </w:tcMar>
          </w:tcPr>
          <w:p w14:paraId="547C554C">
            <w:pPr>
              <w:jc w:val="center"/>
            </w:pPr>
            <w:r>
              <w:rPr>
                <w:b w:val="0"/>
                <w:bCs w:val="0"/>
                <w:color w:val="000000"/>
              </w:rPr>
              <w:t>$12,146,845</w:t>
            </w:r>
          </w:p>
        </w:tc>
        <w:tc>
          <w:tcPr>
            <w:tcW w:w="1600" w:type="dxa"/>
            <w:tcMar>
              <w:top w:w="80" w:type="dxa"/>
              <w:left w:w="100" w:type="dxa"/>
              <w:bottom w:w="80" w:type="dxa"/>
              <w:right w:w="100" w:type="dxa"/>
            </w:tcMar>
          </w:tcPr>
          <w:p w14:paraId="1F54E97B">
            <w:pPr>
              <w:jc w:val="center"/>
            </w:pPr>
            <w:r>
              <w:rPr>
                <w:b w:val="0"/>
                <w:bCs w:val="0"/>
                <w:color w:val="000000"/>
              </w:rPr>
              <w:t>$111.26</w:t>
            </w:r>
          </w:p>
        </w:tc>
      </w:tr>
      <w:tr w14:paraId="05EB5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DCE6F1"/>
            <w:tcMar>
              <w:top w:w="80" w:type="dxa"/>
              <w:left w:w="100" w:type="dxa"/>
              <w:bottom w:w="80" w:type="dxa"/>
              <w:right w:w="100" w:type="dxa"/>
            </w:tcMar>
          </w:tcPr>
          <w:p w14:paraId="1C2E8FCF">
            <w:pPr>
              <w:jc w:val="left"/>
            </w:pPr>
            <w:r>
              <w:rPr>
                <w:b w:val="0"/>
                <w:bCs w:val="0"/>
                <w:color w:val="000000"/>
              </w:rPr>
              <w:t>Resort Hotel</w:t>
            </w:r>
          </w:p>
        </w:tc>
        <w:tc>
          <w:tcPr>
            <w:tcW w:w="2200" w:type="dxa"/>
            <w:shd w:val="clear" w:color="auto" w:fill="DCE6F1"/>
            <w:tcMar>
              <w:top w:w="80" w:type="dxa"/>
              <w:left w:w="100" w:type="dxa"/>
              <w:bottom w:w="80" w:type="dxa"/>
              <w:right w:w="100" w:type="dxa"/>
            </w:tcMar>
          </w:tcPr>
          <w:p w14:paraId="4C8EF891">
            <w:pPr>
              <w:jc w:val="center"/>
            </w:pPr>
            <w:r>
              <w:rPr>
                <w:b w:val="0"/>
                <w:bCs w:val="0"/>
                <w:color w:val="000000"/>
              </w:rPr>
              <w:t>33,940</w:t>
            </w:r>
          </w:p>
        </w:tc>
        <w:tc>
          <w:tcPr>
            <w:tcW w:w="2400" w:type="dxa"/>
            <w:shd w:val="clear" w:color="auto" w:fill="DCE6F1"/>
            <w:tcMar>
              <w:top w:w="80" w:type="dxa"/>
              <w:left w:w="100" w:type="dxa"/>
              <w:bottom w:w="80" w:type="dxa"/>
              <w:right w:w="100" w:type="dxa"/>
            </w:tcMar>
          </w:tcPr>
          <w:p w14:paraId="0B8A25B0">
            <w:pPr>
              <w:jc w:val="center"/>
            </w:pPr>
            <w:r>
              <w:rPr>
                <w:b w:val="0"/>
                <w:bCs w:val="0"/>
                <w:color w:val="000000"/>
              </w:rPr>
              <w:t>$10,809,807</w:t>
            </w:r>
          </w:p>
        </w:tc>
        <w:tc>
          <w:tcPr>
            <w:tcW w:w="1600" w:type="dxa"/>
            <w:shd w:val="clear" w:color="auto" w:fill="DCE6F1"/>
            <w:tcMar>
              <w:top w:w="80" w:type="dxa"/>
              <w:left w:w="100" w:type="dxa"/>
              <w:bottom w:w="80" w:type="dxa"/>
              <w:right w:w="100" w:type="dxa"/>
            </w:tcMar>
          </w:tcPr>
          <w:p w14:paraId="07457D8E">
            <w:pPr>
              <w:jc w:val="center"/>
            </w:pPr>
            <w:r>
              <w:rPr>
                <w:b w:val="0"/>
                <w:bCs w:val="0"/>
                <w:color w:val="000000"/>
              </w:rPr>
              <w:t>$99.07</w:t>
            </w:r>
          </w:p>
        </w:tc>
      </w:tr>
    </w:tbl>
    <w:p w14:paraId="6FB82007">
      <w:pPr>
        <w:pStyle w:val="4"/>
        <w:spacing w:before="200" w:after="100"/>
      </w:pPr>
      <w:r>
        <w:t>Q7. Bookings and revenue over time</w:t>
      </w:r>
    </w:p>
    <w:p w14:paraId="2817364E">
      <w:pPr>
        <w:spacing w:after="160" w:line="276" w:lineRule="auto"/>
      </w:pPr>
      <w:r>
        <w:t>Grouped by arrival year and month to reveal seasonality — the report page "Revenue &amp; Pricing" visualizes this as a month-over-month area chart.</w:t>
      </w:r>
    </w:p>
    <w:p w14:paraId="22EDD0F7">
      <w:pPr>
        <w:pStyle w:val="4"/>
        <w:spacing w:before="200" w:after="100"/>
      </w:pPr>
      <w:r>
        <w:t>Q8. Revenue by market segment</w:t>
      </w:r>
    </w:p>
    <w:p w14:paraId="401348BC">
      <w:pPr>
        <w:spacing w:after="160" w:line="276" w:lineRule="auto"/>
      </w:pPr>
      <w:r>
        <w:t>Online TA is both the largest channel by volume and the largest by net revenue, despite its high cancellation rate.</w:t>
      </w:r>
    </w:p>
    <w:p w14:paraId="00DEDFF4">
      <w:pPr>
        <w:pStyle w:val="4"/>
        <w:spacing w:before="200" w:after="100"/>
      </w:pPr>
      <w:r>
        <w:t>Q9. Special requests vs. cancellation</w:t>
      </w:r>
    </w:p>
    <w:p w14:paraId="7C7D5093">
      <w:pPr>
        <w:spacing w:after="160" w:line="276" w:lineRule="auto"/>
      </w:pPr>
      <w:r>
        <w:t>The more special requests a guest makes at booking, the less likely they are to cancel — a useful early signal of booking intent.</w:t>
      </w:r>
    </w:p>
    <w:p w14:paraId="4F1ED3F3">
      <w:pPr>
        <w:spacing w:after="160" w:line="276" w:lineRule="auto"/>
      </w:pPr>
    </w:p>
    <w:tbl>
      <w:tblPr>
        <w:tblStyle w:val="9"/>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200"/>
        <w:gridCol w:w="1800"/>
        <w:gridCol w:w="2000"/>
      </w:tblGrid>
      <w:tr w14:paraId="4ED02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shd w:val="clear" w:color="auto" w:fill="1F3864"/>
            <w:tcMar>
              <w:top w:w="80" w:type="dxa"/>
              <w:left w:w="100" w:type="dxa"/>
              <w:bottom w:w="80" w:type="dxa"/>
              <w:right w:w="100" w:type="dxa"/>
            </w:tcMar>
          </w:tcPr>
          <w:p w14:paraId="508D9941">
            <w:pPr>
              <w:jc w:val="center"/>
            </w:pPr>
            <w:r>
              <w:rPr>
                <w:b/>
                <w:bCs/>
                <w:color w:val="FFFFFF"/>
              </w:rPr>
              <w:t># Special Requests</w:t>
            </w:r>
          </w:p>
        </w:tc>
        <w:tc>
          <w:tcPr>
            <w:tcW w:w="2200" w:type="dxa"/>
            <w:shd w:val="clear" w:color="auto" w:fill="1F3864"/>
            <w:tcMar>
              <w:top w:w="80" w:type="dxa"/>
              <w:left w:w="100" w:type="dxa"/>
              <w:bottom w:w="80" w:type="dxa"/>
              <w:right w:w="100" w:type="dxa"/>
            </w:tcMar>
          </w:tcPr>
          <w:p w14:paraId="28091409">
            <w:pPr>
              <w:jc w:val="center"/>
            </w:pPr>
            <w:r>
              <w:rPr>
                <w:b/>
                <w:bCs/>
                <w:color w:val="FFFFFF"/>
              </w:rPr>
              <w:t>Total Bookings</w:t>
            </w:r>
          </w:p>
        </w:tc>
        <w:tc>
          <w:tcPr>
            <w:tcW w:w="1800" w:type="dxa"/>
            <w:shd w:val="clear" w:color="auto" w:fill="1F3864"/>
            <w:tcMar>
              <w:top w:w="80" w:type="dxa"/>
              <w:left w:w="100" w:type="dxa"/>
              <w:bottom w:w="80" w:type="dxa"/>
              <w:right w:w="100" w:type="dxa"/>
            </w:tcMar>
          </w:tcPr>
          <w:p w14:paraId="5C589F39">
            <w:pPr>
              <w:jc w:val="center"/>
            </w:pPr>
            <w:r>
              <w:rPr>
                <w:b/>
                <w:bCs/>
                <w:color w:val="FFFFFF"/>
              </w:rPr>
              <w:t>Canceled</w:t>
            </w:r>
          </w:p>
        </w:tc>
        <w:tc>
          <w:tcPr>
            <w:tcW w:w="2000" w:type="dxa"/>
            <w:shd w:val="clear" w:color="auto" w:fill="1F3864"/>
            <w:tcMar>
              <w:top w:w="80" w:type="dxa"/>
              <w:left w:w="100" w:type="dxa"/>
              <w:bottom w:w="80" w:type="dxa"/>
              <w:right w:w="100" w:type="dxa"/>
            </w:tcMar>
          </w:tcPr>
          <w:p w14:paraId="7C8AFACE">
            <w:pPr>
              <w:jc w:val="center"/>
            </w:pPr>
            <w:r>
              <w:rPr>
                <w:b/>
                <w:bCs/>
                <w:color w:val="FFFFFF"/>
              </w:rPr>
              <w:t>Rate %</w:t>
            </w:r>
          </w:p>
        </w:tc>
      </w:tr>
      <w:tr w14:paraId="5F64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1A53718D">
            <w:pPr>
              <w:jc w:val="left"/>
            </w:pPr>
            <w:r>
              <w:rPr>
                <w:b w:val="0"/>
                <w:bCs w:val="0"/>
                <w:color w:val="000000"/>
              </w:rPr>
              <w:t>0</w:t>
            </w:r>
          </w:p>
        </w:tc>
        <w:tc>
          <w:tcPr>
            <w:tcW w:w="2200" w:type="dxa"/>
            <w:tcMar>
              <w:top w:w="80" w:type="dxa"/>
              <w:left w:w="100" w:type="dxa"/>
              <w:bottom w:w="80" w:type="dxa"/>
              <w:right w:w="100" w:type="dxa"/>
            </w:tcMar>
          </w:tcPr>
          <w:p w14:paraId="368028A9">
            <w:pPr>
              <w:jc w:val="center"/>
            </w:pPr>
            <w:r>
              <w:rPr>
                <w:b w:val="0"/>
                <w:bCs w:val="0"/>
                <w:color w:val="000000"/>
              </w:rPr>
              <w:t>43,774</w:t>
            </w:r>
          </w:p>
        </w:tc>
        <w:tc>
          <w:tcPr>
            <w:tcW w:w="1800" w:type="dxa"/>
            <w:tcMar>
              <w:top w:w="80" w:type="dxa"/>
              <w:left w:w="100" w:type="dxa"/>
              <w:bottom w:w="80" w:type="dxa"/>
              <w:right w:w="100" w:type="dxa"/>
            </w:tcMar>
          </w:tcPr>
          <w:p w14:paraId="7CF81174">
            <w:pPr>
              <w:jc w:val="center"/>
            </w:pPr>
            <w:r>
              <w:rPr>
                <w:b w:val="0"/>
                <w:bCs w:val="0"/>
                <w:color w:val="000000"/>
              </w:rPr>
              <w:t>14,561</w:t>
            </w:r>
          </w:p>
        </w:tc>
        <w:tc>
          <w:tcPr>
            <w:tcW w:w="2000" w:type="dxa"/>
            <w:tcMar>
              <w:top w:w="80" w:type="dxa"/>
              <w:left w:w="100" w:type="dxa"/>
              <w:bottom w:w="80" w:type="dxa"/>
              <w:right w:w="100" w:type="dxa"/>
            </w:tcMar>
          </w:tcPr>
          <w:p w14:paraId="3E210559">
            <w:pPr>
              <w:jc w:val="center"/>
            </w:pPr>
            <w:r>
              <w:rPr>
                <w:b w:val="0"/>
                <w:bCs w:val="0"/>
                <w:color w:val="000000"/>
              </w:rPr>
              <w:t>33.26%</w:t>
            </w:r>
          </w:p>
        </w:tc>
      </w:tr>
      <w:tr w14:paraId="338B0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80" w:type="dxa"/>
              <w:left w:w="100" w:type="dxa"/>
              <w:bottom w:w="80" w:type="dxa"/>
              <w:right w:w="100" w:type="dxa"/>
            </w:tcMar>
          </w:tcPr>
          <w:p w14:paraId="21952025">
            <w:pPr>
              <w:jc w:val="left"/>
            </w:pPr>
            <w:r>
              <w:rPr>
                <w:b w:val="0"/>
                <w:bCs w:val="0"/>
                <w:color w:val="000000"/>
              </w:rPr>
              <w:t>1</w:t>
            </w:r>
          </w:p>
        </w:tc>
        <w:tc>
          <w:tcPr>
            <w:tcW w:w="2200" w:type="dxa"/>
            <w:shd w:val="clear" w:color="auto" w:fill="DCE6F1"/>
            <w:tcMar>
              <w:top w:w="80" w:type="dxa"/>
              <w:left w:w="100" w:type="dxa"/>
              <w:bottom w:w="80" w:type="dxa"/>
              <w:right w:w="100" w:type="dxa"/>
            </w:tcMar>
          </w:tcPr>
          <w:p w14:paraId="3D21BDD5">
            <w:pPr>
              <w:jc w:val="center"/>
            </w:pPr>
            <w:r>
              <w:rPr>
                <w:b w:val="0"/>
                <w:bCs w:val="0"/>
                <w:color w:val="000000"/>
              </w:rPr>
              <w:t>28,969</w:t>
            </w:r>
          </w:p>
        </w:tc>
        <w:tc>
          <w:tcPr>
            <w:tcW w:w="1800" w:type="dxa"/>
            <w:shd w:val="clear" w:color="auto" w:fill="DCE6F1"/>
            <w:tcMar>
              <w:top w:w="80" w:type="dxa"/>
              <w:left w:w="100" w:type="dxa"/>
              <w:bottom w:w="80" w:type="dxa"/>
              <w:right w:w="100" w:type="dxa"/>
            </w:tcMar>
          </w:tcPr>
          <w:p w14:paraId="6046225A">
            <w:pPr>
              <w:jc w:val="center"/>
            </w:pPr>
            <w:r>
              <w:rPr>
                <w:b w:val="0"/>
                <w:bCs w:val="0"/>
                <w:color w:val="000000"/>
              </w:rPr>
              <w:t>6,500</w:t>
            </w:r>
          </w:p>
        </w:tc>
        <w:tc>
          <w:tcPr>
            <w:tcW w:w="2000" w:type="dxa"/>
            <w:shd w:val="clear" w:color="auto" w:fill="DCE6F1"/>
            <w:tcMar>
              <w:top w:w="80" w:type="dxa"/>
              <w:left w:w="100" w:type="dxa"/>
              <w:bottom w:w="80" w:type="dxa"/>
              <w:right w:w="100" w:type="dxa"/>
            </w:tcMar>
          </w:tcPr>
          <w:p w14:paraId="6E4A0936">
            <w:pPr>
              <w:jc w:val="center"/>
            </w:pPr>
            <w:r>
              <w:rPr>
                <w:b w:val="0"/>
                <w:bCs w:val="0"/>
                <w:color w:val="000000"/>
              </w:rPr>
              <w:t>22.44%</w:t>
            </w:r>
          </w:p>
        </w:tc>
      </w:tr>
      <w:tr w14:paraId="44B50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2EC017C4">
            <w:pPr>
              <w:jc w:val="left"/>
            </w:pPr>
            <w:r>
              <w:rPr>
                <w:b w:val="0"/>
                <w:bCs w:val="0"/>
                <w:color w:val="000000"/>
              </w:rPr>
              <w:t>2</w:t>
            </w:r>
          </w:p>
        </w:tc>
        <w:tc>
          <w:tcPr>
            <w:tcW w:w="2200" w:type="dxa"/>
            <w:tcMar>
              <w:top w:w="80" w:type="dxa"/>
              <w:left w:w="100" w:type="dxa"/>
              <w:bottom w:w="80" w:type="dxa"/>
              <w:right w:w="100" w:type="dxa"/>
            </w:tcMar>
          </w:tcPr>
          <w:p w14:paraId="535F302B">
            <w:pPr>
              <w:jc w:val="center"/>
            </w:pPr>
            <w:r>
              <w:rPr>
                <w:b w:val="0"/>
                <w:bCs w:val="0"/>
                <w:color w:val="000000"/>
              </w:rPr>
              <w:t>11,794</w:t>
            </w:r>
          </w:p>
        </w:tc>
        <w:tc>
          <w:tcPr>
            <w:tcW w:w="1800" w:type="dxa"/>
            <w:tcMar>
              <w:top w:w="80" w:type="dxa"/>
              <w:left w:w="100" w:type="dxa"/>
              <w:bottom w:w="80" w:type="dxa"/>
              <w:right w:w="100" w:type="dxa"/>
            </w:tcMar>
          </w:tcPr>
          <w:p w14:paraId="78A5F4CE">
            <w:pPr>
              <w:jc w:val="center"/>
            </w:pPr>
            <w:r>
              <w:rPr>
                <w:b w:val="0"/>
                <w:bCs w:val="0"/>
                <w:color w:val="000000"/>
              </w:rPr>
              <w:t>2,515</w:t>
            </w:r>
          </w:p>
        </w:tc>
        <w:tc>
          <w:tcPr>
            <w:tcW w:w="2000" w:type="dxa"/>
            <w:tcMar>
              <w:top w:w="80" w:type="dxa"/>
              <w:left w:w="100" w:type="dxa"/>
              <w:bottom w:w="80" w:type="dxa"/>
              <w:right w:w="100" w:type="dxa"/>
            </w:tcMar>
          </w:tcPr>
          <w:p w14:paraId="03D8E475">
            <w:pPr>
              <w:jc w:val="center"/>
            </w:pPr>
            <w:r>
              <w:rPr>
                <w:b w:val="0"/>
                <w:bCs w:val="0"/>
                <w:color w:val="000000"/>
              </w:rPr>
              <w:t>21.32%</w:t>
            </w:r>
          </w:p>
        </w:tc>
      </w:tr>
      <w:tr w14:paraId="4DE5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80" w:type="dxa"/>
              <w:left w:w="100" w:type="dxa"/>
              <w:bottom w:w="80" w:type="dxa"/>
              <w:right w:w="100" w:type="dxa"/>
            </w:tcMar>
          </w:tcPr>
          <w:p w14:paraId="087C0C99">
            <w:pPr>
              <w:jc w:val="left"/>
            </w:pPr>
            <w:r>
              <w:rPr>
                <w:b w:val="0"/>
                <w:bCs w:val="0"/>
                <w:color w:val="000000"/>
              </w:rPr>
              <w:t>3</w:t>
            </w:r>
          </w:p>
        </w:tc>
        <w:tc>
          <w:tcPr>
            <w:tcW w:w="2200" w:type="dxa"/>
            <w:shd w:val="clear" w:color="auto" w:fill="DCE6F1"/>
            <w:tcMar>
              <w:top w:w="80" w:type="dxa"/>
              <w:left w:w="100" w:type="dxa"/>
              <w:bottom w:w="80" w:type="dxa"/>
              <w:right w:w="100" w:type="dxa"/>
            </w:tcMar>
          </w:tcPr>
          <w:p w14:paraId="068015E5">
            <w:pPr>
              <w:jc w:val="center"/>
            </w:pPr>
            <w:r>
              <w:rPr>
                <w:b w:val="0"/>
                <w:bCs w:val="0"/>
                <w:color w:val="000000"/>
              </w:rPr>
              <w:t>2,314</w:t>
            </w:r>
          </w:p>
        </w:tc>
        <w:tc>
          <w:tcPr>
            <w:tcW w:w="1800" w:type="dxa"/>
            <w:shd w:val="clear" w:color="auto" w:fill="DCE6F1"/>
            <w:tcMar>
              <w:top w:w="80" w:type="dxa"/>
              <w:left w:w="100" w:type="dxa"/>
              <w:bottom w:w="80" w:type="dxa"/>
              <w:right w:w="100" w:type="dxa"/>
            </w:tcMar>
          </w:tcPr>
          <w:p w14:paraId="5EF4CC40">
            <w:pPr>
              <w:jc w:val="center"/>
            </w:pPr>
            <w:r>
              <w:rPr>
                <w:b w:val="0"/>
                <w:bCs w:val="0"/>
                <w:color w:val="000000"/>
              </w:rPr>
              <w:t>396</w:t>
            </w:r>
          </w:p>
        </w:tc>
        <w:tc>
          <w:tcPr>
            <w:tcW w:w="2000" w:type="dxa"/>
            <w:shd w:val="clear" w:color="auto" w:fill="DCE6F1"/>
            <w:tcMar>
              <w:top w:w="80" w:type="dxa"/>
              <w:left w:w="100" w:type="dxa"/>
              <w:bottom w:w="80" w:type="dxa"/>
              <w:right w:w="100" w:type="dxa"/>
            </w:tcMar>
          </w:tcPr>
          <w:p w14:paraId="39B6857E">
            <w:pPr>
              <w:jc w:val="center"/>
            </w:pPr>
            <w:r>
              <w:rPr>
                <w:b w:val="0"/>
                <w:bCs w:val="0"/>
                <w:color w:val="000000"/>
              </w:rPr>
              <w:t>17.11%</w:t>
            </w:r>
          </w:p>
        </w:tc>
      </w:tr>
      <w:tr w14:paraId="1F13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Mar>
              <w:top w:w="80" w:type="dxa"/>
              <w:left w:w="100" w:type="dxa"/>
              <w:bottom w:w="80" w:type="dxa"/>
              <w:right w:w="100" w:type="dxa"/>
            </w:tcMar>
          </w:tcPr>
          <w:p w14:paraId="17DF25DB">
            <w:pPr>
              <w:jc w:val="left"/>
            </w:pPr>
            <w:r>
              <w:rPr>
                <w:b w:val="0"/>
                <w:bCs w:val="0"/>
                <w:color w:val="000000"/>
              </w:rPr>
              <w:t>4</w:t>
            </w:r>
          </w:p>
        </w:tc>
        <w:tc>
          <w:tcPr>
            <w:tcW w:w="2200" w:type="dxa"/>
            <w:tcMar>
              <w:top w:w="80" w:type="dxa"/>
              <w:left w:w="100" w:type="dxa"/>
              <w:bottom w:w="80" w:type="dxa"/>
              <w:right w:w="100" w:type="dxa"/>
            </w:tcMar>
          </w:tcPr>
          <w:p w14:paraId="7690F661">
            <w:pPr>
              <w:jc w:val="center"/>
            </w:pPr>
            <w:r>
              <w:rPr>
                <w:b w:val="0"/>
                <w:bCs w:val="0"/>
                <w:color w:val="000000"/>
              </w:rPr>
              <w:t>320</w:t>
            </w:r>
          </w:p>
        </w:tc>
        <w:tc>
          <w:tcPr>
            <w:tcW w:w="1800" w:type="dxa"/>
            <w:tcMar>
              <w:top w:w="80" w:type="dxa"/>
              <w:left w:w="100" w:type="dxa"/>
              <w:bottom w:w="80" w:type="dxa"/>
              <w:right w:w="100" w:type="dxa"/>
            </w:tcMar>
          </w:tcPr>
          <w:p w14:paraId="41BC3F8B">
            <w:pPr>
              <w:jc w:val="center"/>
            </w:pPr>
            <w:r>
              <w:rPr>
                <w:b w:val="0"/>
                <w:bCs w:val="0"/>
                <w:color w:val="000000"/>
              </w:rPr>
              <w:t>34</w:t>
            </w:r>
          </w:p>
        </w:tc>
        <w:tc>
          <w:tcPr>
            <w:tcW w:w="2000" w:type="dxa"/>
            <w:tcMar>
              <w:top w:w="80" w:type="dxa"/>
              <w:left w:w="100" w:type="dxa"/>
              <w:bottom w:w="80" w:type="dxa"/>
              <w:right w:w="100" w:type="dxa"/>
            </w:tcMar>
          </w:tcPr>
          <w:p w14:paraId="73ADDFEB">
            <w:pPr>
              <w:jc w:val="center"/>
            </w:pPr>
            <w:r>
              <w:rPr>
                <w:b w:val="0"/>
                <w:bCs w:val="0"/>
                <w:color w:val="000000"/>
              </w:rPr>
              <w:t>10.62%</w:t>
            </w:r>
          </w:p>
        </w:tc>
      </w:tr>
      <w:tr w14:paraId="591BD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shd w:val="clear" w:color="auto" w:fill="DCE6F1"/>
            <w:tcMar>
              <w:top w:w="80" w:type="dxa"/>
              <w:left w:w="100" w:type="dxa"/>
              <w:bottom w:w="80" w:type="dxa"/>
              <w:right w:w="100" w:type="dxa"/>
            </w:tcMar>
          </w:tcPr>
          <w:p w14:paraId="3AB38CAF">
            <w:pPr>
              <w:jc w:val="left"/>
            </w:pPr>
            <w:r>
              <w:rPr>
                <w:b w:val="0"/>
                <w:bCs w:val="0"/>
                <w:color w:val="000000"/>
              </w:rPr>
              <w:t>5</w:t>
            </w:r>
          </w:p>
        </w:tc>
        <w:tc>
          <w:tcPr>
            <w:tcW w:w="2200" w:type="dxa"/>
            <w:shd w:val="clear" w:color="auto" w:fill="DCE6F1"/>
            <w:tcMar>
              <w:top w:w="80" w:type="dxa"/>
              <w:left w:w="100" w:type="dxa"/>
              <w:bottom w:w="80" w:type="dxa"/>
              <w:right w:w="100" w:type="dxa"/>
            </w:tcMar>
          </w:tcPr>
          <w:p w14:paraId="6484AE68">
            <w:pPr>
              <w:jc w:val="center"/>
            </w:pPr>
            <w:r>
              <w:rPr>
                <w:b w:val="0"/>
                <w:bCs w:val="0"/>
                <w:color w:val="000000"/>
              </w:rPr>
              <w:t>36</w:t>
            </w:r>
          </w:p>
        </w:tc>
        <w:tc>
          <w:tcPr>
            <w:tcW w:w="1800" w:type="dxa"/>
            <w:shd w:val="clear" w:color="auto" w:fill="DCE6F1"/>
            <w:tcMar>
              <w:top w:w="80" w:type="dxa"/>
              <w:left w:w="100" w:type="dxa"/>
              <w:bottom w:w="80" w:type="dxa"/>
              <w:right w:w="100" w:type="dxa"/>
            </w:tcMar>
          </w:tcPr>
          <w:p w14:paraId="6B65999E">
            <w:pPr>
              <w:jc w:val="center"/>
            </w:pPr>
            <w:r>
              <w:rPr>
                <w:b w:val="0"/>
                <w:bCs w:val="0"/>
                <w:color w:val="000000"/>
              </w:rPr>
              <w:t>2</w:t>
            </w:r>
          </w:p>
        </w:tc>
        <w:tc>
          <w:tcPr>
            <w:tcW w:w="2000" w:type="dxa"/>
            <w:shd w:val="clear" w:color="auto" w:fill="DCE6F1"/>
            <w:tcMar>
              <w:top w:w="80" w:type="dxa"/>
              <w:left w:w="100" w:type="dxa"/>
              <w:bottom w:w="80" w:type="dxa"/>
              <w:right w:w="100" w:type="dxa"/>
            </w:tcMar>
          </w:tcPr>
          <w:p w14:paraId="6B8793E8">
            <w:pPr>
              <w:jc w:val="center"/>
            </w:pPr>
            <w:r>
              <w:rPr>
                <w:b w:val="0"/>
                <w:bCs w:val="0"/>
                <w:color w:val="000000"/>
              </w:rPr>
              <w:t>5.56%</w:t>
            </w:r>
          </w:p>
        </w:tc>
      </w:tr>
    </w:tbl>
    <w:p w14:paraId="6CE3D305">
      <w:pPr>
        <w:pStyle w:val="4"/>
        <w:spacing w:before="200" w:after="100"/>
      </w:pPr>
      <w:r>
        <w:t>Q10. Top 10 countries by bookings</w:t>
      </w:r>
    </w:p>
    <w:p w14:paraId="089D11FB">
      <w:pPr>
        <w:spacing w:after="160" w:line="276" w:lineRule="auto"/>
      </w:pPr>
      <w:r>
        <w:t>Portugal is the dominant source market by a wide margin, followed by the UK and France.</w:t>
      </w:r>
    </w:p>
    <w:tbl>
      <w:tblPr>
        <w:tblStyle w:val="9"/>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800"/>
      </w:tblGrid>
      <w:tr w14:paraId="019AF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1F3864"/>
            <w:tcMar>
              <w:top w:w="80" w:type="dxa"/>
              <w:left w:w="100" w:type="dxa"/>
              <w:bottom w:w="80" w:type="dxa"/>
              <w:right w:w="100" w:type="dxa"/>
            </w:tcMar>
          </w:tcPr>
          <w:p w14:paraId="07A09D3C">
            <w:pPr>
              <w:jc w:val="center"/>
            </w:pPr>
            <w:r>
              <w:rPr>
                <w:b/>
                <w:bCs/>
                <w:color w:val="FFFFFF"/>
              </w:rPr>
              <w:t>Country</w:t>
            </w:r>
          </w:p>
        </w:tc>
        <w:tc>
          <w:tcPr>
            <w:tcW w:w="4800" w:type="dxa"/>
            <w:shd w:val="clear" w:color="auto" w:fill="1F3864"/>
            <w:tcMar>
              <w:top w:w="80" w:type="dxa"/>
              <w:left w:w="100" w:type="dxa"/>
              <w:bottom w:w="80" w:type="dxa"/>
              <w:right w:w="100" w:type="dxa"/>
            </w:tcMar>
          </w:tcPr>
          <w:p w14:paraId="3161B6C3">
            <w:pPr>
              <w:jc w:val="center"/>
            </w:pPr>
            <w:r>
              <w:rPr>
                <w:b/>
                <w:bCs/>
                <w:color w:val="FFFFFF"/>
              </w:rPr>
              <w:t>Total Bookings</w:t>
            </w:r>
          </w:p>
        </w:tc>
      </w:tr>
      <w:tr w14:paraId="18E51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00" w:type="dxa"/>
              <w:bottom w:w="80" w:type="dxa"/>
              <w:right w:w="100" w:type="dxa"/>
            </w:tcMar>
          </w:tcPr>
          <w:p w14:paraId="146E6880">
            <w:pPr>
              <w:jc w:val="left"/>
            </w:pPr>
            <w:r>
              <w:rPr>
                <w:b w:val="0"/>
                <w:bCs w:val="0"/>
                <w:color w:val="000000"/>
              </w:rPr>
              <w:t>Portugal (PRT)</w:t>
            </w:r>
          </w:p>
        </w:tc>
        <w:tc>
          <w:tcPr>
            <w:tcW w:w="4800" w:type="dxa"/>
            <w:tcMar>
              <w:top w:w="80" w:type="dxa"/>
              <w:left w:w="100" w:type="dxa"/>
              <w:bottom w:w="80" w:type="dxa"/>
              <w:right w:w="100" w:type="dxa"/>
            </w:tcMar>
          </w:tcPr>
          <w:p w14:paraId="4740F12A">
            <w:pPr>
              <w:jc w:val="center"/>
            </w:pPr>
            <w:r>
              <w:rPr>
                <w:b w:val="0"/>
                <w:bCs w:val="0"/>
                <w:color w:val="000000"/>
              </w:rPr>
              <w:t>27,352</w:t>
            </w:r>
          </w:p>
        </w:tc>
      </w:tr>
      <w:tr w14:paraId="50F0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DCE6F1"/>
            <w:tcMar>
              <w:top w:w="80" w:type="dxa"/>
              <w:left w:w="100" w:type="dxa"/>
              <w:bottom w:w="80" w:type="dxa"/>
              <w:right w:w="100" w:type="dxa"/>
            </w:tcMar>
          </w:tcPr>
          <w:p w14:paraId="160C1BC9">
            <w:pPr>
              <w:jc w:val="left"/>
            </w:pPr>
            <w:r>
              <w:rPr>
                <w:b w:val="0"/>
                <w:bCs w:val="0"/>
                <w:color w:val="000000"/>
              </w:rPr>
              <w:t>United Kingdom (GBR)</w:t>
            </w:r>
          </w:p>
        </w:tc>
        <w:tc>
          <w:tcPr>
            <w:tcW w:w="4800" w:type="dxa"/>
            <w:shd w:val="clear" w:color="auto" w:fill="DCE6F1"/>
            <w:tcMar>
              <w:top w:w="80" w:type="dxa"/>
              <w:left w:w="100" w:type="dxa"/>
              <w:bottom w:w="80" w:type="dxa"/>
              <w:right w:w="100" w:type="dxa"/>
            </w:tcMar>
          </w:tcPr>
          <w:p w14:paraId="7587F6AD">
            <w:pPr>
              <w:jc w:val="center"/>
            </w:pPr>
            <w:r>
              <w:rPr>
                <w:b w:val="0"/>
                <w:bCs w:val="0"/>
                <w:color w:val="000000"/>
              </w:rPr>
              <w:t>10,414</w:t>
            </w:r>
          </w:p>
        </w:tc>
      </w:tr>
      <w:tr w14:paraId="6E46D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00" w:type="dxa"/>
              <w:bottom w:w="80" w:type="dxa"/>
              <w:right w:w="100" w:type="dxa"/>
            </w:tcMar>
          </w:tcPr>
          <w:p w14:paraId="1FE17181">
            <w:pPr>
              <w:jc w:val="left"/>
            </w:pPr>
            <w:r>
              <w:rPr>
                <w:b w:val="0"/>
                <w:bCs w:val="0"/>
                <w:color w:val="000000"/>
              </w:rPr>
              <w:t>France (FRA)</w:t>
            </w:r>
          </w:p>
        </w:tc>
        <w:tc>
          <w:tcPr>
            <w:tcW w:w="4800" w:type="dxa"/>
            <w:tcMar>
              <w:top w:w="80" w:type="dxa"/>
              <w:left w:w="100" w:type="dxa"/>
              <w:bottom w:w="80" w:type="dxa"/>
              <w:right w:w="100" w:type="dxa"/>
            </w:tcMar>
          </w:tcPr>
          <w:p w14:paraId="78F7261B">
            <w:pPr>
              <w:jc w:val="center"/>
            </w:pPr>
            <w:r>
              <w:rPr>
                <w:b w:val="0"/>
                <w:bCs w:val="0"/>
                <w:color w:val="000000"/>
              </w:rPr>
              <w:t>8,823</w:t>
            </w:r>
          </w:p>
        </w:tc>
      </w:tr>
      <w:tr w14:paraId="4FF94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DCE6F1"/>
            <w:tcMar>
              <w:top w:w="80" w:type="dxa"/>
              <w:left w:w="100" w:type="dxa"/>
              <w:bottom w:w="80" w:type="dxa"/>
              <w:right w:w="100" w:type="dxa"/>
            </w:tcMar>
          </w:tcPr>
          <w:p w14:paraId="014C0297">
            <w:pPr>
              <w:jc w:val="left"/>
            </w:pPr>
            <w:r>
              <w:rPr>
                <w:b w:val="0"/>
                <w:bCs w:val="0"/>
                <w:color w:val="000000"/>
              </w:rPr>
              <w:t>Spain (ESP)</w:t>
            </w:r>
          </w:p>
        </w:tc>
        <w:tc>
          <w:tcPr>
            <w:tcW w:w="4800" w:type="dxa"/>
            <w:shd w:val="clear" w:color="auto" w:fill="DCE6F1"/>
            <w:tcMar>
              <w:top w:w="80" w:type="dxa"/>
              <w:left w:w="100" w:type="dxa"/>
              <w:bottom w:w="80" w:type="dxa"/>
              <w:right w:w="100" w:type="dxa"/>
            </w:tcMar>
          </w:tcPr>
          <w:p w14:paraId="64859B0E">
            <w:pPr>
              <w:jc w:val="center"/>
            </w:pPr>
            <w:r>
              <w:rPr>
                <w:b w:val="0"/>
                <w:bCs w:val="0"/>
                <w:color w:val="000000"/>
              </w:rPr>
              <w:t>7,244</w:t>
            </w:r>
          </w:p>
        </w:tc>
      </w:tr>
      <w:tr w14:paraId="2193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00" w:type="dxa"/>
              <w:bottom w:w="80" w:type="dxa"/>
              <w:right w:w="100" w:type="dxa"/>
            </w:tcMar>
          </w:tcPr>
          <w:p w14:paraId="17C9A9B5">
            <w:pPr>
              <w:jc w:val="left"/>
            </w:pPr>
            <w:r>
              <w:rPr>
                <w:b w:val="0"/>
                <w:bCs w:val="0"/>
                <w:color w:val="000000"/>
              </w:rPr>
              <w:t>Germany (DEU)</w:t>
            </w:r>
          </w:p>
        </w:tc>
        <w:tc>
          <w:tcPr>
            <w:tcW w:w="4800" w:type="dxa"/>
            <w:tcMar>
              <w:top w:w="80" w:type="dxa"/>
              <w:left w:w="100" w:type="dxa"/>
              <w:bottom w:w="80" w:type="dxa"/>
              <w:right w:w="100" w:type="dxa"/>
            </w:tcMar>
          </w:tcPr>
          <w:p w14:paraId="6C3B75C9">
            <w:pPr>
              <w:jc w:val="center"/>
            </w:pPr>
            <w:r>
              <w:rPr>
                <w:b w:val="0"/>
                <w:bCs w:val="0"/>
                <w:color w:val="000000"/>
              </w:rPr>
              <w:t>5,384</w:t>
            </w:r>
          </w:p>
        </w:tc>
      </w:tr>
      <w:tr w14:paraId="78F2D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DCE6F1"/>
            <w:tcMar>
              <w:top w:w="80" w:type="dxa"/>
              <w:left w:w="100" w:type="dxa"/>
              <w:bottom w:w="80" w:type="dxa"/>
              <w:right w:w="100" w:type="dxa"/>
            </w:tcMar>
          </w:tcPr>
          <w:p w14:paraId="75362323">
            <w:pPr>
              <w:jc w:val="left"/>
            </w:pPr>
            <w:r>
              <w:rPr>
                <w:b w:val="0"/>
                <w:bCs w:val="0"/>
                <w:color w:val="000000"/>
              </w:rPr>
              <w:t>Italy (ITA)</w:t>
            </w:r>
          </w:p>
        </w:tc>
        <w:tc>
          <w:tcPr>
            <w:tcW w:w="4800" w:type="dxa"/>
            <w:shd w:val="clear" w:color="auto" w:fill="DCE6F1"/>
            <w:tcMar>
              <w:top w:w="80" w:type="dxa"/>
              <w:left w:w="100" w:type="dxa"/>
              <w:bottom w:w="80" w:type="dxa"/>
              <w:right w:w="100" w:type="dxa"/>
            </w:tcMar>
          </w:tcPr>
          <w:p w14:paraId="7E082EDB">
            <w:pPr>
              <w:jc w:val="center"/>
            </w:pPr>
            <w:r>
              <w:rPr>
                <w:b w:val="0"/>
                <w:bCs w:val="0"/>
                <w:color w:val="000000"/>
              </w:rPr>
              <w:t>3,061</w:t>
            </w:r>
          </w:p>
        </w:tc>
      </w:tr>
      <w:tr w14:paraId="27DB5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00" w:type="dxa"/>
              <w:bottom w:w="80" w:type="dxa"/>
              <w:right w:w="100" w:type="dxa"/>
            </w:tcMar>
          </w:tcPr>
          <w:p w14:paraId="38D22759">
            <w:pPr>
              <w:jc w:val="left"/>
            </w:pPr>
            <w:r>
              <w:rPr>
                <w:b w:val="0"/>
                <w:bCs w:val="0"/>
                <w:color w:val="000000"/>
              </w:rPr>
              <w:t>Ireland (IRL)</w:t>
            </w:r>
          </w:p>
        </w:tc>
        <w:tc>
          <w:tcPr>
            <w:tcW w:w="4800" w:type="dxa"/>
            <w:tcMar>
              <w:top w:w="80" w:type="dxa"/>
              <w:left w:w="100" w:type="dxa"/>
              <w:bottom w:w="80" w:type="dxa"/>
              <w:right w:w="100" w:type="dxa"/>
            </w:tcMar>
          </w:tcPr>
          <w:p w14:paraId="39122380">
            <w:pPr>
              <w:jc w:val="center"/>
            </w:pPr>
            <w:r>
              <w:rPr>
                <w:b w:val="0"/>
                <w:bCs w:val="0"/>
                <w:color w:val="000000"/>
              </w:rPr>
              <w:t>3,013</w:t>
            </w:r>
          </w:p>
        </w:tc>
      </w:tr>
      <w:tr w14:paraId="566A4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DCE6F1"/>
            <w:tcMar>
              <w:top w:w="80" w:type="dxa"/>
              <w:left w:w="100" w:type="dxa"/>
              <w:bottom w:w="80" w:type="dxa"/>
              <w:right w:w="100" w:type="dxa"/>
            </w:tcMar>
          </w:tcPr>
          <w:p w14:paraId="4CB674D1">
            <w:pPr>
              <w:jc w:val="left"/>
            </w:pPr>
            <w:r>
              <w:rPr>
                <w:b w:val="0"/>
                <w:bCs w:val="0"/>
                <w:color w:val="000000"/>
              </w:rPr>
              <w:t>Belgium (BEL)</w:t>
            </w:r>
          </w:p>
        </w:tc>
        <w:tc>
          <w:tcPr>
            <w:tcW w:w="4800" w:type="dxa"/>
            <w:shd w:val="clear" w:color="auto" w:fill="DCE6F1"/>
            <w:tcMar>
              <w:top w:w="80" w:type="dxa"/>
              <w:left w:w="100" w:type="dxa"/>
              <w:bottom w:w="80" w:type="dxa"/>
              <w:right w:w="100" w:type="dxa"/>
            </w:tcMar>
          </w:tcPr>
          <w:p w14:paraId="6F319C29">
            <w:pPr>
              <w:jc w:val="center"/>
            </w:pPr>
            <w:r>
              <w:rPr>
                <w:b w:val="0"/>
                <w:bCs w:val="0"/>
                <w:color w:val="000000"/>
              </w:rPr>
              <w:t>2,079</w:t>
            </w:r>
          </w:p>
        </w:tc>
      </w:tr>
      <w:tr w14:paraId="5D095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Mar>
              <w:top w:w="80" w:type="dxa"/>
              <w:left w:w="100" w:type="dxa"/>
              <w:bottom w:w="80" w:type="dxa"/>
              <w:right w:w="100" w:type="dxa"/>
            </w:tcMar>
          </w:tcPr>
          <w:p w14:paraId="67171B60">
            <w:pPr>
              <w:jc w:val="left"/>
            </w:pPr>
            <w:r>
              <w:rPr>
                <w:b w:val="0"/>
                <w:bCs w:val="0"/>
                <w:color w:val="000000"/>
              </w:rPr>
              <w:t>Brazil (BRA)</w:t>
            </w:r>
          </w:p>
        </w:tc>
        <w:tc>
          <w:tcPr>
            <w:tcW w:w="4800" w:type="dxa"/>
            <w:tcMar>
              <w:top w:w="80" w:type="dxa"/>
              <w:left w:w="100" w:type="dxa"/>
              <w:bottom w:w="80" w:type="dxa"/>
              <w:right w:w="100" w:type="dxa"/>
            </w:tcMar>
          </w:tcPr>
          <w:p w14:paraId="0D24BB57">
            <w:pPr>
              <w:jc w:val="center"/>
            </w:pPr>
            <w:r>
              <w:rPr>
                <w:b w:val="0"/>
                <w:bCs w:val="0"/>
                <w:color w:val="000000"/>
              </w:rPr>
              <w:t>1,993</w:t>
            </w:r>
          </w:p>
        </w:tc>
      </w:tr>
      <w:tr w14:paraId="726C5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shd w:val="clear" w:color="auto" w:fill="DCE6F1"/>
            <w:tcMar>
              <w:top w:w="80" w:type="dxa"/>
              <w:left w:w="100" w:type="dxa"/>
              <w:bottom w:w="80" w:type="dxa"/>
              <w:right w:w="100" w:type="dxa"/>
            </w:tcMar>
          </w:tcPr>
          <w:p w14:paraId="791A8088">
            <w:pPr>
              <w:jc w:val="left"/>
            </w:pPr>
            <w:r>
              <w:rPr>
                <w:b w:val="0"/>
                <w:bCs w:val="0"/>
                <w:color w:val="000000"/>
              </w:rPr>
              <w:t>Netherlands (NLD)</w:t>
            </w:r>
          </w:p>
        </w:tc>
        <w:tc>
          <w:tcPr>
            <w:tcW w:w="4800" w:type="dxa"/>
            <w:shd w:val="clear" w:color="auto" w:fill="DCE6F1"/>
            <w:tcMar>
              <w:top w:w="80" w:type="dxa"/>
              <w:left w:w="100" w:type="dxa"/>
              <w:bottom w:w="80" w:type="dxa"/>
              <w:right w:w="100" w:type="dxa"/>
            </w:tcMar>
          </w:tcPr>
          <w:p w14:paraId="46AB1D47">
            <w:pPr>
              <w:jc w:val="center"/>
            </w:pPr>
            <w:r>
              <w:rPr>
                <w:b w:val="0"/>
                <w:bCs w:val="0"/>
                <w:color w:val="000000"/>
              </w:rPr>
              <w:t>1,909</w:t>
            </w:r>
          </w:p>
        </w:tc>
      </w:tr>
    </w:tbl>
    <w:p w14:paraId="13460F3D">
      <w:pPr>
        <w:pStyle w:val="4"/>
        <w:spacing w:before="200" w:after="100"/>
      </w:pPr>
      <w:r>
        <w:t>Q11. Reserved vs. assigned room type mismatches</w:t>
      </w:r>
    </w:p>
    <w:p w14:paraId="36D70124">
      <w:pPr>
        <w:spacing w:after="160" w:line="276" w:lineRule="auto"/>
      </w:pPr>
      <w:r>
        <w:t>Identifies which room-type substitutions occur most often (e.g. reserved type A, assigned type D), useful for inventory/overbooking analysis.</w:t>
      </w:r>
    </w:p>
    <w:p w14:paraId="64169BAF">
      <w:pPr>
        <w:pStyle w:val="4"/>
        <w:spacing w:before="200" w:after="100"/>
      </w:pPr>
      <w:r>
        <w:t>Q12. Percentage of bookings with a different room assignment</w:t>
      </w:r>
    </w:p>
    <w:p w14:paraId="49EC3AFC">
      <w:pPr>
        <w:spacing w:after="160" w:line="276" w:lineRule="auto"/>
      </w:pPr>
      <w:r>
        <w:t>12,986 of 87,207 bookings (14.89%) were assigned a room type different from what was reserved.</w:t>
      </w:r>
    </w:p>
    <w:p w14:paraId="518E7BD9">
      <w:pPr>
        <w:pStyle w:val="4"/>
        <w:spacing w:before="200" w:after="100"/>
      </w:pPr>
      <w:r>
        <w:t>Q13. Hotels with more than 4,000 bookings (CTE)</w:t>
      </w:r>
    </w:p>
    <w:p w14:paraId="688AAC45">
      <w:pPr>
        <w:spacing w:after="160" w:line="276" w:lineRule="auto"/>
      </w:pPr>
      <w:r>
        <w:t>Both hotels clear this threshold; the query demonstrates CTE usage for reusable summary logic.</w:t>
      </w:r>
    </w:p>
    <w:p w14:paraId="1DDC7028">
      <w:pPr>
        <w:pStyle w:val="4"/>
        <w:spacing w:before="200" w:after="100"/>
      </w:pPr>
      <w:r>
        <w:t>Q14. Revenue ranking by market segment (window function)</w:t>
      </w:r>
    </w:p>
    <w:p w14:paraId="164285BF">
      <w:pPr>
        <w:spacing w:after="160" w:line="276" w:lineRule="auto"/>
      </w:pPr>
      <w:r>
        <w:t>Uses RANK() OVER (ORDER BY Total_Net_Revenue DESC) to rank segments — Online TA ranks first.</w:t>
      </w:r>
    </w:p>
    <w:p w14:paraId="66356EE4">
      <w:pPr>
        <w:pStyle w:val="4"/>
        <w:spacing w:before="200" w:after="100"/>
      </w:pPr>
      <w:r>
        <w:t>Q15. Bookings by year</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1800"/>
        <w:gridCol w:w="1600"/>
        <w:gridCol w:w="2400"/>
      </w:tblGrid>
      <w:tr w14:paraId="586D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shd w:val="clear" w:color="auto" w:fill="1F3864"/>
            <w:tcMar>
              <w:top w:w="80" w:type="dxa"/>
              <w:left w:w="100" w:type="dxa"/>
              <w:bottom w:w="80" w:type="dxa"/>
              <w:right w:w="100" w:type="dxa"/>
            </w:tcMar>
          </w:tcPr>
          <w:p w14:paraId="62C44A2A">
            <w:pPr>
              <w:jc w:val="center"/>
            </w:pPr>
            <w:r>
              <w:rPr>
                <w:b/>
                <w:bCs/>
                <w:color w:val="FFFFFF"/>
              </w:rPr>
              <w:t>Year</w:t>
            </w:r>
          </w:p>
        </w:tc>
        <w:tc>
          <w:tcPr>
            <w:tcW w:w="2200" w:type="dxa"/>
            <w:shd w:val="clear" w:color="auto" w:fill="1F3864"/>
            <w:tcMar>
              <w:top w:w="80" w:type="dxa"/>
              <w:left w:w="100" w:type="dxa"/>
              <w:bottom w:w="80" w:type="dxa"/>
              <w:right w:w="100" w:type="dxa"/>
            </w:tcMar>
          </w:tcPr>
          <w:p w14:paraId="4DF59EA7">
            <w:pPr>
              <w:jc w:val="center"/>
            </w:pPr>
            <w:r>
              <w:rPr>
                <w:b/>
                <w:bCs/>
                <w:color w:val="FFFFFF"/>
              </w:rPr>
              <w:t>Total Bookings</w:t>
            </w:r>
          </w:p>
        </w:tc>
        <w:tc>
          <w:tcPr>
            <w:tcW w:w="1800" w:type="dxa"/>
            <w:shd w:val="clear" w:color="auto" w:fill="1F3864"/>
            <w:tcMar>
              <w:top w:w="80" w:type="dxa"/>
              <w:left w:w="100" w:type="dxa"/>
              <w:bottom w:w="80" w:type="dxa"/>
              <w:right w:w="100" w:type="dxa"/>
            </w:tcMar>
          </w:tcPr>
          <w:p w14:paraId="5886EE50">
            <w:pPr>
              <w:jc w:val="center"/>
            </w:pPr>
            <w:r>
              <w:rPr>
                <w:b/>
                <w:bCs/>
                <w:color w:val="FFFFFF"/>
              </w:rPr>
              <w:t>Canceled</w:t>
            </w:r>
          </w:p>
        </w:tc>
        <w:tc>
          <w:tcPr>
            <w:tcW w:w="1600" w:type="dxa"/>
            <w:shd w:val="clear" w:color="auto" w:fill="1F3864"/>
            <w:tcMar>
              <w:top w:w="80" w:type="dxa"/>
              <w:left w:w="100" w:type="dxa"/>
              <w:bottom w:w="80" w:type="dxa"/>
              <w:right w:w="100" w:type="dxa"/>
            </w:tcMar>
          </w:tcPr>
          <w:p w14:paraId="7BAE4C62">
            <w:pPr>
              <w:jc w:val="center"/>
            </w:pPr>
            <w:r>
              <w:rPr>
                <w:b/>
                <w:bCs/>
                <w:color w:val="FFFFFF"/>
              </w:rPr>
              <w:t>Rate %</w:t>
            </w:r>
          </w:p>
        </w:tc>
        <w:tc>
          <w:tcPr>
            <w:tcW w:w="2400" w:type="dxa"/>
            <w:shd w:val="clear" w:color="auto" w:fill="1F3864"/>
            <w:tcMar>
              <w:top w:w="80" w:type="dxa"/>
              <w:left w:w="100" w:type="dxa"/>
              <w:bottom w:w="80" w:type="dxa"/>
              <w:right w:w="100" w:type="dxa"/>
            </w:tcMar>
          </w:tcPr>
          <w:p w14:paraId="2439C0EA">
            <w:pPr>
              <w:jc w:val="center"/>
            </w:pPr>
            <w:r>
              <w:rPr>
                <w:b/>
                <w:bCs/>
                <w:color w:val="FFFFFF"/>
              </w:rPr>
              <w:t>Net Revenue</w:t>
            </w:r>
          </w:p>
        </w:tc>
      </w:tr>
      <w:tr w14:paraId="05B5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14:paraId="118B75DB">
            <w:pPr>
              <w:jc w:val="left"/>
            </w:pPr>
            <w:r>
              <w:rPr>
                <w:b w:val="0"/>
                <w:bCs w:val="0"/>
                <w:color w:val="000000"/>
              </w:rPr>
              <w:t>2015</w:t>
            </w:r>
          </w:p>
        </w:tc>
        <w:tc>
          <w:tcPr>
            <w:tcW w:w="2200" w:type="dxa"/>
            <w:tcMar>
              <w:top w:w="80" w:type="dxa"/>
              <w:left w:w="100" w:type="dxa"/>
              <w:bottom w:w="80" w:type="dxa"/>
              <w:right w:w="100" w:type="dxa"/>
            </w:tcMar>
          </w:tcPr>
          <w:p w14:paraId="2CB472BB">
            <w:pPr>
              <w:jc w:val="center"/>
            </w:pPr>
            <w:r>
              <w:rPr>
                <w:b w:val="0"/>
                <w:bCs w:val="0"/>
                <w:color w:val="000000"/>
              </w:rPr>
              <w:t>13,283</w:t>
            </w:r>
          </w:p>
        </w:tc>
        <w:tc>
          <w:tcPr>
            <w:tcW w:w="1800" w:type="dxa"/>
            <w:tcMar>
              <w:top w:w="80" w:type="dxa"/>
              <w:left w:w="100" w:type="dxa"/>
              <w:bottom w:w="80" w:type="dxa"/>
              <w:right w:w="100" w:type="dxa"/>
            </w:tcMar>
          </w:tcPr>
          <w:p w14:paraId="7167C863">
            <w:pPr>
              <w:jc w:val="center"/>
            </w:pPr>
            <w:r>
              <w:rPr>
                <w:b w:val="0"/>
                <w:bCs w:val="0"/>
                <w:color w:val="000000"/>
              </w:rPr>
              <w:t>2,703</w:t>
            </w:r>
          </w:p>
        </w:tc>
        <w:tc>
          <w:tcPr>
            <w:tcW w:w="1600" w:type="dxa"/>
            <w:tcMar>
              <w:top w:w="80" w:type="dxa"/>
              <w:left w:w="100" w:type="dxa"/>
              <w:bottom w:w="80" w:type="dxa"/>
              <w:right w:w="100" w:type="dxa"/>
            </w:tcMar>
          </w:tcPr>
          <w:p w14:paraId="2E72E869">
            <w:pPr>
              <w:jc w:val="center"/>
            </w:pPr>
            <w:r>
              <w:rPr>
                <w:b w:val="0"/>
                <w:bCs w:val="0"/>
                <w:color w:val="000000"/>
              </w:rPr>
              <w:t>20.35%</w:t>
            </w:r>
          </w:p>
        </w:tc>
        <w:tc>
          <w:tcPr>
            <w:tcW w:w="2400" w:type="dxa"/>
            <w:tcMar>
              <w:top w:w="80" w:type="dxa"/>
              <w:left w:w="100" w:type="dxa"/>
              <w:bottom w:w="80" w:type="dxa"/>
              <w:right w:w="100" w:type="dxa"/>
            </w:tcMar>
          </w:tcPr>
          <w:p w14:paraId="7893C39E">
            <w:pPr>
              <w:jc w:val="center"/>
            </w:pPr>
            <w:r>
              <w:rPr>
                <w:b w:val="0"/>
                <w:bCs w:val="0"/>
                <w:color w:val="000000"/>
              </w:rPr>
              <w:t>$3,762,842</w:t>
            </w:r>
          </w:p>
        </w:tc>
      </w:tr>
      <w:tr w14:paraId="2D4A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shd w:val="clear" w:color="auto" w:fill="DCE6F1"/>
            <w:tcMar>
              <w:top w:w="80" w:type="dxa"/>
              <w:left w:w="100" w:type="dxa"/>
              <w:bottom w:w="80" w:type="dxa"/>
              <w:right w:w="100" w:type="dxa"/>
            </w:tcMar>
          </w:tcPr>
          <w:p w14:paraId="624F4712">
            <w:pPr>
              <w:jc w:val="left"/>
            </w:pPr>
            <w:r>
              <w:rPr>
                <w:b w:val="0"/>
                <w:bCs w:val="0"/>
                <w:color w:val="000000"/>
              </w:rPr>
              <w:t>2016</w:t>
            </w:r>
          </w:p>
        </w:tc>
        <w:tc>
          <w:tcPr>
            <w:tcW w:w="2200" w:type="dxa"/>
            <w:shd w:val="clear" w:color="auto" w:fill="DCE6F1"/>
            <w:tcMar>
              <w:top w:w="80" w:type="dxa"/>
              <w:left w:w="100" w:type="dxa"/>
              <w:bottom w:w="80" w:type="dxa"/>
              <w:right w:w="100" w:type="dxa"/>
            </w:tcMar>
          </w:tcPr>
          <w:p w14:paraId="79CA66B6">
            <w:pPr>
              <w:jc w:val="center"/>
            </w:pPr>
            <w:r>
              <w:rPr>
                <w:b w:val="0"/>
                <w:bCs w:val="0"/>
                <w:color w:val="000000"/>
              </w:rPr>
              <w:t>42,296</w:t>
            </w:r>
          </w:p>
        </w:tc>
        <w:tc>
          <w:tcPr>
            <w:tcW w:w="1800" w:type="dxa"/>
            <w:shd w:val="clear" w:color="auto" w:fill="DCE6F1"/>
            <w:tcMar>
              <w:top w:w="80" w:type="dxa"/>
              <w:left w:w="100" w:type="dxa"/>
              <w:bottom w:w="80" w:type="dxa"/>
              <w:right w:w="100" w:type="dxa"/>
            </w:tcMar>
          </w:tcPr>
          <w:p w14:paraId="504EB81A">
            <w:pPr>
              <w:jc w:val="center"/>
            </w:pPr>
            <w:r>
              <w:rPr>
                <w:b w:val="0"/>
                <w:bCs w:val="0"/>
                <w:color w:val="000000"/>
              </w:rPr>
              <w:t>11,199</w:t>
            </w:r>
          </w:p>
        </w:tc>
        <w:tc>
          <w:tcPr>
            <w:tcW w:w="1600" w:type="dxa"/>
            <w:shd w:val="clear" w:color="auto" w:fill="DCE6F1"/>
            <w:tcMar>
              <w:top w:w="80" w:type="dxa"/>
              <w:left w:w="100" w:type="dxa"/>
              <w:bottom w:w="80" w:type="dxa"/>
              <w:right w:w="100" w:type="dxa"/>
            </w:tcMar>
          </w:tcPr>
          <w:p w14:paraId="02EA4B0C">
            <w:pPr>
              <w:jc w:val="center"/>
            </w:pPr>
            <w:r>
              <w:rPr>
                <w:b w:val="0"/>
                <w:bCs w:val="0"/>
                <w:color w:val="000000"/>
              </w:rPr>
              <w:t>26.48%</w:t>
            </w:r>
          </w:p>
        </w:tc>
        <w:tc>
          <w:tcPr>
            <w:tcW w:w="2400" w:type="dxa"/>
            <w:shd w:val="clear" w:color="auto" w:fill="DCE6F1"/>
            <w:tcMar>
              <w:top w:w="80" w:type="dxa"/>
              <w:left w:w="100" w:type="dxa"/>
              <w:bottom w:w="80" w:type="dxa"/>
              <w:right w:w="100" w:type="dxa"/>
            </w:tcMar>
          </w:tcPr>
          <w:p w14:paraId="615F55E0">
            <w:pPr>
              <w:jc w:val="center"/>
            </w:pPr>
            <w:r>
              <w:rPr>
                <w:b w:val="0"/>
                <w:bCs w:val="0"/>
                <w:color w:val="000000"/>
              </w:rPr>
              <w:t>$10,373,557</w:t>
            </w:r>
          </w:p>
        </w:tc>
      </w:tr>
      <w:tr w14:paraId="71D08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Mar>
              <w:top w:w="80" w:type="dxa"/>
              <w:left w:w="100" w:type="dxa"/>
              <w:bottom w:w="80" w:type="dxa"/>
              <w:right w:w="100" w:type="dxa"/>
            </w:tcMar>
          </w:tcPr>
          <w:p w14:paraId="2130E184">
            <w:pPr>
              <w:jc w:val="left"/>
            </w:pPr>
            <w:r>
              <w:rPr>
                <w:b w:val="0"/>
                <w:bCs w:val="0"/>
                <w:color w:val="000000"/>
              </w:rPr>
              <w:t>2017</w:t>
            </w:r>
          </w:p>
        </w:tc>
        <w:tc>
          <w:tcPr>
            <w:tcW w:w="2200" w:type="dxa"/>
            <w:tcMar>
              <w:top w:w="80" w:type="dxa"/>
              <w:left w:w="100" w:type="dxa"/>
              <w:bottom w:w="80" w:type="dxa"/>
              <w:right w:w="100" w:type="dxa"/>
            </w:tcMar>
          </w:tcPr>
          <w:p w14:paraId="584D456B">
            <w:pPr>
              <w:jc w:val="center"/>
            </w:pPr>
            <w:r>
              <w:rPr>
                <w:b w:val="0"/>
                <w:bCs w:val="0"/>
                <w:color w:val="000000"/>
              </w:rPr>
              <w:t>31,628</w:t>
            </w:r>
          </w:p>
        </w:tc>
        <w:tc>
          <w:tcPr>
            <w:tcW w:w="1800" w:type="dxa"/>
            <w:tcMar>
              <w:top w:w="80" w:type="dxa"/>
              <w:left w:w="100" w:type="dxa"/>
              <w:bottom w:w="80" w:type="dxa"/>
              <w:right w:w="100" w:type="dxa"/>
            </w:tcMar>
          </w:tcPr>
          <w:p w14:paraId="7CE38C0B">
            <w:pPr>
              <w:jc w:val="center"/>
            </w:pPr>
            <w:r>
              <w:rPr>
                <w:b w:val="0"/>
                <w:bCs w:val="0"/>
                <w:color w:val="000000"/>
              </w:rPr>
              <w:t>10,106</w:t>
            </w:r>
          </w:p>
        </w:tc>
        <w:tc>
          <w:tcPr>
            <w:tcW w:w="1600" w:type="dxa"/>
            <w:tcMar>
              <w:top w:w="80" w:type="dxa"/>
              <w:left w:w="100" w:type="dxa"/>
              <w:bottom w:w="80" w:type="dxa"/>
              <w:right w:w="100" w:type="dxa"/>
            </w:tcMar>
          </w:tcPr>
          <w:p w14:paraId="0FC29380">
            <w:pPr>
              <w:jc w:val="center"/>
            </w:pPr>
            <w:r>
              <w:rPr>
                <w:b w:val="0"/>
                <w:bCs w:val="0"/>
                <w:color w:val="000000"/>
              </w:rPr>
              <w:t>31.95%</w:t>
            </w:r>
          </w:p>
        </w:tc>
        <w:tc>
          <w:tcPr>
            <w:tcW w:w="2400" w:type="dxa"/>
            <w:tcMar>
              <w:top w:w="80" w:type="dxa"/>
              <w:left w:w="100" w:type="dxa"/>
              <w:bottom w:w="80" w:type="dxa"/>
              <w:right w:w="100" w:type="dxa"/>
            </w:tcMar>
          </w:tcPr>
          <w:p w14:paraId="34D1EE74">
            <w:pPr>
              <w:jc w:val="center"/>
            </w:pPr>
            <w:r>
              <w:rPr>
                <w:b w:val="0"/>
                <w:bCs w:val="0"/>
                <w:color w:val="000000"/>
              </w:rPr>
              <w:t>$8,820,253</w:t>
            </w:r>
          </w:p>
        </w:tc>
      </w:tr>
    </w:tbl>
    <w:p w14:paraId="418DC6EA">
      <w:pPr>
        <w:pStyle w:val="4"/>
        <w:spacing w:before="200" w:after="100"/>
      </w:pPr>
      <w:r>
        <w:t>Q16. Filtering: canceled bookings (top 100 sample)</w:t>
      </w:r>
    </w:p>
    <w:p w14:paraId="748A1046">
      <w:pPr>
        <w:spacing w:after="160" w:line="276" w:lineRule="auto"/>
      </w:pPr>
      <w:r>
        <w:t>Row-level filter used for spot-checking canceled records.</w:t>
      </w:r>
    </w:p>
    <w:p w14:paraId="308C7749">
      <w:pPr>
        <w:pStyle w:val="4"/>
        <w:spacing w:before="200" w:after="100"/>
      </w:pPr>
      <w:r>
        <w:t>Q17. Sorting: top 10 bookings by net revenue</w:t>
      </w:r>
    </w:p>
    <w:p w14:paraId="55D72421">
      <w:pPr>
        <w:spacing w:after="160" w:line="276" w:lineRule="auto"/>
      </w:pPr>
      <w:r>
        <w:t>Row-level sort used to identify the single highest-value stays.</w:t>
      </w:r>
    </w:p>
    <w:p w14:paraId="461434FC">
      <w:pPr>
        <w:pStyle w:val="4"/>
        <w:spacing w:before="200" w:after="100"/>
      </w:pPr>
      <w:r>
        <w:t>Q18. Hotel + year cross-tab and canceled-booking revenue exposure</w:t>
      </w:r>
    </w:p>
    <w:p w14:paraId="5DF0182A">
      <w:pPr>
        <w:spacing w:after="160" w:line="276" w:lineRule="auto"/>
      </w:pPr>
      <w:r>
        <w:t>Combines hotel and arrival year to track how each property's cancellation rate and revenue evolved year over year, and separately quantifies the total stay-revenue value tied up in canceled bookings per hotel.</w:t>
      </w:r>
    </w:p>
    <w:p w14:paraId="2B17037C">
      <w:r>
        <w:br w:type="page"/>
      </w:r>
    </w:p>
    <w:p w14:paraId="5F26E5B7">
      <w:pPr>
        <w:pStyle w:val="2"/>
        <w:spacing w:before="400" w:after="200"/>
        <w:rPr>
          <w:color w:val="604A7B" w:themeColor="accent4" w:themeShade="BF"/>
        </w:rPr>
      </w:pPr>
      <w:r>
        <w:rPr>
          <w:color w:val="604A7B" w:themeColor="accent4" w:themeShade="BF"/>
        </w:rPr>
        <w:t>6. Power BI Dashboard</w:t>
      </w:r>
    </w:p>
    <w:p w14:paraId="6C174842">
      <w:pPr>
        <w:spacing w:after="160" w:line="276" w:lineRule="auto"/>
      </w:pPr>
      <w:r>
        <w:t>Two Power BI files support this project:</w:t>
      </w:r>
    </w:p>
    <w:p w14:paraId="06AAB6FB">
      <w:pPr>
        <w:pStyle w:val="16"/>
        <w:numPr>
          <w:ilvl w:val="0"/>
          <w:numId w:val="1"/>
        </w:numPr>
        <w:spacing w:after="80" w:line="276" w:lineRule="auto"/>
      </w:pPr>
      <w:r>
        <w:t>powerbi_cleaning.pbix — a staging file used to connect to and shape the source data with Power Query before it was finalized (single blank canvas page, used purely for data preparation).</w:t>
      </w:r>
    </w:p>
    <w:p w14:paraId="64D32E22">
      <w:pPr>
        <w:pStyle w:val="16"/>
        <w:numPr>
          <w:ilvl w:val="0"/>
          <w:numId w:val="1"/>
        </w:numPr>
        <w:spacing w:after="80" w:line="276" w:lineRule="auto"/>
      </w:pPr>
      <w:r>
        <w:t>Final_Project.pbix — the finished, five-page interactive report described below.</w:t>
      </w:r>
    </w:p>
    <w:p w14:paraId="34765788">
      <w:pPr>
        <w:pStyle w:val="3"/>
        <w:spacing w:before="300" w:after="150"/>
      </w:pPr>
      <w:r>
        <w:t>6.1 Report Pages</w:t>
      </w:r>
    </w:p>
    <w:p w14:paraId="3A5ECF30">
      <w:pPr>
        <w:pStyle w:val="4"/>
        <w:spacing w:before="200" w:after="100"/>
      </w:pPr>
      <w:r>
        <w:t>Page 1 — Main</w:t>
      </w:r>
    </w:p>
    <w:p w14:paraId="709E64BC">
      <w:pPr>
        <w:spacing w:after="160" w:line="276" w:lineRule="auto"/>
      </w:pPr>
      <w:r>
        <w:t>The landing/overview page. Includes a hotel filter and an arrival-date filter, a pie chart of total guests by hotel, KPI cards for Total Bookings, Total Guests, Cancellation Rate, and Net Revenue, and two area charts trending Total Bookings and Net Revenue over time.</w:t>
      </w:r>
    </w:p>
    <w:p w14:paraId="0CFA6E3E">
      <w:pPr>
        <w:pStyle w:val="4"/>
        <w:spacing w:before="200" w:after="100"/>
      </w:pPr>
      <w:r>
        <w:t>Page 2 — Bookings &amp; Cancellation</w:t>
      </w:r>
    </w:p>
    <w:p w14:paraId="4100DE27">
      <w:pPr>
        <w:spacing w:after="160" w:line="276" w:lineRule="auto"/>
      </w:pPr>
      <w:r>
        <w:t>Focused on cancellation drivers. KPI cards for Total Bookings, Canceled Bookings, and Cancellation Rate sit alongside: a clustered column chart of cancellation rate by deposit type and hotel, a donut chart of canceled bookings by room-type-match status, a bar chart of cancellation rate by market segment, a column chart of cancellation rate by lead-time group, and an area chart trending canceled bookings over time.</w:t>
      </w:r>
    </w:p>
    <w:p w14:paraId="0F9B7FFB">
      <w:pPr>
        <w:pStyle w:val="4"/>
        <w:spacing w:before="200" w:after="100"/>
      </w:pPr>
      <w:r>
        <w:t>Page 3 — Revenue &amp; Pricing</w:t>
      </w:r>
    </w:p>
    <w:p w14:paraId="7C8C0C56">
      <w:pPr>
        <w:spacing w:after="160" w:line="276" w:lineRule="auto"/>
      </w:pPr>
      <w:r>
        <w:t>Focused on revenue performance. Includes a donut chart of average daily rate (ADR) by hotel, KPI cards for total stay revenue, net revenue, and Revenue Loss (the gap between them), a bar chart of net revenue by market segment, a bar chart of total stay revenue vs. net revenue by hotel, and an area chart of stay revenue and net revenue trended by arrival month.</w:t>
      </w:r>
    </w:p>
    <w:p w14:paraId="6F8A646A">
      <w:pPr>
        <w:pStyle w:val="4"/>
        <w:spacing w:before="200" w:after="100"/>
      </w:pPr>
      <w:r>
        <w:t>Page 4 — Customer &amp; Segment</w:t>
      </w:r>
    </w:p>
    <w:p w14:paraId="13F633E9">
      <w:pPr>
        <w:spacing w:after="160" w:line="276" w:lineRule="auto"/>
      </w:pPr>
      <w:r>
        <w:t>Focused on who the guests are. Includes a bar chart of total guests by market segment, a donut chart of total guests by hotel, KPI cards for total guests, adults, children, babies, and repeat guests, and column charts breaking down bookings-with-special-requests and total guests by customer type.</w:t>
      </w:r>
    </w:p>
    <w:p w14:paraId="0AEA3375">
      <w:pPr>
        <w:pStyle w:val="4"/>
        <w:spacing w:before="200" w:after="100"/>
      </w:pPr>
      <w:r>
        <w:t>Page 5 — Revenue Analysis</w:t>
      </w:r>
    </w:p>
    <w:p w14:paraId="40FE7C75">
      <w:pPr>
        <w:spacing w:after="160" w:line="276" w:lineRule="auto"/>
      </w:pPr>
      <w:r>
        <w:t>An exploratory decomposition-tree visual that lets a user drill net revenue down through hotel, distribution channel, market segment, customer type, deposit type, and reserved room type in any order, alongside hotel and arrival-date filters.</w:t>
      </w:r>
    </w:p>
    <w:p w14:paraId="6BC3BD0D">
      <w:pPr>
        <w:pStyle w:val="3"/>
        <w:spacing w:before="300" w:after="150"/>
      </w:pPr>
      <w:r>
        <w:t>6.2 Key Measures Used in the Model</w:t>
      </w:r>
    </w:p>
    <w:p w14:paraId="3C31E1D5">
      <w:pPr>
        <w:pStyle w:val="16"/>
        <w:numPr>
          <w:ilvl w:val="0"/>
          <w:numId w:val="1"/>
        </w:numPr>
        <w:spacing w:after="80" w:line="276" w:lineRule="auto"/>
      </w:pPr>
      <w:r>
        <w:t>Total Bookings, Canceled Bookings, Cancellation Rate — core volume and risk KPIs.</w:t>
      </w:r>
    </w:p>
    <w:p w14:paraId="2AC9AB1F">
      <w:pPr>
        <w:pStyle w:val="16"/>
        <w:numPr>
          <w:ilvl w:val="0"/>
          <w:numId w:val="1"/>
        </w:numPr>
        <w:spacing w:after="80" w:line="276" w:lineRule="auto"/>
      </w:pPr>
      <w:r>
        <w:t>net_revenue, total_stay_revenue, Revenue Loss — realized revenue, potential revenue, and the gap between them.</w:t>
      </w:r>
    </w:p>
    <w:p w14:paraId="198375B5">
      <w:pPr>
        <w:pStyle w:val="16"/>
        <w:numPr>
          <w:ilvl w:val="0"/>
          <w:numId w:val="1"/>
        </w:numPr>
        <w:spacing w:after="80" w:line="276" w:lineRule="auto"/>
      </w:pPr>
      <w:r>
        <w:t>Total Guests, Repeat Guests, Bookings with Special Requests — guest/demand-side measures.</w:t>
      </w:r>
    </w:p>
    <w:p w14:paraId="7AC0803C">
      <w:pPr>
        <w:pStyle w:val="16"/>
        <w:numPr>
          <w:ilvl w:val="0"/>
          <w:numId w:val="1"/>
        </w:numPr>
        <w:spacing w:after="80" w:line="276" w:lineRule="auto"/>
      </w:pPr>
      <w:r>
        <w:t>Lead Time Group, Room Type Match — bucketed dimensions mirroring the CASE logic in the SQL script, used for slicing the visuals above.</w:t>
      </w:r>
    </w:p>
    <w:p w14:paraId="3A11235D">
      <w:pPr>
        <w:pStyle w:val="3"/>
        <w:spacing w:before="300" w:after="150"/>
      </w:pPr>
      <w:r>
        <w:t>6.3 Interactivity</w:t>
      </w:r>
    </w:p>
    <w:p w14:paraId="45F07774">
      <w:pPr>
        <w:spacing w:after="160" w:line="276" w:lineRule="auto"/>
      </w:pPr>
      <w:r>
        <w:t>All five pages share consistent hotel and arrival-date slicers, and most pages include a page-navigation button, so a user can filter once (e.g. to a single hotel or date range) and move between overview, cancellation, revenue, and customer views while the selection persists.</w:t>
      </w:r>
    </w:p>
    <w:p w14:paraId="7EF7149C">
      <w:r>
        <w:br w:type="page"/>
      </w:r>
    </w:p>
    <w:p w14:paraId="442BCD2C">
      <w:pPr>
        <w:pStyle w:val="2"/>
        <w:spacing w:before="400" w:after="200"/>
        <w:rPr>
          <w:color w:val="604A7B" w:themeColor="accent4" w:themeShade="BF"/>
        </w:rPr>
      </w:pPr>
      <w:r>
        <w:rPr>
          <w:color w:val="604A7B" w:themeColor="accent4" w:themeShade="BF"/>
        </w:rPr>
        <w:t>7. Key Insights</w:t>
      </w:r>
    </w:p>
    <w:p w14:paraId="5FA9C613">
      <w:pPr>
        <w:pStyle w:val="16"/>
        <w:numPr>
          <w:ilvl w:val="0"/>
          <w:numId w:val="1"/>
        </w:numPr>
        <w:spacing w:after="80" w:line="276" w:lineRule="auto"/>
      </w:pPr>
      <w:r>
        <w:t>Nearly 3 in 10 bookings (27.53%) are ultimately canceled, and City Hotel cancels at a meaningfully higher rate (30.10%) than Resort Hotel (23.49%).</w:t>
      </w:r>
    </w:p>
    <w:p w14:paraId="4FD0FCAF">
      <w:pPr>
        <w:pStyle w:val="16"/>
        <w:numPr>
          <w:ilvl w:val="0"/>
          <w:numId w:val="1"/>
        </w:numPr>
        <w:spacing w:after="80" w:line="276" w:lineRule="auto"/>
      </w:pPr>
      <w:r>
        <w:t>Cancellation risk rises steadily with lead time: bookings made 181+ days out cancel at 39.79%, roughly 4.7x the rate of bookings made within 7 days of arrival (8.42%).</w:t>
      </w:r>
    </w:p>
    <w:p w14:paraId="44A7C2D5">
      <w:pPr>
        <w:pStyle w:val="16"/>
        <w:numPr>
          <w:ilvl w:val="0"/>
          <w:numId w:val="1"/>
        </w:numPr>
        <w:spacing w:after="80" w:line="276" w:lineRule="auto"/>
      </w:pPr>
      <w:r>
        <w:t>Online Travel Agents (Online TA) are the largest booking channel (51,550 bookings, 59% of the total) but also the highest-risk channel by cancellation rate (35.39%) — more than double Corporate (12.12%) or Direct (14.75%) bookings.</w:t>
      </w:r>
    </w:p>
    <w:p w14:paraId="0ABB21CD">
      <w:pPr>
        <w:pStyle w:val="16"/>
        <w:numPr>
          <w:ilvl w:val="0"/>
          <w:numId w:val="1"/>
        </w:numPr>
        <w:spacing w:after="80" w:line="276" w:lineRule="auto"/>
      </w:pPr>
      <w:r>
        <w:t>Making more special requests at booking time is strongly associated with lower cancellation risk (33.26% with 0 requests vs. 5.56% with 5 requests), suggesting special requests are a proxy for booking commitment.</w:t>
      </w:r>
    </w:p>
    <w:p w14:paraId="0DAD8539">
      <w:pPr>
        <w:pStyle w:val="16"/>
        <w:numPr>
          <w:ilvl w:val="0"/>
          <w:numId w:val="1"/>
        </w:numPr>
        <w:spacing w:after="80" w:line="276" w:lineRule="auto"/>
      </w:pPr>
      <w:r>
        <w:t>Cancellations are costly: of $34.44M in total potential stay revenue, only $22.96M (66.7%) was realized as net revenue — a $11.48M revenue-loss exposure concentrated in City Hotel and Online TA bookings.</w:t>
      </w:r>
    </w:p>
    <w:p w14:paraId="798DE2C5">
      <w:pPr>
        <w:pStyle w:val="16"/>
        <w:numPr>
          <w:ilvl w:val="0"/>
          <w:numId w:val="1"/>
        </w:numPr>
        <w:spacing w:after="80" w:line="276" w:lineRule="auto"/>
      </w:pPr>
      <w:r>
        <w:t>Portugal is by far the largest source market (27,352 bookings, ~31% of all bookings), followed by the UK and France — reflecting the dataset's likely origin from a Portuguese hotel group.</w:t>
      </w:r>
    </w:p>
    <w:p w14:paraId="5349BC49">
      <w:pPr>
        <w:pStyle w:val="16"/>
        <w:numPr>
          <w:ilvl w:val="0"/>
          <w:numId w:val="1"/>
        </w:numPr>
        <w:spacing w:after="80" w:line="276" w:lineRule="auto"/>
      </w:pPr>
      <w:r>
        <w:t>14.89% of bookings receive a different room type than reserved, a meaningful share worth monitoring for guest-experience impact.</w:t>
      </w:r>
    </w:p>
    <w:p w14:paraId="0934BCD9">
      <w:pPr>
        <w:pStyle w:val="16"/>
        <w:numPr>
          <w:ilvl w:val="0"/>
          <w:numId w:val="1"/>
        </w:numPr>
        <w:spacing w:after="80" w:line="276" w:lineRule="auto"/>
      </w:pPr>
      <w:r>
        <w:t>Cancellation rates rose year over year in the data (20.35% in 2015 to 31.95% in 2017), even as total bookings and net revenue also grew — worth investigating as a trend rather than a one-off.</w:t>
      </w:r>
    </w:p>
    <w:p w14:paraId="7E721B1E">
      <w:pPr>
        <w:pStyle w:val="2"/>
        <w:spacing w:before="400" w:after="200"/>
        <w:rPr>
          <w:color w:val="604A7B" w:themeColor="accent4" w:themeShade="BF"/>
        </w:rPr>
      </w:pPr>
      <w:r>
        <w:rPr>
          <w:color w:val="604A7B" w:themeColor="accent4" w:themeShade="BF"/>
        </w:rPr>
        <w:t>8. Recommendations</w:t>
      </w:r>
    </w:p>
    <w:p w14:paraId="392253CD">
      <w:pPr>
        <w:pStyle w:val="16"/>
        <w:numPr>
          <w:ilvl w:val="0"/>
          <w:numId w:val="1"/>
        </w:numPr>
        <w:spacing w:after="80" w:line="276" w:lineRule="auto"/>
      </w:pPr>
      <w:r>
        <w:t>Tighten deposit or confirmation policies for long-lead-time bookings (91+ days), where cancellation risk is highest, to reduce lost inventory.</w:t>
      </w:r>
    </w:p>
    <w:p w14:paraId="5948B7DA">
      <w:pPr>
        <w:pStyle w:val="16"/>
        <w:numPr>
          <w:ilvl w:val="0"/>
          <w:numId w:val="1"/>
        </w:numPr>
        <w:spacing w:after="80" w:line="276" w:lineRule="auto"/>
      </w:pPr>
      <w:r>
        <w:t>Review Online TA channel terms (e.g. cancellation windows, deposit requirements) given its combination of high volume and high cancellation rate.</w:t>
      </w:r>
    </w:p>
    <w:p w14:paraId="39CE4BC4">
      <w:pPr>
        <w:pStyle w:val="16"/>
        <w:numPr>
          <w:ilvl w:val="0"/>
          <w:numId w:val="1"/>
        </w:numPr>
        <w:spacing w:after="80" w:line="276" w:lineRule="auto"/>
      </w:pPr>
      <w:r>
        <w:t>Use "zero special requests" as an early-warning flag for at-risk bookings and consider a follow-up touchpoint (confirmation email/call) for this segment.</w:t>
      </w:r>
    </w:p>
    <w:p w14:paraId="0E546A73">
      <w:pPr>
        <w:pStyle w:val="16"/>
        <w:numPr>
          <w:ilvl w:val="0"/>
          <w:numId w:val="1"/>
        </w:numPr>
        <w:spacing w:after="80" w:line="276" w:lineRule="auto"/>
      </w:pPr>
      <w:r>
        <w:t>Prioritize overbooking/room-assignment protection for City Hotel, which carries both the higher cancellation rate and the larger revenue-loss exposure.</w:t>
      </w:r>
    </w:p>
    <w:p w14:paraId="3345E5FC">
      <w:pPr>
        <w:pStyle w:val="16"/>
        <w:numPr>
          <w:ilvl w:val="0"/>
          <w:numId w:val="1"/>
        </w:numPr>
        <w:spacing w:after="80" w:line="276" w:lineRule="auto"/>
      </w:pPr>
      <w:r>
        <w:t>Track the year-over-year rise in cancellation rate as an ongoing KPI to determine whether it reflects a market shift (e.g. more OTA share) or an internal policy issue.</w:t>
      </w:r>
    </w:p>
    <w:p w14:paraId="08DE53F3">
      <w:pPr>
        <w:pStyle w:val="16"/>
        <w:numPr>
          <w:ilvl w:val="0"/>
          <w:numId w:val="1"/>
        </w:numPr>
        <w:spacing w:after="80" w:line="276" w:lineRule="auto"/>
      </w:pPr>
      <w:r>
        <w:t>Extend the Power BI model with a forward-looking cancellation-probability score (e.g. combining lead time, market segment, and special-request count) to support proactive revenue-management decisions.</w:t>
      </w:r>
    </w:p>
    <w:p w14:paraId="45499B88">
      <w:r>
        <w:br w:type="page"/>
      </w:r>
    </w:p>
    <w:p w14:paraId="1A695EF4">
      <w:pPr>
        <w:pStyle w:val="2"/>
        <w:spacing w:before="400" w:after="200"/>
        <w:rPr>
          <w:color w:val="604A7B" w:themeColor="accent4" w:themeShade="BF"/>
        </w:rPr>
      </w:pPr>
      <w:r>
        <w:rPr>
          <w:color w:val="604A7B" w:themeColor="accent4" w:themeShade="BF"/>
        </w:rPr>
        <w:t>9. Tools &amp; Technologies</w:t>
      </w:r>
      <w:bookmarkStart w:id="0" w:name="_GoBack"/>
      <w:bookmarkEnd w:id="0"/>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400"/>
      </w:tblGrid>
      <w:tr w14:paraId="380C1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1F3864"/>
            <w:tcMar>
              <w:top w:w="80" w:type="dxa"/>
              <w:left w:w="100" w:type="dxa"/>
              <w:bottom w:w="80" w:type="dxa"/>
              <w:right w:w="100" w:type="dxa"/>
            </w:tcMar>
          </w:tcPr>
          <w:p w14:paraId="0DDDD7E9">
            <w:pPr>
              <w:jc w:val="center"/>
            </w:pPr>
            <w:r>
              <w:rPr>
                <w:b/>
                <w:bCs/>
                <w:color w:val="FFFFFF"/>
              </w:rPr>
              <w:t>Stage</w:t>
            </w:r>
          </w:p>
        </w:tc>
        <w:tc>
          <w:tcPr>
            <w:tcW w:w="2400" w:type="dxa"/>
            <w:shd w:val="clear" w:color="auto" w:fill="1F3864"/>
            <w:tcMar>
              <w:top w:w="80" w:type="dxa"/>
              <w:left w:w="100" w:type="dxa"/>
              <w:bottom w:w="80" w:type="dxa"/>
              <w:right w:w="100" w:type="dxa"/>
            </w:tcMar>
          </w:tcPr>
          <w:p w14:paraId="07BAFC4D">
            <w:pPr>
              <w:jc w:val="center"/>
            </w:pPr>
            <w:r>
              <w:rPr>
                <w:b/>
                <w:bCs/>
                <w:color w:val="FFFFFF"/>
              </w:rPr>
              <w:t>Tool</w:t>
            </w:r>
          </w:p>
        </w:tc>
        <w:tc>
          <w:tcPr>
            <w:tcW w:w="4400" w:type="dxa"/>
            <w:shd w:val="clear" w:color="auto" w:fill="1F3864"/>
            <w:tcMar>
              <w:top w:w="80" w:type="dxa"/>
              <w:left w:w="100" w:type="dxa"/>
              <w:bottom w:w="80" w:type="dxa"/>
              <w:right w:w="100" w:type="dxa"/>
            </w:tcMar>
          </w:tcPr>
          <w:p w14:paraId="62CEAE7F">
            <w:pPr>
              <w:jc w:val="center"/>
            </w:pPr>
            <w:r>
              <w:rPr>
                <w:b/>
                <w:bCs/>
                <w:color w:val="FFFFFF"/>
              </w:rPr>
              <w:t>Purpose</w:t>
            </w:r>
          </w:p>
        </w:tc>
      </w:tr>
      <w:tr w14:paraId="20BB1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65B48294">
            <w:pPr>
              <w:jc w:val="left"/>
            </w:pPr>
            <w:r>
              <w:rPr>
                <w:b w:val="0"/>
                <w:bCs w:val="0"/>
                <w:color w:val="000000"/>
              </w:rPr>
              <w:t>Data Cleaning</w:t>
            </w:r>
          </w:p>
        </w:tc>
        <w:tc>
          <w:tcPr>
            <w:tcW w:w="2400" w:type="dxa"/>
            <w:tcMar>
              <w:top w:w="80" w:type="dxa"/>
              <w:left w:w="100" w:type="dxa"/>
              <w:bottom w:w="80" w:type="dxa"/>
              <w:right w:w="100" w:type="dxa"/>
            </w:tcMar>
          </w:tcPr>
          <w:p w14:paraId="57AFA805">
            <w:pPr>
              <w:jc w:val="center"/>
            </w:pPr>
            <w:r>
              <w:rPr>
                <w:b w:val="0"/>
                <w:bCs w:val="0"/>
                <w:color w:val="000000"/>
              </w:rPr>
              <w:t>Power BI / Power Queryl</w:t>
            </w:r>
          </w:p>
        </w:tc>
        <w:tc>
          <w:tcPr>
            <w:tcW w:w="4400" w:type="dxa"/>
            <w:tcMar>
              <w:top w:w="80" w:type="dxa"/>
              <w:left w:w="100" w:type="dxa"/>
              <w:bottom w:w="80" w:type="dxa"/>
              <w:right w:w="100" w:type="dxa"/>
            </w:tcMar>
          </w:tcPr>
          <w:p w14:paraId="68493339">
            <w:pPr>
              <w:jc w:val="center"/>
            </w:pPr>
            <w:r>
              <w:rPr>
                <w:b w:val="0"/>
                <w:bCs w:val="0"/>
                <w:color w:val="000000"/>
              </w:rPr>
              <w:t>De-duplication, null handling, column derivation (arrival_date, total_guests, total_nights, total_stay_revenue, booking_status)</w:t>
            </w:r>
          </w:p>
        </w:tc>
      </w:tr>
      <w:tr w14:paraId="102C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CE6F1"/>
            <w:tcMar>
              <w:top w:w="80" w:type="dxa"/>
              <w:left w:w="100" w:type="dxa"/>
              <w:bottom w:w="80" w:type="dxa"/>
              <w:right w:w="100" w:type="dxa"/>
            </w:tcMar>
          </w:tcPr>
          <w:p w14:paraId="0868F250">
            <w:pPr>
              <w:jc w:val="left"/>
            </w:pPr>
          </w:p>
        </w:tc>
        <w:tc>
          <w:tcPr>
            <w:tcW w:w="2400" w:type="dxa"/>
            <w:shd w:val="clear" w:color="auto" w:fill="DCE6F1"/>
            <w:tcMar>
              <w:top w:w="80" w:type="dxa"/>
              <w:left w:w="100" w:type="dxa"/>
              <w:bottom w:w="80" w:type="dxa"/>
              <w:right w:w="100" w:type="dxa"/>
            </w:tcMar>
          </w:tcPr>
          <w:p w14:paraId="536844EA">
            <w:pPr>
              <w:jc w:val="center"/>
            </w:pPr>
          </w:p>
        </w:tc>
        <w:tc>
          <w:tcPr>
            <w:tcW w:w="4400" w:type="dxa"/>
            <w:shd w:val="clear" w:color="auto" w:fill="DCE6F1"/>
            <w:tcMar>
              <w:top w:w="80" w:type="dxa"/>
              <w:left w:w="100" w:type="dxa"/>
              <w:bottom w:w="80" w:type="dxa"/>
              <w:right w:w="100" w:type="dxa"/>
            </w:tcMar>
          </w:tcPr>
          <w:p w14:paraId="1607A195">
            <w:pPr>
              <w:jc w:val="center"/>
            </w:pPr>
          </w:p>
        </w:tc>
      </w:tr>
      <w:tr w14:paraId="6620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3AB4FE13">
            <w:pPr>
              <w:jc w:val="left"/>
            </w:pPr>
            <w:r>
              <w:rPr>
                <w:b w:val="0"/>
                <w:bCs w:val="0"/>
                <w:color w:val="000000"/>
              </w:rPr>
              <w:t>Database</w:t>
            </w:r>
          </w:p>
        </w:tc>
        <w:tc>
          <w:tcPr>
            <w:tcW w:w="2400" w:type="dxa"/>
            <w:tcMar>
              <w:top w:w="80" w:type="dxa"/>
              <w:left w:w="100" w:type="dxa"/>
              <w:bottom w:w="80" w:type="dxa"/>
              <w:right w:w="100" w:type="dxa"/>
            </w:tcMar>
          </w:tcPr>
          <w:p w14:paraId="00DFF775">
            <w:pPr>
              <w:jc w:val="center"/>
            </w:pPr>
            <w:r>
              <w:rPr>
                <w:b w:val="0"/>
                <w:bCs w:val="0"/>
                <w:color w:val="000000"/>
              </w:rPr>
              <w:t>Microsoft SQL Server</w:t>
            </w:r>
          </w:p>
        </w:tc>
        <w:tc>
          <w:tcPr>
            <w:tcW w:w="4400" w:type="dxa"/>
            <w:tcMar>
              <w:top w:w="80" w:type="dxa"/>
              <w:left w:w="100" w:type="dxa"/>
              <w:bottom w:w="80" w:type="dxa"/>
              <w:right w:w="100" w:type="dxa"/>
            </w:tcMar>
          </w:tcPr>
          <w:p w14:paraId="27DFBAAC">
            <w:pPr>
              <w:jc w:val="center"/>
            </w:pPr>
            <w:r>
              <w:rPr>
                <w:b w:val="0"/>
                <w:bCs w:val="0"/>
                <w:color w:val="000000"/>
              </w:rPr>
              <w:t>Hosting dbo.HotelBookings and running the 18-question analytical script</w:t>
            </w:r>
          </w:p>
        </w:tc>
      </w:tr>
      <w:tr w14:paraId="65A6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CE6F1"/>
            <w:tcMar>
              <w:top w:w="80" w:type="dxa"/>
              <w:left w:w="100" w:type="dxa"/>
              <w:bottom w:w="80" w:type="dxa"/>
              <w:right w:w="100" w:type="dxa"/>
            </w:tcMar>
          </w:tcPr>
          <w:p w14:paraId="6CE823BD">
            <w:pPr>
              <w:jc w:val="left"/>
            </w:pPr>
            <w:r>
              <w:rPr>
                <w:b w:val="0"/>
                <w:bCs w:val="0"/>
                <w:color w:val="000000"/>
              </w:rPr>
              <w:t>Analysis</w:t>
            </w:r>
          </w:p>
        </w:tc>
        <w:tc>
          <w:tcPr>
            <w:tcW w:w="2400" w:type="dxa"/>
            <w:shd w:val="clear" w:color="auto" w:fill="DCE6F1"/>
            <w:tcMar>
              <w:top w:w="80" w:type="dxa"/>
              <w:left w:w="100" w:type="dxa"/>
              <w:bottom w:w="80" w:type="dxa"/>
              <w:right w:w="100" w:type="dxa"/>
            </w:tcMar>
          </w:tcPr>
          <w:p w14:paraId="1E4CDCB3">
            <w:pPr>
              <w:jc w:val="center"/>
            </w:pPr>
            <w:r>
              <w:rPr>
                <w:b w:val="0"/>
                <w:bCs w:val="0"/>
                <w:color w:val="000000"/>
              </w:rPr>
              <w:t>T-SQL</w:t>
            </w:r>
          </w:p>
        </w:tc>
        <w:tc>
          <w:tcPr>
            <w:tcW w:w="4400" w:type="dxa"/>
            <w:shd w:val="clear" w:color="auto" w:fill="DCE6F1"/>
            <w:tcMar>
              <w:top w:w="80" w:type="dxa"/>
              <w:left w:w="100" w:type="dxa"/>
              <w:bottom w:w="80" w:type="dxa"/>
              <w:right w:w="100" w:type="dxa"/>
            </w:tcMar>
          </w:tcPr>
          <w:p w14:paraId="4AB68016">
            <w:pPr>
              <w:jc w:val="center"/>
            </w:pPr>
            <w:r>
              <w:rPr>
                <w:b w:val="0"/>
                <w:bCs w:val="0"/>
                <w:color w:val="000000"/>
              </w:rPr>
              <w:t>Aggregation, CASE-based bucketing, CTEs, window functions (RANK)</w:t>
            </w:r>
          </w:p>
        </w:tc>
      </w:tr>
      <w:tr w14:paraId="4FE75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tcPr>
          <w:p w14:paraId="0FCE193F">
            <w:pPr>
              <w:jc w:val="left"/>
            </w:pPr>
            <w:r>
              <w:rPr>
                <w:b w:val="0"/>
                <w:bCs w:val="0"/>
                <w:color w:val="000000"/>
              </w:rPr>
              <w:t>Visualization</w:t>
            </w:r>
          </w:p>
        </w:tc>
        <w:tc>
          <w:tcPr>
            <w:tcW w:w="2400" w:type="dxa"/>
            <w:tcMar>
              <w:top w:w="80" w:type="dxa"/>
              <w:left w:w="100" w:type="dxa"/>
              <w:bottom w:w="80" w:type="dxa"/>
              <w:right w:w="100" w:type="dxa"/>
            </w:tcMar>
          </w:tcPr>
          <w:p w14:paraId="175CAD38">
            <w:pPr>
              <w:jc w:val="center"/>
            </w:pPr>
            <w:r>
              <w:rPr>
                <w:b w:val="0"/>
                <w:bCs w:val="0"/>
                <w:color w:val="000000"/>
              </w:rPr>
              <w:t>Power BI Desktop</w:t>
            </w:r>
          </w:p>
        </w:tc>
        <w:tc>
          <w:tcPr>
            <w:tcW w:w="4400" w:type="dxa"/>
            <w:tcMar>
              <w:top w:w="80" w:type="dxa"/>
              <w:left w:w="100" w:type="dxa"/>
              <w:bottom w:w="80" w:type="dxa"/>
              <w:right w:w="100" w:type="dxa"/>
            </w:tcMar>
          </w:tcPr>
          <w:p w14:paraId="117AABCC">
            <w:pPr>
              <w:jc w:val="center"/>
            </w:pPr>
            <w:r>
              <w:rPr>
                <w:b w:val="0"/>
                <w:bCs w:val="0"/>
                <w:color w:val="000000"/>
              </w:rPr>
              <w:t>Five-page interactive report with KPI cards, trend, and breakdown visuals</w:t>
            </w:r>
          </w:p>
        </w:tc>
      </w:tr>
    </w:tbl>
    <w:p w14:paraId="2D70B589">
      <w:pPr>
        <w:pStyle w:val="2"/>
        <w:spacing w:before="400" w:after="200"/>
        <w:rPr>
          <w:color w:val="604A7B" w:themeColor="accent4" w:themeShade="BF"/>
        </w:rPr>
      </w:pPr>
      <w:r>
        <w:rPr>
          <w:color w:val="604A7B" w:themeColor="accent4" w:themeShade="BF"/>
        </w:rPr>
        <w:t>10. Project File Reference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5600"/>
      </w:tblGrid>
      <w:tr w14:paraId="435EE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1F3864"/>
            <w:tcMar>
              <w:top w:w="80" w:type="dxa"/>
              <w:left w:w="100" w:type="dxa"/>
              <w:bottom w:w="80" w:type="dxa"/>
              <w:right w:w="100" w:type="dxa"/>
            </w:tcMar>
          </w:tcPr>
          <w:p w14:paraId="4B7FD633">
            <w:pPr>
              <w:jc w:val="center"/>
            </w:pPr>
            <w:r>
              <w:rPr>
                <w:b/>
                <w:bCs/>
                <w:color w:val="FFFFFF"/>
              </w:rPr>
              <w:t>File</w:t>
            </w:r>
          </w:p>
        </w:tc>
        <w:tc>
          <w:tcPr>
            <w:tcW w:w="5600" w:type="dxa"/>
            <w:shd w:val="clear" w:color="auto" w:fill="1F3864"/>
            <w:tcMar>
              <w:top w:w="80" w:type="dxa"/>
              <w:left w:w="100" w:type="dxa"/>
              <w:bottom w:w="80" w:type="dxa"/>
              <w:right w:w="100" w:type="dxa"/>
            </w:tcMar>
          </w:tcPr>
          <w:p w14:paraId="46B31B08">
            <w:pPr>
              <w:jc w:val="center"/>
            </w:pPr>
            <w:r>
              <w:rPr>
                <w:b/>
                <w:bCs/>
                <w:color w:val="FFFFFF"/>
              </w:rPr>
              <w:t>Role</w:t>
            </w:r>
          </w:p>
        </w:tc>
      </w:tr>
      <w:tr w14:paraId="4E80B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7DC92953">
            <w:pPr>
              <w:jc w:val="left"/>
            </w:pPr>
            <w:r>
              <w:rPr>
                <w:b w:val="0"/>
                <w:bCs w:val="0"/>
                <w:color w:val="000000"/>
              </w:rPr>
              <w:t>hotel_bookings.csv</w:t>
            </w:r>
          </w:p>
        </w:tc>
        <w:tc>
          <w:tcPr>
            <w:tcW w:w="5600" w:type="dxa"/>
            <w:tcMar>
              <w:top w:w="80" w:type="dxa"/>
              <w:left w:w="100" w:type="dxa"/>
              <w:bottom w:w="80" w:type="dxa"/>
              <w:right w:w="100" w:type="dxa"/>
            </w:tcMar>
          </w:tcPr>
          <w:p w14:paraId="68C332F5">
            <w:pPr>
              <w:jc w:val="center"/>
            </w:pPr>
            <w:r>
              <w:rPr>
                <w:b w:val="0"/>
                <w:bCs w:val="0"/>
                <w:color w:val="000000"/>
              </w:rPr>
              <w:t>Raw source data (119,391 rows, 32 columns)</w:t>
            </w:r>
          </w:p>
        </w:tc>
      </w:tr>
      <w:tr w14:paraId="09EF6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13A77684">
            <w:pPr>
              <w:jc w:val="left"/>
            </w:pPr>
            <w:r>
              <w:rPr>
                <w:b w:val="0"/>
                <w:bCs w:val="0"/>
                <w:color w:val="000000"/>
              </w:rPr>
              <w:t>powerbi_cleaning.pbix</w:t>
            </w:r>
          </w:p>
        </w:tc>
        <w:tc>
          <w:tcPr>
            <w:tcW w:w="5600" w:type="dxa"/>
            <w:tcMar>
              <w:top w:w="80" w:type="dxa"/>
              <w:left w:w="100" w:type="dxa"/>
              <w:bottom w:w="80" w:type="dxa"/>
              <w:right w:w="100" w:type="dxa"/>
            </w:tcMar>
          </w:tcPr>
          <w:p w14:paraId="7E90ADFA">
            <w:pPr>
              <w:jc w:val="center"/>
            </w:pPr>
            <w:r>
              <w:rPr>
                <w:b w:val="0"/>
                <w:bCs w:val="0"/>
                <w:color w:val="000000"/>
              </w:rPr>
              <w:t>Power Query staging file used during data preparation</w:t>
            </w:r>
          </w:p>
        </w:tc>
      </w:tr>
      <w:tr w14:paraId="76ABC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DCE6F1"/>
            <w:tcMar>
              <w:top w:w="80" w:type="dxa"/>
              <w:left w:w="100" w:type="dxa"/>
              <w:bottom w:w="80" w:type="dxa"/>
              <w:right w:w="100" w:type="dxa"/>
            </w:tcMar>
          </w:tcPr>
          <w:p w14:paraId="46F23D36">
            <w:pPr>
              <w:jc w:val="left"/>
            </w:pPr>
            <w:r>
              <w:rPr>
                <w:b w:val="0"/>
                <w:bCs w:val="0"/>
                <w:color w:val="000000"/>
              </w:rPr>
              <w:t>Hotel_Booking_SQL_Analysis.sql</w:t>
            </w:r>
          </w:p>
        </w:tc>
        <w:tc>
          <w:tcPr>
            <w:tcW w:w="5600" w:type="dxa"/>
            <w:shd w:val="clear" w:color="auto" w:fill="DCE6F1"/>
            <w:tcMar>
              <w:top w:w="80" w:type="dxa"/>
              <w:left w:w="100" w:type="dxa"/>
              <w:bottom w:w="80" w:type="dxa"/>
              <w:right w:w="100" w:type="dxa"/>
            </w:tcMar>
          </w:tcPr>
          <w:p w14:paraId="16C0DE60">
            <w:pPr>
              <w:jc w:val="center"/>
            </w:pPr>
            <w:r>
              <w:rPr>
                <w:b w:val="0"/>
                <w:bCs w:val="0"/>
                <w:color w:val="000000"/>
              </w:rPr>
              <w:t>18-question T-SQL analysis script (validation, aggregation, CTEs, window functions)</w:t>
            </w:r>
          </w:p>
        </w:tc>
      </w:tr>
      <w:tr w14:paraId="0ECFD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Mar>
              <w:top w:w="80" w:type="dxa"/>
              <w:left w:w="100" w:type="dxa"/>
              <w:bottom w:w="80" w:type="dxa"/>
              <w:right w:w="100" w:type="dxa"/>
            </w:tcMar>
          </w:tcPr>
          <w:p w14:paraId="72BBC3AD">
            <w:pPr>
              <w:jc w:val="left"/>
            </w:pPr>
            <w:r>
              <w:rPr>
                <w:b w:val="0"/>
                <w:bCs w:val="0"/>
                <w:color w:val="000000"/>
              </w:rPr>
              <w:t>Final_Project.pbix</w:t>
            </w:r>
          </w:p>
        </w:tc>
        <w:tc>
          <w:tcPr>
            <w:tcW w:w="5600" w:type="dxa"/>
            <w:tcMar>
              <w:top w:w="80" w:type="dxa"/>
              <w:left w:w="100" w:type="dxa"/>
              <w:bottom w:w="80" w:type="dxa"/>
              <w:right w:w="100" w:type="dxa"/>
            </w:tcMar>
          </w:tcPr>
          <w:p w14:paraId="04CBD30B">
            <w:pPr>
              <w:jc w:val="center"/>
            </w:pPr>
            <w:r>
              <w:rPr>
                <w:b w:val="0"/>
                <w:bCs w:val="0"/>
                <w:color w:val="000000"/>
              </w:rPr>
              <w:t>Final 5-page Power BI report (Main, Bookings &amp; Cancellation, Revenue &amp; Pricing, Customer &amp; Segment, Revenue Analysis)</w:t>
            </w:r>
          </w:p>
        </w:tc>
      </w:tr>
    </w:tbl>
    <w:p w14:paraId="18781432"/>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083A0">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226C3">
    <w:pPr>
      <w:jc w:val="right"/>
    </w:pPr>
    <w:r>
      <w:rPr>
        <w:color w:val="808080"/>
        <w:sz w:val="16"/>
        <w:szCs w:val="16"/>
      </w:rPr>
      <w:t>Hotel Booking Analysis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581732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2E74B5" w:sz="6" w:space="4"/>
      </w:pBdr>
      <w:spacing w:before="400" w:after="200"/>
    </w:pPr>
    <w:rPr>
      <w:rFonts w:ascii="Calibri" w:hAnsi="Calibri" w:eastAsia="Calibri" w:cs="Calibri"/>
      <w:b/>
      <w:bCs/>
      <w:color w:val="1F3864"/>
      <w:sz w:val="34"/>
      <w:szCs w:val="34"/>
    </w:rPr>
  </w:style>
  <w:style w:type="paragraph" w:styleId="3">
    <w:name w:val="heading 2"/>
    <w:next w:val="1"/>
    <w:qFormat/>
    <w:uiPriority w:val="0"/>
    <w:pPr>
      <w:spacing w:before="300" w:after="150"/>
    </w:pPr>
    <w:rPr>
      <w:rFonts w:ascii="Calibri" w:hAnsi="Calibri" w:eastAsia="Calibri" w:cs="Calibri"/>
      <w:b/>
      <w:bCs/>
      <w:color w:val="2E74B5"/>
      <w:sz w:val="27"/>
      <w:szCs w:val="27"/>
    </w:rPr>
  </w:style>
  <w:style w:type="paragraph" w:styleId="4">
    <w:name w:val="heading 3"/>
    <w:next w:val="1"/>
    <w:qFormat/>
    <w:uiPriority w:val="0"/>
    <w:pPr>
      <w:spacing w:before="200" w:after="100"/>
    </w:pPr>
    <w:rPr>
      <w:rFonts w:ascii="Calibri" w:hAnsi="Calibri" w:eastAsia="Calibri" w:cs="Calibri"/>
      <w:b/>
      <w:bCs/>
      <w:color w:val="404040"/>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873</Words>
  <Characters>5414</Characters>
  <TotalTime>12</TotalTime>
  <ScaleCrop>false</ScaleCrop>
  <LinksUpToDate>false</LinksUpToDate>
  <CharactersWithSpaces>6217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2026-09-13T06:52:00Z</dcterms:created>
  <dc:creator>Un-named</dc:creator>
  <cp:lastModifiedBy>hungwonho kim</cp:lastModifiedBy>
  <dcterms:modified xsi:type="dcterms:W3CDTF">2026-09-13T07:09:56Z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eyJoZGlkIjoiZjVhNGJiMWVmZTg4ZjFhYWZhYWFiMzBkODkwYWRkZmUiLCJ1c2VySWQiOiI4ODEzMzQ2NTQ2MjM3In0=</vt:lpwstr>
  </property>
  <property fmtid="{D5CDD505-2E9C-101B-9397-08002B2CF9AE}" pid="3" name="KSOProductBuildVer">
    <vt:lpwstr>1033-12.1.0.26372</vt:lpwstr>
  </property>
  <property fmtid="{D5CDD505-2E9C-101B-9397-08002B2CF9AE}" pid="4" name="ICV">
    <vt:lpwstr>B1D1FB1F9DFC4DD1BD44FED00BF17356_12</vt:lpwstr>
  </property>
</Properties>
</file>