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EMSI — École Marocaine des Sciences de l’Ingénieur</w:t>
      </w:r>
    </w:p>
    <w:p>
      <w:pPr>
        <w:spacing w:after="80"/>
        <w:jc w:val="center"/>
      </w:pPr>
      <w:r>
        <w:rPr>
          <w:sz w:val="24"/>
          <w:szCs w:val="24"/>
        </w:rPr>
        <w:t xml:space="preserve">Module : Deep Learning</w:t>
      </w:r>
    </w:p>
    <w:p>
      <w:pPr>
        <w:spacing w:after="600"/>
        <w:jc w:val="center"/>
      </w:pPr>
      <w:r>
        <w:rPr>
          <w:sz w:val="24"/>
          <w:szCs w:val="24"/>
        </w:rPr>
        <w:t xml:space="preserve">Année universitaire 2025–2026</w:t>
      </w:r>
    </w:p>
    <w:p>
      <w:pPr>
        <w:spacing w:after="200"/>
        <w:jc w:val="center"/>
      </w:pPr>
      <w:r>
        <w:rPr>
          <w:b/>
          <w:bCs/>
          <w:sz w:val="36"/>
          <w:szCs w:val="36"/>
        </w:rPr>
        <w:t xml:space="preserve">RAPPORT DE PROJET</w:t>
      </w:r>
    </w:p>
    <w:p>
      <w:pPr>
        <w:spacing w:after="100"/>
        <w:jc w:val="center"/>
      </w:pPr>
      <w:r>
        <w:rPr>
          <w:b/>
          <w:bCs/>
          <w:sz w:val="28"/>
          <w:szCs w:val="28"/>
        </w:rPr>
        <w:t xml:space="preserve">Conception, implémentation, comparaison et analyse critique de modèles de deep learning pour données tabulaires, images et séquences</w:t>
      </w:r>
    </w:p>
    <w:p>
      <w:pPr>
        <w:spacing w:after="600"/>
        <w:jc w:val="center"/>
      </w:pPr>
      <w:r>
        <w:rPr>
          <w:i/>
          <w:iCs/>
          <w:sz w:val="24"/>
          <w:szCs w:val="24"/>
        </w:rPr>
        <w:t xml:space="preserve">MLP • CNN • RNN • LSTM • GRU • Seq2Seq</w:t>
      </w:r>
    </w:p>
    <w:p>
      <w:pPr>
        <w:spacing w:after="120" w:before="1200"/>
        <w:jc w:val="center"/>
      </w:pPr>
      <w:r>
        <w:rPr>
          <w:sz w:val="26"/>
          <w:szCs w:val="26"/>
        </w:rPr>
        <w:t xml:space="preserve">Réalisé par : Malake Boussouli</w:t>
      </w:r>
    </w:p>
    <w:p>
      <w:pPr>
        <w:spacing w:after="120"/>
        <w:jc w:val="center"/>
      </w:pPr>
      <w:r>
        <w:rPr>
          <w:sz w:val="26"/>
          <w:szCs w:val="26"/>
        </w:rPr>
        <w:t xml:space="preserve">Encadré par : Mme. HIDILA Zineb</w:t>
      </w:r>
    </w:p>
    <w:p>
      <w:pPr>
        <w:spacing w:after="120"/>
        <w:jc w:val="center"/>
      </w:pPr>
      <w:r>
        <w:rPr>
          <w:sz w:val="24"/>
          <w:szCs w:val="24"/>
        </w:rPr>
        <w:t xml:space="preserve">Filière : IA et Database — Promotion 2025/2026</w:t>
      </w:r>
    </w:p>
    <w:p>
      <w:r>
        <w:br w:type="page"/>
      </w:r>
    </w:p>
    <w:p>
      <w:pPr>
        <w:pStyle w:val="Heading1"/>
      </w:pPr>
      <w:r>
        <w:t xml:space="preserve">Table des matières</w:t>
      </w:r>
    </w:p>
    <w:p>
      <w:pPr>
        <w:spacing w:after="120"/>
        <w:ind w:left="0"/>
      </w:pPr>
      <w:r>
        <w:rPr>
          <w:b/>
          <w:bCs/>
          <w:sz w:val="22"/>
          <w:szCs w:val="22"/>
        </w:rPr>
        <w:t xml:space="preserve">1. Introduction</w:t>
      </w:r>
      <w:r>
        <w:rPr>
          <w:b/>
          <w:bCs/>
          <w:sz w:val="22"/>
          <w:szCs w:val="22"/>
        </w:rPr>
        <w:ptab w:alignment="right" w:relativeTo="margin" w:leader="dot"/>
        <w:t xml:space="preserve">3</w:t>
      </w:r>
    </w:p>
    <w:p>
      <w:pPr>
        <w:spacing w:after="120"/>
        <w:ind w:left="0"/>
      </w:pPr>
      <w:r>
        <w:rPr>
          <w:b/>
          <w:bCs/>
          <w:sz w:val="22"/>
          <w:szCs w:val="22"/>
        </w:rPr>
        <w:t xml:space="preserve">2. Cadre théorique</w:t>
      </w:r>
      <w:r>
        <w:rPr>
          <w:b/>
          <w:bCs/>
          <w:sz w:val="22"/>
          <w:szCs w:val="22"/>
        </w:rPr>
        <w:ptab w:alignment="right" w:relativeTo="margin" w:leader="dot"/>
        <w:t xml:space="preserve">4</w:t>
      </w:r>
    </w:p>
    <w:p>
      <w:pPr>
        <w:spacing w:after="80"/>
        <w:ind w:left="360"/>
      </w:pPr>
      <w:r>
        <w:rPr>
          <w:b w:val="false"/>
          <w:bCs w:val="false"/>
          <w:sz w:val="21"/>
          <w:szCs w:val="21"/>
        </w:rPr>
        <w:t xml:space="preserve">2.1 Perceptron multicouche (MLP)</w:t>
      </w:r>
      <w:r>
        <w:rPr>
          <w:b w:val="false"/>
          <w:bCs w:val="false"/>
          <w:sz w:val="21"/>
          <w:szCs w:val="21"/>
        </w:rPr>
        <w:ptab w:alignment="right" w:relativeTo="margin" w:leader="dot"/>
        <w:t xml:space="preserve">4</w:t>
      </w:r>
    </w:p>
    <w:p>
      <w:pPr>
        <w:spacing w:after="80"/>
        <w:ind w:left="360"/>
      </w:pPr>
      <w:r>
        <w:rPr>
          <w:b w:val="false"/>
          <w:bCs w:val="false"/>
          <w:sz w:val="21"/>
          <w:szCs w:val="21"/>
        </w:rPr>
        <w:t xml:space="preserve">2.2 Réseaux de neurones convolutifs (CNN)</w:t>
      </w:r>
      <w:r>
        <w:rPr>
          <w:b w:val="false"/>
          <w:bCs w:val="false"/>
          <w:sz w:val="21"/>
          <w:szCs w:val="21"/>
        </w:rPr>
        <w:ptab w:alignment="right" w:relativeTo="margin" w:leader="dot"/>
        <w:t xml:space="preserve">4</w:t>
      </w:r>
    </w:p>
    <w:p>
      <w:pPr>
        <w:spacing w:after="80"/>
        <w:ind w:left="360"/>
      </w:pPr>
      <w:r>
        <w:rPr>
          <w:b w:val="false"/>
          <w:bCs w:val="false"/>
          <w:sz w:val="21"/>
          <w:szCs w:val="21"/>
        </w:rPr>
        <w:t xml:space="preserve">2.3 Réseaux récurrents : RNN, LSTM, GRU</w:t>
      </w:r>
      <w:r>
        <w:rPr>
          <w:b w:val="false"/>
          <w:bCs w:val="false"/>
          <w:sz w:val="21"/>
          <w:szCs w:val="21"/>
        </w:rPr>
        <w:ptab w:alignment="right" w:relativeTo="margin" w:leader="dot"/>
        <w:t xml:space="preserve">4</w:t>
      </w:r>
    </w:p>
    <w:p>
      <w:pPr>
        <w:spacing w:after="80"/>
        <w:ind w:left="360"/>
      </w:pPr>
      <w:r>
        <w:rPr>
          <w:b w:val="false"/>
          <w:bCs w:val="false"/>
          <w:sz w:val="21"/>
          <w:szCs w:val="21"/>
        </w:rPr>
        <w:t xml:space="preserve">2.4 Modélisation probabiliste des séquences et architectures Seq2Seq</w:t>
      </w:r>
      <w:r>
        <w:rPr>
          <w:b w:val="false"/>
          <w:bCs w:val="false"/>
          <w:sz w:val="21"/>
          <w:szCs w:val="21"/>
        </w:rPr>
        <w:ptab w:alignment="right" w:relativeTo="margin" w:leader="dot"/>
        <w:t xml:space="preserve">5</w:t>
      </w:r>
    </w:p>
    <w:p>
      <w:pPr>
        <w:spacing w:after="120"/>
        <w:ind w:left="0"/>
      </w:pPr>
      <w:r>
        <w:rPr>
          <w:b/>
          <w:bCs/>
          <w:sz w:val="22"/>
          <w:szCs w:val="22"/>
        </w:rPr>
        <w:t xml:space="preserve">3. Partie expérimentale I — MLP sur données tabulaires</w:t>
      </w:r>
      <w:r>
        <w:rPr>
          <w:b/>
          <w:bCs/>
          <w:sz w:val="22"/>
          <w:szCs w:val="22"/>
        </w:rPr>
        <w:ptab w:alignment="right" w:relativeTo="margin" w:leader="dot"/>
        <w:t xml:space="preserve">7</w:t>
      </w:r>
    </w:p>
    <w:p>
      <w:pPr>
        <w:spacing w:after="80"/>
        <w:ind w:left="360"/>
      </w:pPr>
      <w:r>
        <w:rPr>
          <w:b w:val="false"/>
          <w:bCs w:val="false"/>
          <w:sz w:val="21"/>
          <w:szCs w:val="21"/>
        </w:rPr>
        <w:t xml:space="preserve">3.1 Dataset</w:t>
      </w:r>
      <w:r>
        <w:rPr>
          <w:b w:val="false"/>
          <w:bCs w:val="false"/>
          <w:sz w:val="21"/>
          <w:szCs w:val="21"/>
        </w:rPr>
        <w:ptab w:alignment="right" w:relativeTo="margin" w:leader="dot"/>
        <w:t xml:space="preserve">7</w:t>
      </w:r>
    </w:p>
    <w:p>
      <w:pPr>
        <w:spacing w:after="80"/>
        <w:ind w:left="360"/>
      </w:pPr>
      <w:r>
        <w:rPr>
          <w:b w:val="false"/>
          <w:bCs w:val="false"/>
          <w:sz w:val="21"/>
          <w:szCs w:val="21"/>
        </w:rPr>
        <w:t xml:space="preserve">3.2 Prétraitement</w:t>
      </w:r>
      <w:r>
        <w:rPr>
          <w:b w:val="false"/>
          <w:bCs w:val="false"/>
          <w:sz w:val="21"/>
          <w:szCs w:val="21"/>
        </w:rPr>
        <w:ptab w:alignment="right" w:relativeTo="margin" w:leader="dot"/>
        <w:t xml:space="preserve">7</w:t>
      </w:r>
    </w:p>
    <w:p>
      <w:pPr>
        <w:spacing w:after="80"/>
        <w:ind w:left="360"/>
      </w:pPr>
      <w:r>
        <w:rPr>
          <w:b w:val="false"/>
          <w:bCs w:val="false"/>
          <w:sz w:val="21"/>
          <w:szCs w:val="21"/>
        </w:rPr>
        <w:t xml:space="preserve">3.3 Architecture</w:t>
      </w:r>
      <w:r>
        <w:rPr>
          <w:b w:val="false"/>
          <w:bCs w:val="false"/>
          <w:sz w:val="21"/>
          <w:szCs w:val="21"/>
        </w:rPr>
        <w:ptab w:alignment="right" w:relativeTo="margin" w:leader="dot"/>
        <w:t xml:space="preserve">7</w:t>
      </w:r>
    </w:p>
    <w:p>
      <w:pPr>
        <w:spacing w:after="80"/>
        <w:ind w:left="360"/>
      </w:pPr>
      <w:r>
        <w:rPr>
          <w:b w:val="false"/>
          <w:bCs w:val="false"/>
          <w:sz w:val="21"/>
          <w:szCs w:val="21"/>
        </w:rPr>
        <w:t xml:space="preserve">3.4 Inspection des paramètres</w:t>
      </w:r>
      <w:r>
        <w:rPr>
          <w:b w:val="false"/>
          <w:bCs w:val="false"/>
          <w:sz w:val="21"/>
          <w:szCs w:val="21"/>
        </w:rPr>
        <w:ptab w:alignment="right" w:relativeTo="margin" w:leader="dot"/>
        <w:t xml:space="preserve">8</w:t>
      </w:r>
    </w:p>
    <w:p>
      <w:pPr>
        <w:spacing w:after="80"/>
        <w:ind w:left="360"/>
      </w:pPr>
      <w:r>
        <w:rPr>
          <w:b w:val="false"/>
          <w:bCs w:val="false"/>
          <w:sz w:val="21"/>
          <w:szCs w:val="21"/>
        </w:rPr>
        <w:t xml:space="preserve">3.5 Stratégies d’initialisation</w:t>
      </w:r>
      <w:r>
        <w:rPr>
          <w:b w:val="false"/>
          <w:bCs w:val="false"/>
          <w:sz w:val="21"/>
          <w:szCs w:val="21"/>
        </w:rPr>
        <w:ptab w:alignment="right" w:relativeTo="margin" w:leader="dot"/>
        <w:t xml:space="preserve">8</w:t>
      </w:r>
    </w:p>
    <w:p>
      <w:pPr>
        <w:spacing w:after="80"/>
        <w:ind w:left="360"/>
      </w:pPr>
      <w:r>
        <w:rPr>
          <w:b w:val="false"/>
          <w:bCs w:val="false"/>
          <w:sz w:val="21"/>
          <w:szCs w:val="21"/>
        </w:rPr>
        <w:t xml:space="preserve">3.6 Sauvegarde, rechargement et vérification du device</w:t>
      </w:r>
      <w:r>
        <w:rPr>
          <w:b w:val="false"/>
          <w:bCs w:val="false"/>
          <w:sz w:val="21"/>
          <w:szCs w:val="21"/>
        </w:rPr>
        <w:ptab w:alignment="right" w:relativeTo="margin" w:leader="dot"/>
        <w:t xml:space="preserve">8</w:t>
      </w:r>
    </w:p>
    <w:p>
      <w:pPr>
        <w:spacing w:after="80"/>
        <w:ind w:left="360"/>
      </w:pPr>
      <w:r>
        <w:rPr>
          <w:b w:val="false"/>
          <w:bCs w:val="false"/>
          <w:sz w:val="21"/>
          <w:szCs w:val="21"/>
        </w:rPr>
        <w:t xml:space="preserve">3.7 Résultats</w:t>
      </w:r>
      <w:r>
        <w:rPr>
          <w:b w:val="false"/>
          <w:bCs w:val="false"/>
          <w:sz w:val="21"/>
          <w:szCs w:val="21"/>
        </w:rPr>
        <w:ptab w:alignment="right" w:relativeTo="margin" w:leader="dot"/>
        <w:t xml:space="preserve">8</w:t>
      </w:r>
    </w:p>
    <w:p>
      <w:pPr>
        <w:spacing w:after="80"/>
        <w:ind w:left="360"/>
      </w:pPr>
      <w:r>
        <w:rPr>
          <w:b w:val="false"/>
          <w:bCs w:val="false"/>
          <w:sz w:val="21"/>
          <w:szCs w:val="21"/>
        </w:rPr>
        <w:t xml:space="preserve">3.8 Analyse critique</w:t>
      </w:r>
      <w:r>
        <w:rPr>
          <w:b w:val="false"/>
          <w:bCs w:val="false"/>
          <w:sz w:val="21"/>
          <w:szCs w:val="21"/>
        </w:rPr>
        <w:ptab w:alignment="right" w:relativeTo="margin" w:leader="dot"/>
        <w:t xml:space="preserve">9</w:t>
      </w:r>
    </w:p>
    <w:p>
      <w:pPr>
        <w:spacing w:after="80"/>
        <w:ind w:left="360"/>
      </w:pPr>
      <w:r>
        <w:rPr>
          <w:b w:val="false"/>
          <w:bCs w:val="false"/>
          <w:sz w:val="21"/>
          <w:szCs w:val="21"/>
        </w:rPr>
        <w:t xml:space="preserve">3.9 Question de synthèse — Partie I</w:t>
      </w:r>
      <w:r>
        <w:rPr>
          <w:b w:val="false"/>
          <w:bCs w:val="false"/>
          <w:sz w:val="21"/>
          <w:szCs w:val="21"/>
        </w:rPr>
        <w:ptab w:alignment="right" w:relativeTo="margin" w:leader="dot"/>
        <w:t xml:space="preserve">9</w:t>
      </w:r>
    </w:p>
    <w:p>
      <w:pPr>
        <w:spacing w:after="120"/>
        <w:ind w:left="0"/>
      </w:pPr>
      <w:r>
        <w:rPr>
          <w:b/>
          <w:bCs/>
          <w:sz w:val="22"/>
          <w:szCs w:val="22"/>
        </w:rPr>
        <w:t xml:space="preserve">4. Partie expérimentale II — CNN sur données images</w:t>
      </w:r>
      <w:r>
        <w:rPr>
          <w:b/>
          <w:bCs/>
          <w:sz w:val="22"/>
          <w:szCs w:val="22"/>
        </w:rPr>
        <w:ptab w:alignment="right" w:relativeTo="margin" w:leader="dot"/>
        <w:t xml:space="preserve">10</w:t>
      </w:r>
    </w:p>
    <w:p>
      <w:pPr>
        <w:spacing w:after="80"/>
        <w:ind w:left="360"/>
      </w:pPr>
      <w:r>
        <w:rPr>
          <w:b w:val="false"/>
          <w:bCs w:val="false"/>
          <w:sz w:val="21"/>
          <w:szCs w:val="21"/>
        </w:rPr>
        <w:t xml:space="preserve">4.1 Dataset</w:t>
      </w:r>
      <w:r>
        <w:rPr>
          <w:b w:val="false"/>
          <w:bCs w:val="false"/>
          <w:sz w:val="21"/>
          <w:szCs w:val="21"/>
        </w:rPr>
        <w:ptab w:alignment="right" w:relativeTo="margin" w:leader="dot"/>
        <w:t xml:space="preserve">10</w:t>
      </w:r>
    </w:p>
    <w:p>
      <w:pPr>
        <w:spacing w:after="80"/>
        <w:ind w:left="360"/>
      </w:pPr>
      <w:r>
        <w:rPr>
          <w:b w:val="false"/>
          <w:bCs w:val="false"/>
          <w:sz w:val="21"/>
          <w:szCs w:val="21"/>
        </w:rPr>
        <w:t xml:space="preserve">4.2 Prétraitement</w:t>
      </w:r>
      <w:r>
        <w:rPr>
          <w:b w:val="false"/>
          <w:bCs w:val="false"/>
          <w:sz w:val="21"/>
          <w:szCs w:val="21"/>
        </w:rPr>
        <w:ptab w:alignment="right" w:relativeTo="margin" w:leader="dot"/>
        <w:t xml:space="preserve">10</w:t>
      </w:r>
    </w:p>
    <w:p>
      <w:pPr>
        <w:spacing w:after="80"/>
        <w:ind w:left="360"/>
      </w:pPr>
      <w:r>
        <w:rPr>
          <w:b w:val="false"/>
          <w:bCs w:val="false"/>
          <w:sz w:val="21"/>
          <w:szCs w:val="21"/>
        </w:rPr>
        <w:t xml:space="preserve">4.3 Implémentation manuelle validée contre PyTorch</w:t>
      </w:r>
      <w:r>
        <w:rPr>
          <w:b w:val="false"/>
          <w:bCs w:val="false"/>
          <w:sz w:val="21"/>
          <w:szCs w:val="21"/>
        </w:rPr>
        <w:ptab w:alignment="right" w:relativeTo="margin" w:leader="dot"/>
        <w:t xml:space="preserve">10</w:t>
      </w:r>
    </w:p>
    <w:p>
      <w:pPr>
        <w:spacing w:after="80"/>
        <w:ind w:left="360"/>
      </w:pPr>
      <w:r>
        <w:rPr>
          <w:b w:val="false"/>
          <w:bCs w:val="false"/>
          <w:sz w:val="21"/>
          <w:szCs w:val="21"/>
        </w:rPr>
        <w:t xml:space="preserve">4.4 Architecture et étude expérimentale comparative</w:t>
      </w:r>
      <w:r>
        <w:rPr>
          <w:b w:val="false"/>
          <w:bCs w:val="false"/>
          <w:sz w:val="21"/>
          <w:szCs w:val="21"/>
        </w:rPr>
        <w:ptab w:alignment="right" w:relativeTo="margin" w:leader="dot"/>
        <w:t xml:space="preserve">10</w:t>
      </w:r>
    </w:p>
    <w:p>
      <w:pPr>
        <w:spacing w:after="80"/>
        <w:ind w:left="360"/>
      </w:pPr>
      <w:r>
        <w:rPr>
          <w:b w:val="false"/>
          <w:bCs w:val="false"/>
          <w:sz w:val="21"/>
          <w:szCs w:val="21"/>
        </w:rPr>
        <w:t xml:space="preserve">4.5 Visualisation des cartes de caractéristiques</w:t>
      </w:r>
      <w:r>
        <w:rPr>
          <w:b w:val="false"/>
          <w:bCs w:val="false"/>
          <w:sz w:val="21"/>
          <w:szCs w:val="21"/>
        </w:rPr>
        <w:ptab w:alignment="right" w:relativeTo="margin" w:leader="dot"/>
        <w:t xml:space="preserve">11</w:t>
      </w:r>
    </w:p>
    <w:p>
      <w:pPr>
        <w:spacing w:after="80"/>
        <w:ind w:left="360"/>
      </w:pPr>
      <w:r>
        <w:rPr>
          <w:b w:val="false"/>
          <w:bCs w:val="false"/>
          <w:sz w:val="21"/>
          <w:szCs w:val="21"/>
        </w:rPr>
        <w:t xml:space="preserve">4.6 Comparaison MLP vs CNN</w:t>
      </w:r>
      <w:r>
        <w:rPr>
          <w:b w:val="false"/>
          <w:bCs w:val="false"/>
          <w:sz w:val="21"/>
          <w:szCs w:val="21"/>
        </w:rPr>
        <w:ptab w:alignment="right" w:relativeTo="margin" w:leader="dot"/>
        <w:t xml:space="preserve">11</w:t>
      </w:r>
    </w:p>
    <w:p>
      <w:pPr>
        <w:spacing w:after="80"/>
        <w:ind w:left="360"/>
      </w:pPr>
      <w:r>
        <w:rPr>
          <w:b w:val="false"/>
          <w:bCs w:val="false"/>
          <w:sz w:val="21"/>
          <w:szCs w:val="21"/>
        </w:rPr>
        <w:t xml:space="preserve">4.7 Analyse critique</w:t>
      </w:r>
      <w:r>
        <w:rPr>
          <w:b w:val="false"/>
          <w:bCs w:val="false"/>
          <w:sz w:val="21"/>
          <w:szCs w:val="21"/>
        </w:rPr>
        <w:ptab w:alignment="right" w:relativeTo="margin" w:leader="dot"/>
        <w:t xml:space="preserve">11</w:t>
      </w:r>
    </w:p>
    <w:p>
      <w:pPr>
        <w:spacing w:after="80"/>
        <w:ind w:left="360"/>
      </w:pPr>
      <w:r>
        <w:rPr>
          <w:b w:val="false"/>
          <w:bCs w:val="false"/>
          <w:sz w:val="21"/>
          <w:szCs w:val="21"/>
        </w:rPr>
        <w:t xml:space="preserve">4.8 Question de synthèse — Partie II</w:t>
      </w:r>
      <w:r>
        <w:rPr>
          <w:b w:val="false"/>
          <w:bCs w:val="false"/>
          <w:sz w:val="21"/>
          <w:szCs w:val="21"/>
        </w:rPr>
        <w:ptab w:alignment="right" w:relativeTo="margin" w:leader="dot"/>
        <w:t xml:space="preserve">12</w:t>
      </w:r>
    </w:p>
    <w:p>
      <w:pPr>
        <w:spacing w:after="120"/>
        <w:ind w:left="0"/>
      </w:pPr>
      <w:r>
        <w:rPr>
          <w:b/>
          <w:bCs/>
          <w:sz w:val="22"/>
          <w:szCs w:val="22"/>
        </w:rPr>
        <w:t xml:space="preserve">5. Partie expérimentale III — RNN, LSTM, GRU et Seq2Seq</w:t>
      </w:r>
      <w:r>
        <w:rPr>
          <w:b/>
          <w:bCs/>
          <w:sz w:val="22"/>
          <w:szCs w:val="22"/>
        </w:rPr>
        <w:ptab w:alignment="right" w:relativeTo="margin" w:leader="dot"/>
        <w:t xml:space="preserve">13</w:t>
      </w:r>
    </w:p>
    <w:p>
      <w:pPr>
        <w:spacing w:after="80"/>
        <w:ind w:left="360"/>
      </w:pPr>
      <w:r>
        <w:rPr>
          <w:b w:val="false"/>
          <w:bCs w:val="false"/>
          <w:sz w:val="21"/>
          <w:szCs w:val="21"/>
        </w:rPr>
        <w:t xml:space="preserve">5.1 Dataset</w:t>
      </w:r>
      <w:r>
        <w:rPr>
          <w:b w:val="false"/>
          <w:bCs w:val="false"/>
          <w:sz w:val="21"/>
          <w:szCs w:val="21"/>
        </w:rPr>
        <w:ptab w:alignment="right" w:relativeTo="margin" w:leader="dot"/>
        <w:t xml:space="preserve">13</w:t>
      </w:r>
    </w:p>
    <w:p>
      <w:pPr>
        <w:spacing w:after="80"/>
        <w:ind w:left="360"/>
      </w:pPr>
      <w:r>
        <w:rPr>
          <w:b w:val="false"/>
          <w:bCs w:val="false"/>
          <w:sz w:val="21"/>
          <w:szCs w:val="21"/>
        </w:rPr>
        <w:t xml:space="preserve">5.2 Préparation des données</w:t>
      </w:r>
      <w:r>
        <w:rPr>
          <w:b w:val="false"/>
          <w:bCs w:val="false"/>
          <w:sz w:val="21"/>
          <w:szCs w:val="21"/>
        </w:rPr>
        <w:ptab w:alignment="right" w:relativeTo="margin" w:leader="dot"/>
        <w:t xml:space="preserve">13</w:t>
      </w:r>
    </w:p>
    <w:p>
      <w:pPr>
        <w:spacing w:after="80"/>
        <w:ind w:left="360"/>
      </w:pPr>
      <w:r>
        <w:rPr>
          <w:b w:val="false"/>
          <w:bCs w:val="false"/>
          <w:sz w:val="21"/>
          <w:szCs w:val="21"/>
        </w:rPr>
        <w:t xml:space="preserve">5.3 Modèle de langage : RNN, LSTM, GRU</w:t>
      </w:r>
      <w:r>
        <w:rPr>
          <w:b w:val="false"/>
          <w:bCs w:val="false"/>
          <w:sz w:val="21"/>
          <w:szCs w:val="21"/>
        </w:rPr>
        <w:ptab w:alignment="right" w:relativeTo="margin" w:leader="dot"/>
        <w:t xml:space="preserve">13</w:t>
      </w:r>
    </w:p>
    <w:p>
      <w:pPr>
        <w:spacing w:after="80"/>
        <w:ind w:left="360"/>
      </w:pPr>
      <w:r>
        <w:rPr>
          <w:b w:val="false"/>
          <w:bCs w:val="false"/>
          <w:sz w:val="21"/>
          <w:szCs w:val="21"/>
        </w:rPr>
        <w:t xml:space="preserve">5.4 BPTT et effet du gradient clipping</w:t>
      </w:r>
      <w:r>
        <w:rPr>
          <w:b w:val="false"/>
          <w:bCs w:val="false"/>
          <w:sz w:val="21"/>
          <w:szCs w:val="21"/>
        </w:rPr>
        <w:ptab w:alignment="right" w:relativeTo="margin" w:leader="dot"/>
        <w:t xml:space="preserve">14</w:t>
      </w:r>
    </w:p>
    <w:p>
      <w:pPr>
        <w:spacing w:after="80"/>
        <w:ind w:left="360"/>
      </w:pPr>
      <w:r>
        <w:rPr>
          <w:b w:val="false"/>
          <w:bCs w:val="false"/>
          <w:sz w:val="21"/>
          <w:szCs w:val="21"/>
        </w:rPr>
        <w:t xml:space="preserve">5.5 Système Seq2Seq encodeur–décodeur</w:t>
      </w:r>
      <w:r>
        <w:rPr>
          <w:b w:val="false"/>
          <w:bCs w:val="false"/>
          <w:sz w:val="21"/>
          <w:szCs w:val="21"/>
        </w:rPr>
        <w:ptab w:alignment="right" w:relativeTo="margin" w:leader="dot"/>
        <w:t xml:space="preserve">14</w:t>
      </w:r>
    </w:p>
    <w:p>
      <w:pPr>
        <w:spacing w:after="80"/>
        <w:ind w:left="360"/>
      </w:pPr>
      <w:r>
        <w:rPr>
          <w:b w:val="false"/>
          <w:bCs w:val="false"/>
          <w:sz w:val="21"/>
          <w:szCs w:val="21"/>
        </w:rPr>
        <w:t xml:space="preserve">5.6 Décodage glouton vs beam search et évaluation BLEU</w:t>
      </w:r>
      <w:r>
        <w:rPr>
          <w:b w:val="false"/>
          <w:bCs w:val="false"/>
          <w:sz w:val="21"/>
          <w:szCs w:val="21"/>
        </w:rPr>
        <w:ptab w:alignment="right" w:relativeTo="margin" w:leader="dot"/>
        <w:t xml:space="preserve">14</w:t>
      </w:r>
    </w:p>
    <w:p>
      <w:pPr>
        <w:spacing w:after="80"/>
        <w:ind w:left="360"/>
      </w:pPr>
      <w:r>
        <w:rPr>
          <w:b w:val="false"/>
          <w:bCs w:val="false"/>
          <w:sz w:val="21"/>
          <w:szCs w:val="21"/>
        </w:rPr>
        <w:t xml:space="preserve">5.7 Analyse critique</w:t>
      </w:r>
      <w:r>
        <w:rPr>
          <w:b w:val="false"/>
          <w:bCs w:val="false"/>
          <w:sz w:val="21"/>
          <w:szCs w:val="21"/>
        </w:rPr>
        <w:ptab w:alignment="right" w:relativeTo="margin" w:leader="dot"/>
        <w:t xml:space="preserve">15</w:t>
      </w:r>
    </w:p>
    <w:p>
      <w:pPr>
        <w:spacing w:after="80"/>
        <w:ind w:left="360"/>
      </w:pPr>
      <w:r>
        <w:rPr>
          <w:b w:val="false"/>
          <w:bCs w:val="false"/>
          <w:sz w:val="21"/>
          <w:szCs w:val="21"/>
        </w:rPr>
        <w:t xml:space="preserve">5.8 Question de synthèse — Partie III</w:t>
      </w:r>
      <w:r>
        <w:rPr>
          <w:b w:val="false"/>
          <w:bCs w:val="false"/>
          <w:sz w:val="21"/>
          <w:szCs w:val="21"/>
        </w:rPr>
        <w:ptab w:alignment="right" w:relativeTo="margin" w:leader="dot"/>
        <w:t xml:space="preserve">15</w:t>
      </w:r>
    </w:p>
    <w:p>
      <w:pPr>
        <w:spacing w:after="120"/>
        <w:ind w:left="0"/>
      </w:pPr>
      <w:r>
        <w:rPr>
          <w:b/>
          <w:bCs/>
          <w:sz w:val="22"/>
          <w:szCs w:val="22"/>
        </w:rPr>
        <w:t xml:space="preserve">6. Discussion transversale</w:t>
      </w:r>
      <w:r>
        <w:rPr>
          <w:b/>
          <w:bCs/>
          <w:sz w:val="22"/>
          <w:szCs w:val="22"/>
        </w:rPr>
        <w:ptab w:alignment="right" w:relativeTo="margin" w:leader="dot"/>
        <w:t xml:space="preserve">16</w:t>
      </w:r>
    </w:p>
    <w:p>
      <w:pPr>
        <w:spacing w:after="120"/>
        <w:ind w:left="0"/>
      </w:pPr>
      <w:r>
        <w:rPr>
          <w:b/>
          <w:bCs/>
          <w:sz w:val="22"/>
          <w:szCs w:val="22"/>
        </w:rPr>
        <w:t xml:space="preserve">7. Impact sociétal et éthique</w:t>
      </w:r>
      <w:r>
        <w:rPr>
          <w:b/>
          <w:bCs/>
          <w:sz w:val="22"/>
          <w:szCs w:val="22"/>
        </w:rPr>
        <w:ptab w:alignment="right" w:relativeTo="margin" w:leader="dot"/>
        <w:t xml:space="preserve">16</w:t>
      </w:r>
    </w:p>
    <w:p>
      <w:pPr>
        <w:spacing w:after="80"/>
        <w:ind w:left="360"/>
      </w:pPr>
      <w:r>
        <w:rPr>
          <w:b w:val="false"/>
          <w:bCs w:val="false"/>
          <w:sz w:val="21"/>
          <w:szCs w:val="21"/>
        </w:rPr>
        <w:t xml:space="preserve">7.1 Partie I — classification médicale</w:t>
      </w:r>
      <w:r>
        <w:rPr>
          <w:b w:val="false"/>
          <w:bCs w:val="false"/>
          <w:sz w:val="21"/>
          <w:szCs w:val="21"/>
        </w:rPr>
        <w:ptab w:alignment="right" w:relativeTo="margin" w:leader="dot"/>
        <w:t xml:space="preserve">16</w:t>
      </w:r>
    </w:p>
    <w:p>
      <w:pPr>
        <w:spacing w:after="80"/>
        <w:ind w:left="360"/>
      </w:pPr>
      <w:r>
        <w:rPr>
          <w:b w:val="false"/>
          <w:bCs w:val="false"/>
          <w:sz w:val="21"/>
          <w:szCs w:val="21"/>
        </w:rPr>
        <w:t xml:space="preserve">7.2 Partie II — biais et généralisation</w:t>
      </w:r>
      <w:r>
        <w:rPr>
          <w:b w:val="false"/>
          <w:bCs w:val="false"/>
          <w:sz w:val="21"/>
          <w:szCs w:val="21"/>
        </w:rPr>
        <w:ptab w:alignment="right" w:relativeTo="margin" w:leader="dot"/>
        <w:t xml:space="preserve">17</w:t>
      </w:r>
    </w:p>
    <w:p>
      <w:pPr>
        <w:spacing w:after="80"/>
        <w:ind w:left="360"/>
      </w:pPr>
      <w:r>
        <w:rPr>
          <w:b w:val="false"/>
          <w:bCs w:val="false"/>
          <w:sz w:val="21"/>
          <w:szCs w:val="21"/>
        </w:rPr>
        <w:t xml:space="preserve">7.3 Partie III — traduction automatique</w:t>
      </w:r>
      <w:r>
        <w:rPr>
          <w:b w:val="false"/>
          <w:bCs w:val="false"/>
          <w:sz w:val="21"/>
          <w:szCs w:val="21"/>
        </w:rPr>
        <w:ptab w:alignment="right" w:relativeTo="margin" w:leader="dot"/>
        <w:t xml:space="preserve">17</w:t>
      </w:r>
    </w:p>
    <w:p>
      <w:pPr>
        <w:spacing w:after="80"/>
        <w:ind w:left="360"/>
      </w:pPr>
      <w:r>
        <w:rPr>
          <w:b w:val="false"/>
          <w:bCs w:val="false"/>
          <w:sz w:val="21"/>
          <w:szCs w:val="21"/>
        </w:rPr>
        <w:t xml:space="preserve">7.4 Impact environnemental</w:t>
      </w:r>
      <w:r>
        <w:rPr>
          <w:b w:val="false"/>
          <w:bCs w:val="false"/>
          <w:sz w:val="21"/>
          <w:szCs w:val="21"/>
        </w:rPr>
        <w:ptab w:alignment="right" w:relativeTo="margin" w:leader="dot"/>
        <w:t xml:space="preserve">17</w:t>
      </w:r>
    </w:p>
    <w:p>
      <w:pPr>
        <w:spacing w:after="120"/>
        <w:ind w:left="0"/>
      </w:pPr>
      <w:r>
        <w:rPr>
          <w:b/>
          <w:bCs/>
          <w:sz w:val="22"/>
          <w:szCs w:val="22"/>
        </w:rPr>
        <w:t xml:space="preserve">8. Conclusion et perspectives</w:t>
      </w:r>
      <w:r>
        <w:rPr>
          <w:b/>
          <w:bCs/>
          <w:sz w:val="22"/>
          <w:szCs w:val="22"/>
        </w:rPr>
        <w:ptab w:alignment="right" w:relativeTo="margin" w:leader="dot"/>
        <w:t xml:space="preserve">17</w:t>
      </w:r>
    </w:p>
    <w:p>
      <w:pPr>
        <w:spacing w:after="120"/>
        <w:ind w:left="0"/>
      </w:pPr>
      <w:r>
        <w:rPr>
          <w:b/>
          <w:bCs/>
          <w:sz w:val="22"/>
          <w:szCs w:val="22"/>
        </w:rPr>
        <w:t xml:space="preserve">9. Références bibliographiques</w:t>
      </w:r>
      <w:r>
        <w:rPr>
          <w:b/>
          <w:bCs/>
          <w:sz w:val="22"/>
          <w:szCs w:val="22"/>
        </w:rPr>
        <w:ptab w:alignment="right" w:relativeTo="margin" w:leader="dot"/>
        <w:t xml:space="preserve">18</w:t>
      </w:r>
    </w:p>
    <w:p>
      <w:pPr>
        <w:spacing w:after="120"/>
        <w:ind w:left="0"/>
      </w:pPr>
      <w:r>
        <w:rPr>
          <w:b/>
          <w:bCs/>
          <w:sz w:val="22"/>
          <w:szCs w:val="22"/>
        </w:rPr>
        <w:t xml:space="preserve">10. Annexes</w:t>
      </w:r>
      <w:r>
        <w:rPr>
          <w:b/>
          <w:bCs/>
          <w:sz w:val="22"/>
          <w:szCs w:val="22"/>
        </w:rPr>
        <w:ptab w:alignment="right" w:relativeTo="margin" w:leader="dot"/>
        <w:t xml:space="preserve">19</w:t>
      </w:r>
    </w:p>
    <w:p>
      <w:r>
        <w:br w:type="page"/>
      </w:r>
    </w:p>
    <w:p>
      <w:pPr>
        <w:pStyle w:val="Heading1"/>
      </w:pPr>
      <w:r>
        <w:t xml:space="preserve">1. Introduction</w:t>
      </w:r>
    </w:p>
    <w:p>
      <w:pPr>
        <w:spacing w:after="160"/>
        <w:jc w:val="both"/>
      </w:pPr>
      <w:r>
        <w:rPr>
          <w:b w:val="false"/>
          <w:bCs w:val="false"/>
          <w:i w:val="false"/>
          <w:iCs w:val="false"/>
        </w:rPr>
        <w:t xml:space="preserve">Le deep learning ne propose pas une architecture universelle, mais une famille de modèles dont chacun encode un biais inductif adapté à un type particulier de structure de données : l’absence de structure spatiale ou temporelle pour les données tabulaires, la structure spatiale 2D pour les images, et la structure séquentielle/temporelle pour le texte ou les signaux. Le présent rapport documente la conception, l’implémentation, la comparaison et l’analyse critique de trois familles de modèles — perceptron multicouche (MLP), réseaux convolutifs (CNN) et réseaux récurrents (RNN, LSTM, GRU, et leur extension Seq2Seq) — chacune appliquée à un jeu de données réel représentatif de sa structure cible.</w:t>
      </w:r>
    </w:p>
    <w:p>
      <w:pPr>
        <w:spacing w:after="160"/>
        <w:jc w:val="both"/>
      </w:pPr>
      <w:r>
        <w:rPr>
          <w:b w:val="false"/>
          <w:bCs w:val="false"/>
          <w:i w:val="false"/>
          <w:iCs w:val="false"/>
        </w:rPr>
        <w:t xml:space="preserve">La problématique transversale qui structure ce travail est la suivante : dans quelle mesure le choix d’une architecture de deep learning doit-il être dicté par la géométrie et la dépendance interne des données, plutôt que par une recherche de performance brute indépendante du type de données ? Chaque partie expérimentale du rapport répond à cette question pour une famille de modèles donnée, avant qu’une discussion transversale (section 6) ne mette en regard les trois cas pour en tirer des conclusions générales.</w:t>
      </w:r>
    </w:p>
    <w:p>
      <w:pPr>
        <w:spacing w:after="160"/>
        <w:jc w:val="both"/>
      </w:pPr>
      <w:r>
        <w:rPr>
          <w:b w:val="false"/>
          <w:bCs w:val="false"/>
          <w:i w:val="false"/>
          <w:iCs w:val="false"/>
        </w:rPr>
        <w:t xml:space="preserve">Les objectifs spécifiques de ce projet sont :</w:t>
      </w:r>
    </w:p>
    <w:p>
      <w:pPr>
        <w:pStyle w:val="ListParagraph"/>
        <w:numPr>
          <w:ilvl w:val="0"/>
          <w:numId w:val="2"/>
        </w:numPr>
        <w:spacing w:after="80"/>
      </w:pPr>
      <w:r>
        <w:t xml:space="preserve">Démontrer la maîtrise de l’ingénierie PyTorch (nn.Module, gestion des paramètres, device, sauvegarde/rechargement) sur un cas de classification tabulaire (Partie I).</w:t>
      </w:r>
    </w:p>
    <w:p>
      <w:pPr>
        <w:pStyle w:val="ListParagraph"/>
        <w:numPr>
          <w:ilvl w:val="0"/>
          <w:numId w:val="2"/>
        </w:numPr>
        <w:spacing w:after="80"/>
      </w:pPr>
      <w:r>
        <w:t xml:space="preserve">Démontrer la compréhension des opérations convolutionnelles (corrélation croisée, padding, stride, pooling) par une implémentation manuelle validée contre PyTorch, puis leur mise en œuvre dans un CNN appliqué à la classification d’images (Partie II).</w:t>
      </w:r>
    </w:p>
    <w:p>
      <w:pPr>
        <w:pStyle w:val="ListParagraph"/>
        <w:numPr>
          <w:ilvl w:val="0"/>
          <w:numId w:val="2"/>
        </w:numPr>
        <w:spacing w:after="80"/>
      </w:pPr>
      <w:r>
        <w:t xml:space="preserve">Démontrer la compréhension des architectures récurrentes (RNN, LSTM, GRU), de la rétropropagation à travers le temps et de ses pathologies, ainsi que la construction d’un système Seq2Seq encodeur-décodeur pour la traduction automatique (Partie III).</w:t>
      </w:r>
    </w:p>
    <w:p>
      <w:pPr>
        <w:pStyle w:val="ListParagraph"/>
        <w:numPr>
          <w:ilvl w:val="0"/>
          <w:numId w:val="2"/>
        </w:numPr>
        <w:spacing w:after="80"/>
      </w:pPr>
      <w:r>
        <w:t xml:space="preserve">Comparer de façon critique, plutôt que descriptive, les architectures testées — en reliant systématiquement choix méthodologiques, théorie et résultats expérimentaux.</w:t>
      </w:r>
    </w:p>
    <w:p>
      <w:pPr>
        <w:spacing w:after="160"/>
        <w:jc w:val="both"/>
      </w:pPr>
      <w:r>
        <w:rPr>
          <w:b w:val="false"/>
          <w:bCs w:val="false"/>
          <w:i w:val="false"/>
          <w:iCs w:val="false"/>
        </w:rPr>
        <w:t xml:space="preserve">Le rapport est organisé comme suit : la section 2 présente le cadre théorique commun aux trois architectures ; les sections 3 à 5 détaillent respectivement les parties expérimentales I (MLP), II (CNN) et III (RNN/LSTM/GRU/Seq2Seq) ; la section 6 propose une discussion transversale comparant les trois approches ; la section 7 aborde les enjeux d’impact sociétal et d’éthique ; la section 8 conclut et ouvre des perspectives ; les sections 9 et 10 regroupent respectivement les références bibliographiques et les annexes (code source complet).</w:t>
      </w:r>
    </w:p>
    <w:p>
      <w:r>
        <w:br w:type="page"/>
      </w:r>
    </w:p>
    <w:p>
      <w:pPr>
        <w:pStyle w:val="Heading1"/>
      </w:pPr>
      <w:r>
        <w:t xml:space="preserve">2. Cadre théorique</w:t>
      </w:r>
    </w:p>
    <w:p>
      <w:pPr>
        <w:pStyle w:val="Heading2"/>
      </w:pPr>
      <w:r>
        <w:t xml:space="preserve">2.1 Perceptron multicouche (MLP)</w:t>
      </w:r>
    </w:p>
    <w:p>
      <w:pPr>
        <w:spacing w:after="160"/>
        <w:jc w:val="both"/>
      </w:pPr>
      <w:r>
        <w:rPr>
          <w:b w:val="false"/>
          <w:bCs w:val="false"/>
          <w:i w:val="false"/>
          <w:iCs w:val="false"/>
        </w:rPr>
        <w:t xml:space="preserve">Un MLP est une composition de transformations affines et de non-linéarités. Pour une couche, la sortie s’écrit y = f(Wᵗx + b), où W et b sont les paramètres entraînables et f une fonction d’activation non-linéaire (ReLU dans ce projet). L’empilement de plusieurs couches permet, par le théorème d’approximation universelle, d’approximer arbitrairement bien toute fonction continue sur un domaine compact — à condition de disposer d’assez de neurones et de données pour estimer les paramètres correspondants. Le MLP ne fait aucune hypothèse sur la structure des features en entrée : chaque variable est traitée indépendamment des autres au niveau de l’architecture, ce qui en fait un choix par défaut pertinent pour des données tabulaires sans structure spatiale ou temporelle exploitable, mais un choix sous-optimal pour des images ou des séquences (cf. 2.2 et 2.3).</w:t>
      </w:r>
    </w:p>
    <w:p>
      <w:pPr>
        <w:spacing w:after="160"/>
        <w:jc w:val="both"/>
      </w:pPr>
      <w:r>
        <w:rPr>
          <w:b w:val="false"/>
          <w:bCs w:val="false"/>
          <w:i w:val="false"/>
          <w:iCs w:val="false"/>
        </w:rPr>
        <w:t xml:space="preserve">L’apprentissage des paramètres repose sur la rétropropagation [2] : la perte L est dérivée par rapport à chaque paramètre via la règle de la chaîne, en réutilisant les calculs intermédiaires du passage avant (forward) pour éviter de recalculer les dérivées partielles depuis zéro à chaque couche. Le choix de l’initialisation des poids influence directement la qualité de cette optimisation : une initialisation à variance trop faible ou identique pour tous les neurones d’une couche (initialisation constante) empêche la différenciation des neurones pendant l’entraînement, tandis qu’une initialisation de type Xavier/Glorot calibre la variance des activations en fonction de la taille des couches adjacentes, ce qui stabilise empiriquement la convergence (cf. Partie I, section 3.6).</w:t>
      </w:r>
    </w:p>
    <w:p>
      <w:pPr>
        <w:pStyle w:val="Heading2"/>
      </w:pPr>
      <w:r>
        <w:t xml:space="preserve">2.2 Réseaux de neurones convolutifs (CNN)</w:t>
      </w:r>
    </w:p>
    <w:p>
      <w:pPr>
        <w:spacing w:after="160"/>
        <w:jc w:val="both"/>
      </w:pPr>
      <w:r>
        <w:rPr>
          <w:b w:val="false"/>
          <w:bCs w:val="false"/>
          <w:i w:val="false"/>
          <w:iCs w:val="false"/>
        </w:rPr>
        <w:t xml:space="preserve">Un CNN remplace la connectivité totale du MLP par une opération de corrélation croisée locale : pour une entrée X et un noyau K de taille kh × kw, la sortie en position (i, j) est Y[i,j] = Σₐ Σᵦ X[i+a, j+b] · K[a,b]. Cette opération encode deux biais inductifs fondamentaux par rapport au MLP : la localité (chaque sortie ne dépend que d’une fenêtre restreinte de l’entrée) et le partage de poids (le même noyau est appliqué à toutes les positions), ce qui confère au modèle une invariance approximative par translation et réduit drastiquement le nombre de paramètres par rapport à une couche dense équivalente.</w:t>
      </w:r>
    </w:p>
    <w:p>
      <w:pPr>
        <w:spacing w:after="160"/>
        <w:jc w:val="both"/>
      </w:pPr>
      <w:r>
        <w:rPr>
          <w:b w:val="false"/>
          <w:bCs w:val="false"/>
          <w:i w:val="false"/>
          <w:iCs w:val="false"/>
        </w:rPr>
        <w:t xml:space="preserve">La taille de sortie d’une couche de convolution dépend de quatre hyperparamètres : la taille du noyau k, le padding p (ajout de bordures à l’entrée, généralement pour préserver la résolution spatiale) et le stride s (pas de déplacement du noyau). Pour une entrée de taille n, la taille de sortie est donnée par n_out = ⌊(n + 2p − k) / s⌋ + 1. Le pooling (max ou moyenne) effectue un sous-échantillonnage similaire mais sans paramètres entraînables, dans le but de réduire la résolution spatiale tout en conservant l’information dominante (max-pooling) ou moyenne (average-pooling) sur chaque fenêtre. L’empilement de plusieurs blocs convolution + pooling construit une hiérarchie de représentations : les premières couches détectent des primitives visuelles simples (bords, contrastes), les couches profondes combinent ces primitives en motifs de plus haut niveau — une propriété qui motive historiquement les architectures inspirées de LeNet [3] utilisées dans ce projet (Partie II).</w:t>
      </w:r>
    </w:p>
    <w:p>
      <w:pPr>
        <w:pStyle w:val="Heading2"/>
      </w:pPr>
      <w:r>
        <w:t xml:space="preserve">2.3 Réseaux récurrents : RNN, LSTM, GRU</w:t>
      </w:r>
    </w:p>
    <w:p>
      <w:pPr>
        <w:spacing w:after="160"/>
        <w:jc w:val="both"/>
      </w:pPr>
      <w:r>
        <w:rPr>
          <w:b w:val="false"/>
          <w:bCs w:val="false"/>
          <w:i w:val="false"/>
          <w:iCs w:val="false"/>
        </w:rPr>
        <w:t xml:space="preserve">Un RNN simple traite une séquence en maintenant un état caché mis à jour récursivement : hₜ = tanh(W_xh·xₜ + W_hh·hₜ₋₁ + b_h). Cet état caché joue le rôle de mémoire condensant l’historique de la séquence. L’apprentissage se fait par rétropropagation à travers le temps (BPTT) : le réseau récurrent est « déroulé » sur les T pas de temps, ce qui équivaut à un réseau feedforward profond de profondeur T avec des poids partagés entre les pas de temps. Le gradient par rapport à un poids partagé est la somme des contributions de chaque pas de temps, ce qui implique un produit répété de dérivées le long de la chaîne temporelle — source classique d’explosion ou d’évanouissement du gradient sur des séquences longues, le RNN simple n’offrant aucun mécanisme de protection contre ce phénomène.</w:t>
      </w:r>
    </w:p>
    <w:p>
      <w:pPr>
        <w:spacing w:after="160"/>
        <w:jc w:val="both"/>
      </w:pPr>
      <w:r>
        <w:rPr>
          <w:b w:val="false"/>
          <w:bCs w:val="false"/>
          <w:i w:val="false"/>
          <w:iCs w:val="false"/>
        </w:rPr>
        <w:t xml:space="preserve">Le LSTM [4] introduit une mémoire cellulaire cₜ distincte de l’état caché, régulée par trois portes (oubli fₜ, entrée iₜ, sortie oₜ), chacune calculée par une fonction sigmoïde des entrées courantes et de l’état précédent : cₜ = fₜ ⊙ cₜ₋₁ + iₜ ⊙ c̃ₜ, hₜ = oₜ ⊙ tanh(cₜ). Lorsque la porte d’oubli est proche de 1, l’information peut circuler à travers cₜ sur de longues distances temporelles avec une atténuation minimale, offrant un chemin de gradient quasi-direct qui atténue le problème d’évanouissement. Le GRU [5] simplifie cette architecture en fusionnant état caché et mémoire cellulaire, avec deux portes (reset, update) au lieu de trois : il compte donc moins de paramètres que le LSTM pour une dimension cachée identique, pour des performances généralement comparables sur des tâches de taille modeste.</w:t>
      </w:r>
    </w:p>
    <w:p>
      <w:pPr>
        <w:spacing w:after="160"/>
        <w:jc w:val="both"/>
      </w:pPr>
      <w:r>
        <w:rPr>
          <w:b w:val="false"/>
          <w:bCs w:val="false"/>
          <w:i w:val="false"/>
          <w:iCs w:val="false"/>
        </w:rPr>
        <w:t xml:space="preserve">Le gradient clipping est la contre-mesure pratique à l’explosion du gradient : si la norme globale du gradient ‖g‖ dépasse un seuil θ, on renormalise g ← g · θ / ‖g‖, ce qui préserve la direction de la mise à jour tout en bornant sa magnitude. Cette technique est démontrée empiriquement en Partie III (section 5.5) sur un RNN simple, dont l’instabilité est comparée avec et sans clipping.</w:t>
      </w:r>
    </w:p>
    <w:p>
      <w:pPr>
        <w:pStyle w:val="Heading2"/>
      </w:pPr>
      <w:r>
        <w:t xml:space="preserve">2.4 Modélisation probabiliste des séquences et architectures Seq2Seq</w:t>
      </w:r>
    </w:p>
    <w:p>
      <w:pPr>
        <w:spacing w:after="160"/>
        <w:jc w:val="both"/>
      </w:pPr>
      <w:r>
        <w:rPr>
          <w:b w:val="false"/>
          <w:bCs w:val="false"/>
          <w:i w:val="false"/>
          <w:iCs w:val="false"/>
        </w:rPr>
        <w:t xml:space="preserve">Un modèle de langage estime la probabilité d’une séquence de tokens w₁,…,w_T. Par la règle de chaîne des probabilités, cette probabilité jointe se factorise en un produit de probabilités conditionnelles : P(w₁,…,w_T) = Πₜ P(wₜ | w₁,…,wₜ₋₁). C’est exactement ce qu’apprend un réseau récurrent entraîné en prédiction du prochain token (next-token prediction) : à chaque pas de temps, le réseau résume l’historique dans son état caché et produit une distribution sur le vocabulaire. La qualité de cet apprentissage se mesure par la perplexité, exponentielle de l’entropie croisée moyenne : PPL = exp(−(1/T) Σₜ log P(wₜ | w_{&lt;t})) — une perplexité de 1 correspond à une prédiction parfaite, une perplexité égale à la taille du vocabulaire correspond à une distribution uniforme (absence d’apprentissage utile).</w:t>
      </w:r>
    </w:p>
    <w:p>
      <w:pPr>
        <w:spacing w:after="160"/>
        <w:jc w:val="both"/>
      </w:pPr>
      <w:r>
        <w:rPr>
          <w:b w:val="false"/>
          <w:bCs w:val="false"/>
          <w:i w:val="false"/>
          <w:iCs w:val="false"/>
        </w:rPr>
        <w:t xml:space="preserve">L’architecture encodeur–décodeur (Seq2Seq) [5] étend ce principe à la transduction d’une séquence source vers une séquence cible de longueur différente (typiquement la traduction automatique) : l’encodeur condense la séquence source dans un vecteur de contexte (le dernier état caché), et le décodeur — lui-même un modèle de langage, mais conditionné par ce contexte — génère la séquence cible token par token. Pendant l’entraînement, le teacher forcing consiste à fournir au décodeur, à chaque pas de temps, la vraie valeur précédente de la séquence cible plutôt que sa propre prédiction, ce qui accélère et stabilise la convergence au prix d’un écart entre les conditions d’entraînement et d’inférence (en inférence, le décodeur n’a jamais accès à la vraie cible). En inférence, deux stratégies de décodage sont comparées dans ce rapport : le décodage glouton, qui choisit à chaque pas le token le plus probable sans retour en arrière, et le beam search, qui maintient les k séquences partielles les plus probables à chaque pas, réduisant le risque de blocage sur un choix localement optimal mais globalement sous-optimal. La qualité des traductions générées est évaluée par le score BLEU [6], fondé sur la précision des n-grammes (1 à 4) entre la séquence générée et la référence, pondérée par une pénalité de brièveté qui dissuade les traductions artificiellement courtes.</w:t>
      </w:r>
    </w:p>
    <w:p>
      <w:pPr>
        <w:spacing w:after="160"/>
        <w:jc w:val="both"/>
      </w:pPr>
      <w:r>
        <w:rPr>
          <w:b w:val="false"/>
          <w:bCs w:val="false"/>
          <w:i w:val="false"/>
          <w:iCs w:val="false"/>
        </w:rPr>
        <w:t xml:space="preserve">L’ensemble de ces architectures partage un même cadre d’apprentissage supervisé par descente de gradient stochastique — dans ce projet, l’optimiseur Adam [7], qui adapte le taux d’apprentissage par paramètre à partir des moments empiriques du gradient — mais diffère fondamentalement dans la manière d’encoder la structure des données en entrée du réseau : aucune hypothèse structurelle pour le MLP, localité et partage de poids pour le CNN, récurrence temporelle et mémoire à plus ou moins long terme pour les architectures séquentielles. C’est précisément cette articulation entre géométrie des données et biais inductif de l’architecture qui constitue le fil conducteur analytique du présent rapport.</w:t>
      </w:r>
    </w:p>
    <w:p>
      <w:r>
        <w:br w:type="page"/>
      </w:r>
    </w:p>
    <w:p>
      <w:pPr>
        <w:pStyle w:val="Heading1"/>
      </w:pPr>
      <w:r>
        <w:t xml:space="preserve">3. Partie expérimentale I — MLP sur données tabulaires</w:t>
      </w:r>
    </w:p>
    <w:p>
      <w:pPr>
        <w:pStyle w:val="Heading2"/>
      </w:pPr>
      <w:r>
        <w:t xml:space="preserve">3.1 Dataset</w:t>
      </w:r>
    </w:p>
    <w:p>
      <w:pPr>
        <w:spacing w:after="160"/>
        <w:jc w:val="both"/>
      </w:pPr>
      <w:r>
        <w:rPr>
          <w:b w:val="false"/>
          <w:bCs w:val="false"/>
          <w:i w:val="false"/>
          <w:iCs w:val="false"/>
        </w:rPr>
        <w:t xml:space="preserve">Le dataset utilisé est Breast Cancer Wisconsin (Diagnostic) [8], intégré nativement à scikit-learn. Il comporte 569 échantillons décrits par 30 variables numériques continues, mesurées sur des noyaux cellulaires extraits de biopsies (rayon, texture, périmètre, aire, lissage, etc., chacune disponible sous forme de moyenne, d’erreur-type et de valeur « worst »). La variable cible est binaire : tumeur maligne ou bénigne. Ce dataset correspond explicitement à l’un des jeux de données proposés par le cahier des charges du module pour la Partie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la sortie de la cellule 2.1/2.2 du notebook Partie I : forme du dataset, distribution des classes (malin/bénin), absence de valeurs manquantes, et le graphique en barres de l’équilibre des classes.</w:t>
            </w:r>
          </w:p>
        </w:tc>
      </w:tr>
    </w:tbl>
    <w:p>
      <w:pPr>
        <w:pStyle w:val="Heading2"/>
      </w:pPr>
      <w:r>
        <w:t xml:space="preserve">3.2 Prétraitement</w:t>
      </w:r>
    </w:p>
    <w:p>
      <w:pPr>
        <w:spacing w:after="160"/>
        <w:jc w:val="both"/>
      </w:pPr>
      <w:r>
        <w:rPr>
          <w:b w:val="false"/>
          <w:bCs w:val="false"/>
          <w:i w:val="false"/>
          <w:iCs w:val="false"/>
        </w:rPr>
        <w:t xml:space="preserve">Le prétraitement suit la méthodologie standard rappelée par le guide de référence du module :</w:t>
      </w:r>
    </w:p>
    <w:p>
      <w:pPr>
        <w:pStyle w:val="ListParagraph"/>
        <w:numPr>
          <w:ilvl w:val="0"/>
          <w:numId w:val="3"/>
        </w:numPr>
        <w:spacing w:after="80"/>
      </w:pPr>
      <w:r>
        <w:t xml:space="preserve">Vérification de l’absence de valeurs manquantes (confirmée — aucune imputation nécessaire sur ce dataset).</w:t>
      </w:r>
    </w:p>
    <w:p>
      <w:pPr>
        <w:pStyle w:val="ListParagraph"/>
        <w:numPr>
          <w:ilvl w:val="0"/>
          <w:numId w:val="3"/>
        </w:numPr>
        <w:spacing w:after="80"/>
      </w:pPr>
      <w:r>
        <w:t xml:space="preserve">Séparation stratifiée train/validation/test selon un ratio 60/20/20, qui préserve la proportion de chaque classe dans chaque sous-ensemble.</w:t>
      </w:r>
    </w:p>
    <w:p>
      <w:pPr>
        <w:pStyle w:val="ListParagraph"/>
        <w:numPr>
          <w:ilvl w:val="0"/>
          <w:numId w:val="3"/>
        </w:numPr>
        <w:spacing w:after="80"/>
      </w:pPr>
      <w:r>
        <w:t xml:space="preserve">Standardisation (StandardScaler, z-score) ajustée uniquement sur le train, puis appliquée à validation et test — afin d’éviter toute fuite d’information (data leakage), conformément à la consigne du guide de référence (section 2.2.1).</w:t>
      </w:r>
    </w:p>
    <w:p>
      <w:pPr>
        <w:pStyle w:val="ListParagraph"/>
        <w:numPr>
          <w:ilvl w:val="0"/>
          <w:numId w:val="3"/>
        </w:numPr>
        <w:spacing w:after="80"/>
      </w:pPr>
      <w:r>
        <w:t xml:space="preserve">Conversion en tenseurs PyTorch et encapsulation dans des DataLoader (batch size = 32, shuffle=True pour le train uniquement).</w:t>
      </w:r>
    </w:p>
    <w:p>
      <w:pPr>
        <w:pStyle w:val="Heading2"/>
      </w:pPr>
      <w:r>
        <w:t xml:space="preserve">3.3 Architecture</w:t>
      </w:r>
    </w:p>
    <w:p>
      <w:pPr>
        <w:spacing w:after="160"/>
        <w:jc w:val="both"/>
      </w:pPr>
      <w:r>
        <w:rPr>
          <w:b w:val="false"/>
          <w:bCs w:val="false"/>
          <w:i w:val="false"/>
          <w:iCs w:val="false"/>
        </w:rPr>
        <w:t xml:space="preserve">Deux implémentations strictement équivalentes (même nombre de paramètres) ont été comparées : une version déclarative (nn.Sequential) et une version par classe personnalisée héritant de nn.Module. L’architecture retenue est la suivante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Couche</w:t>
            </w:r>
          </w:p>
        </w:tc>
        <w:tc>
          <w:tcPr>
            <w:tcW w:type="dxa" w:w="2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76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Dimensions</w:t>
            </w:r>
          </w:p>
        </w:tc>
        <w:tc>
          <w:tcPr>
            <w:tcW w:type="dxa" w:w="2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Activation</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Entrée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w:t>
            </w:r>
          </w:p>
        </w:tc>
        <w:tc>
          <w:tcPr>
            <w:tcW w:type="dxa" w:w="27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30 features</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Cachée 1</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Linear + ReLU</w:t>
            </w:r>
          </w:p>
        </w:tc>
        <w:tc>
          <w:tcPr>
            <w:tcW w:type="dxa" w:w="27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30 → 64</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ReLU</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Cachée 2</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Linear + ReLU</w:t>
            </w:r>
          </w:p>
        </w:tc>
        <w:tc>
          <w:tcPr>
            <w:tcW w:type="dxa" w:w="27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64 → 32</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ReLU</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Sortie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Linear</w:t>
            </w:r>
          </w:p>
        </w:tc>
        <w:tc>
          <w:tcPr>
            <w:tcW w:type="dxa" w:w="27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32 → 1</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logit brut (BCEWithLogitsLoss)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CE9F7" w:val="clear"/>
            <w:tcMar>
              <w:top w:type="dxa" w:w="120"/>
              <w:left w:type="dxa" w:w="160"/>
              <w:bottom w:type="dxa" w:w="120"/>
              <w:right w:type="dxa" w:w="160"/>
            </w:tcMar>
          </w:tcPr>
          <w:p>
            <w:pPr>
              <w:spacing w:after="40"/>
            </w:pPr>
            <w:r>
              <w:rPr>
                <w:b/>
                <w:bCs/>
              </w:rPr>
              <w:t xml:space="preserve">Remarque :</w:t>
            </w:r>
          </w:p>
          <w:p>
            <w:r>
              <w:rPr>
                <w:i/>
                <w:iCs/>
              </w:rPr>
              <w:t xml:space="preserve">La sortie est un logit brut (pas de sigmoïde appliquée dans le modèle) car la fonction de perte BCEWithLogitsLoss combine sigmoïde et entropie croisée de façon numériquement stable — conformément à la bonne pratique rappelée par le guide de référence (section 4.1).</w:t>
            </w:r>
          </w:p>
        </w:tc>
      </w:tr>
    </w:tbl>
    <w:p>
      <w:pPr>
        <w:pStyle w:val="Heading2"/>
      </w:pPr>
      <w:r>
        <w:t xml:space="preserve">3.4 Inspection des paramètres</w:t>
      </w:r>
    </w:p>
    <w:p>
      <w:pPr>
        <w:spacing w:after="160"/>
        <w:jc w:val="both"/>
      </w:pPr>
      <w:r>
        <w:rPr>
          <w:b w:val="false"/>
          <w:bCs w:val="false"/>
          <w:i w:val="false"/>
          <w:iCs w:val="false"/>
        </w:rPr>
        <w:t xml:space="preserve">L’inspection via named_parameters() et state_dict() (voir notebook, section 4) confirme la cohérence des dimensions de chaque couche et le statut requires_grad=True de l’ensemble des poids et biais.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tableau imprimé par la cellule 4.1 (nom, forme, nombre d’éléments, requires_grad pour chaque paramètre).</w:t>
            </w:r>
          </w:p>
        </w:tc>
      </w:tr>
    </w:tbl>
    <w:p>
      <w:pPr>
        <w:pStyle w:val="Heading2"/>
      </w:pPr>
      <w:r>
        <w:t xml:space="preserve">3.5 Stratégies d’initialisation</w:t>
      </w:r>
    </w:p>
    <w:p>
      <w:pPr>
        <w:spacing w:after="160"/>
        <w:jc w:val="both"/>
      </w:pPr>
      <w:r>
        <w:rPr>
          <w:b w:val="false"/>
          <w:bCs w:val="false"/>
          <w:i w:val="false"/>
          <w:iCs w:val="false"/>
        </w:rPr>
        <w:t xml:space="preserve">Trois stratégies ont été testées sur la même architecture, seule l’initialisation des poids changeant entre les essais : gaussienne (écart-type 0,01), constante (tous les poids à 0,01) et Xavier/Glorot uniforme.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tableau comparatif et la courbe de convergence (validation loss par epoch) des trois stratégies — cellule 6.1 du notebook. Indiquer explicitement quelle stratégie a été retenue pour l’entraînement final et pourquoi (cf. cadre théorique 2.1).</w:t>
            </w:r>
          </w:p>
        </w:tc>
      </w:tr>
    </w:tbl>
    <w:p>
      <w:pPr>
        <w:spacing w:after="160"/>
        <w:jc w:val="both"/>
      </w:pPr>
      <w:r>
        <w:rPr>
          <w:b w:val="false"/>
          <w:bCs w:val="false"/>
          <w:i w:val="false"/>
          <w:iCs w:val="false"/>
        </w:rPr>
        <w:t xml:space="preserve">Conformément à la théorie (section 2.1), on s’attend à observer une stagnation de la perte pour l’initialisation constante (les neurones d’une même couche restant identiques tout au long de l’entraînement, faute de différenciation initiale), et une convergence comparable entre l’initialisation gaussienne à faible variance et l’initialisation Xavier.</w:t>
      </w:r>
    </w:p>
    <w:p>
      <w:pPr>
        <w:pStyle w:val="Heading2"/>
      </w:pPr>
      <w:r>
        <w:t xml:space="preserve">3.6 Sauvegarde, rechargement et vérification du device</w:t>
      </w:r>
    </w:p>
    <w:p>
      <w:pPr>
        <w:spacing w:after="160"/>
        <w:jc w:val="both"/>
      </w:pPr>
      <w:r>
        <w:rPr>
          <w:b w:val="false"/>
          <w:bCs w:val="false"/>
          <w:i w:val="false"/>
          <w:iCs w:val="false"/>
        </w:rPr>
        <w:t xml:space="preserve">Le meilleur modèle (selon la perte de validation) est sauvegardé via torch.save(model.state_dict()), puis rechargé dans une instance fraîche du modèle. Un test de cohérence (écart maximal entre les sorties du modèle original et du modèle rechargé sur un même batch) valide que la sauvegarde est complète et fidèle.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l’écart numérique mesuré (cellule 7.4) ainsi que la vérification de cohérence CPU/GPU (cellule 8.1).</w:t>
            </w:r>
          </w:p>
        </w:tc>
      </w:tr>
    </w:tbl>
    <w:p>
      <w:pPr>
        <w:pStyle w:val="Heading2"/>
      </w:pPr>
      <w:r>
        <w:t xml:space="preserve">3.7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 (1) la courbe d’apprentissage finale (train vs validation loss, cellule 7.1) ; (2) les métriques de test — accuracy, precision, recall, F1-score (cellule 9) ; (3) la matrice de confusion (cellule 9.1).</w:t>
            </w:r>
          </w:p>
        </w:tc>
      </w:tr>
    </w:tbl>
    <w:p>
      <w:pPr>
        <w:pStyle w:val="Heading2"/>
      </w:pPr>
      <w:r>
        <w:t xml:space="preserve">3.8 Analyse critique</w:t>
      </w:r>
    </w:p>
    <w:p>
      <w:pPr>
        <w:spacing w:after="160"/>
        <w:jc w:val="both"/>
      </w:pPr>
      <w:r>
        <w:rPr>
          <w:b w:val="false"/>
          <w:bCs w:val="false"/>
          <w:i w:val="false"/>
          <w:iCs w:val="false"/>
        </w:rPr>
        <w:t xml:space="preserve">L’analyse critique doit articuler théorie, méthodologie et résultats, en évitant toute affirmation non quantifiée (cf. guide de référence, section 9.2). Les axes attendus sont :</w:t>
      </w:r>
    </w:p>
    <w:p>
      <w:pPr>
        <w:pStyle w:val="ListParagraph"/>
        <w:numPr>
          <w:ilvl w:val="0"/>
          <w:numId w:val="2"/>
        </w:numPr>
        <w:spacing w:after="80"/>
      </w:pPr>
      <w:r>
        <w:t xml:space="preserve">Sensibilité du MLP à l’initialisation (preuve empirique en 3.5) — argument contre l’idée reçue qu’un MLP serait « robuste par défaut » à n’importe quel choix d’ingénierie.</w:t>
      </w:r>
    </w:p>
    <w:p>
      <w:pPr>
        <w:pStyle w:val="ListParagraph"/>
        <w:numPr>
          <w:ilvl w:val="0"/>
          <w:numId w:val="2"/>
        </w:numPr>
        <w:spacing w:after="80"/>
      </w:pPr>
      <w:r>
        <w:t xml:space="preserve">Adéquation du MLP au dataset : les 30 variables sont déjà des statistiques agrégées et numériques, sans structure spatiale ou temporelle à exploiter — c’est précisément le cas d’usage pour lequel le MLP est le choix approprié (à mettre en perspective avec les Parties II et III en section 6).</w:t>
      </w:r>
    </w:p>
    <w:p>
      <w:pPr>
        <w:pStyle w:val="ListParagraph"/>
        <w:numPr>
          <w:ilvl w:val="0"/>
          <w:numId w:val="2"/>
        </w:numPr>
        <w:spacing w:after="80"/>
      </w:pPr>
      <w:r>
        <w:t xml:space="preserve">Risque de surapprentissage compte tenu de la taille modeste du dataset (569 exemples) — à quantifier par l’écart train/validation observé sur la courbe d’apprentissage.</w:t>
      </w:r>
    </w:p>
    <w:p>
      <w:pPr>
        <w:pStyle w:val="ListParagraph"/>
        <w:numPr>
          <w:ilvl w:val="0"/>
          <w:numId w:val="2"/>
        </w:numPr>
        <w:spacing w:after="80"/>
      </w:pPr>
      <w:r>
        <w:t xml:space="preserve">Comparaison avec une baseline simple (régression logistique) recommandée par le guide de référence (section 8.1, point 4) pour situer l’apport réel du MLP par rapport à un modèle linéaire.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Compléter chaque point ci-dessus avec les chiffres réels obtenus (accuracy, F1, écart train/val) avant la rédaction finale.</w:t>
            </w:r>
          </w:p>
        </w:tc>
      </w:tr>
    </w:tbl>
    <w:p>
      <w:pPr>
        <w:pStyle w:val="Heading2"/>
      </w:pPr>
      <w:r>
        <w:t xml:space="preserve">3.9 Question de synthèse — Partie I</w:t>
      </w:r>
    </w:p>
    <w:p>
      <w:pPr>
        <w:spacing w:after="160"/>
        <w:jc w:val="both"/>
      </w:pPr>
      <w:r>
        <w:rPr>
          <w:b w:val="false"/>
          <w:bCs w:val="false"/>
          <w:i/>
          <w:iCs/>
        </w:rPr>
        <w:t xml:space="preserve">« Dans quelle mesure un MLP bien paramétré constitue-t-il une solution pertinente pour la classification tabulaire sur un dataset réel, et quelles sont ses principales limites au regard de la structure statistique des données étudiées ? »</w:t>
      </w:r>
    </w:p>
    <w:p>
      <w:pPr>
        <w:spacing w:after="160"/>
        <w:jc w:val="both"/>
      </w:pPr>
      <w:r>
        <w:rPr>
          <w:b w:val="false"/>
          <w:bCs w:val="false"/>
          <w:i w:val="false"/>
          <w:iCs w:val="false"/>
        </w:rPr>
        <w:t xml:space="preserve">Élément de réponse : le théorème d’approximation universelle garantit l’expressivité théorique du MLP, mais cette garantie est asymptotique — rien ne dit qu’un réseau de taille raisonnable, entraîné sur 569 exemples, atteint effectivement cette approximation en pratique. Les choix méthodologiques (normalisation indispensable compte tenu de l’hétérogénéité des échelles entre les 30 variables, split stratifié pour préserver le ratio malin/bénin, initialisation Xavier justifiée théoriquement et confirmée empiriquement) ont visé à maximiser les chances d’atteindre cette approximation. Les résultats expérimentaux [voir 3.7] et l’analyse critique [voir 3.8] permettent de conclure que le MLP est pertinent ici précisément parce que les features sont déjà des agrégats numériques sans structure spatiale ou séquentielle — contrairement aux cas étudiés en Parties II et III, où l’absence de prise en compte de la structure des données pénaliserait fortement les performances.</w:t>
      </w:r>
    </w:p>
    <w:p>
      <w:r>
        <w:br w:type="page"/>
      </w:r>
    </w:p>
    <w:p>
      <w:pPr>
        <w:pStyle w:val="Heading1"/>
      </w:pPr>
      <w:r>
        <w:t xml:space="preserve">4. Partie expérimentale II — CNN sur données images</w:t>
      </w:r>
    </w:p>
    <w:p>
      <w:pPr>
        <w:pStyle w:val="Heading2"/>
      </w:pPr>
      <w:r>
        <w:t xml:space="preserve">4.1 Dataset</w:t>
      </w:r>
    </w:p>
    <w:p>
      <w:pPr>
        <w:spacing w:after="160"/>
        <w:jc w:val="both"/>
      </w:pPr>
      <w:r>
        <w:rPr>
          <w:b w:val="false"/>
          <w:bCs w:val="false"/>
          <w:i w:val="false"/>
          <w:iCs w:val="false"/>
        </w:rPr>
        <w:t xml:space="preserve">Le dataset utilisé est Fashion-MNIST [9], composé de 60 000 images d’entraînement et 10 000 images de test, en niveaux de gris, de résolution 28 × 28 pixels, répartiees en 10 classes de vêtements (T-shirt, pantalon, pull, robe, manteau, sandale, chemise, sneaker, sac, bottine). Ce dataset, explicitement proposé par le cahier des charges, présente l’avantage d’être plus discriminant que le MNIST classique (chiffres manuscrits) tout en restant suffisamment léger pour un entraînement rapide sur Google Colab.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la grille d’exemples d’images du dataset (cellule 4.1 du notebook) et la répartition train/val/test.</w:t>
            </w:r>
          </w:p>
        </w:tc>
      </w:tr>
    </w:tbl>
    <w:p>
      <w:pPr>
        <w:pStyle w:val="Heading2"/>
      </w:pPr>
      <w:r>
        <w:t xml:space="preserve">4.2 Prétraitement</w:t>
      </w:r>
    </w:p>
    <w:p>
      <w:pPr>
        <w:pStyle w:val="ListParagraph"/>
        <w:numPr>
          <w:ilvl w:val="0"/>
          <w:numId w:val="3"/>
        </w:numPr>
        <w:spacing w:after="80"/>
      </w:pPr>
      <w:r>
        <w:t xml:space="preserve">Conversion en tenseur et normalisation par la moyenne/écart-type officiels de Fashion-MNIST (0,286 / 0,353).</w:t>
      </w:r>
    </w:p>
    <w:p>
      <w:pPr>
        <w:pStyle w:val="ListParagraph"/>
        <w:numPr>
          <w:ilvl w:val="0"/>
          <w:numId w:val="3"/>
        </w:numPr>
        <w:spacing w:after="80"/>
      </w:pPr>
      <w:r>
        <w:t xml:space="preserve">Séparation train/validation (90/10) à partir du set d’entraînement officiel ; le set de test officiel est conservé intact pour l’évaluation finale unique.</w:t>
      </w:r>
    </w:p>
    <w:p>
      <w:pPr>
        <w:pStyle w:val="ListParagraph"/>
        <w:numPr>
          <w:ilvl w:val="0"/>
          <w:numId w:val="3"/>
        </w:numPr>
        <w:spacing w:after="80"/>
      </w:pPr>
      <w:r>
        <w:t xml:space="preserve">Aucune augmentation de données n’a été appliquée dans la configuration de référence, afin d’isoler l’effet des choix architecturaux étudiés en 4.4 ; il s’agit d’une piste d’amélioration identifiée en 4.6.</w:t>
      </w:r>
    </w:p>
    <w:p>
      <w:pPr>
        <w:pStyle w:val="Heading2"/>
      </w:pPr>
      <w:r>
        <w:t xml:space="preserve">4.3 Implémentation manuelle validée contre PyTorch</w:t>
      </w:r>
    </w:p>
    <w:p>
      <w:pPr>
        <w:spacing w:after="160"/>
        <w:jc w:val="both"/>
      </w:pPr>
      <w:r>
        <w:rPr>
          <w:b w:val="false"/>
          <w:bCs w:val="false"/>
          <w:i w:val="false"/>
          <w:iCs w:val="false"/>
        </w:rPr>
        <w:t xml:space="preserve">Conformément au cahier des charges, la corrélation croisée 2D, le max-pooling et l’average-pooling ont été implémentés « from scratch » (boucles explicites, sans nn.Conv2d ni nn.MaxPool2d), puis comparés numériquement aux fonctions natives F.conv2d, F.max_pool2d et F.avg_pool2d.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les écarts numériques mesurés (cellules 3.1 et 3.2 du notebook) entre l’implémentation manuelle et PyTorch — un écart de l’ordre de 1e-6 ou moins valide la correction de l’implémentation manuelle.</w:t>
            </w:r>
          </w:p>
        </w:tc>
      </w:tr>
    </w:tbl>
    <w:p>
      <w:pPr>
        <w:spacing w:after="160"/>
        <w:jc w:val="both"/>
      </w:pPr>
      <w:r>
        <w:rPr>
          <w:b w:val="false"/>
          <w:bCs w:val="false"/>
          <w:i w:val="false"/>
          <w:iCs w:val="false"/>
        </w:rPr>
        <w:t xml:space="preserve">Le tableau des tailles de sortie calculées manuellement pour différentes combinaisons (taille d’entrée, noyau, padding, stride), conformément à la formule rappelée en section 2.2, est également reporté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tableau df_sizes de la cellule 2.2 du notebook.</w:t>
            </w:r>
          </w:p>
        </w:tc>
      </w:tr>
    </w:tbl>
    <w:p>
      <w:pPr>
        <w:pStyle w:val="Heading2"/>
      </w:pPr>
      <w:r>
        <w:t xml:space="preserve">4.4 Architecture et étude expérimentale comparative</w:t>
      </w:r>
    </w:p>
    <w:p>
      <w:pPr>
        <w:spacing w:after="160"/>
        <w:jc w:val="both"/>
      </w:pPr>
      <w:r>
        <w:rPr>
          <w:b w:val="false"/>
          <w:bCs w:val="false"/>
          <w:i w:val="false"/>
          <w:iCs w:val="false"/>
        </w:rPr>
        <w:t xml:space="preserve">L’architecture de référence, inspirée de LeNet [3], est paramétrable afin de mener l’étude comparative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Bloc</w:t>
            </w:r>
          </w:p>
        </w:tc>
        <w:tc>
          <w:tcPr>
            <w:tcW w:type="dxa" w:w="5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Opérations</w:t>
            </w:r>
          </w:p>
        </w:tc>
        <w:tc>
          <w:tcPr>
            <w:tcW w:type="dxa" w:w="216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Remarque</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Bloc 1</w:t>
            </w:r>
          </w:p>
        </w:tc>
        <w:tc>
          <w:tcPr>
            <w:tcW w:type="dxa" w:w="5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Conv(5×5, f1) → [Conv 1×1 optionnel] → ReLU → Pool(2×2)</w:t>
            </w:r>
          </w:p>
        </w:tc>
        <w:tc>
          <w:tcPr>
            <w:tcW w:type="dxa" w:w="21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f1, padding, stride, type de pooling variables</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Bloc 2</w:t>
            </w:r>
          </w:p>
        </w:tc>
        <w:tc>
          <w:tcPr>
            <w:tcW w:type="dxa" w:w="5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Conv(5×5, f2) → ReLU → Pool(2×2)</w:t>
            </w:r>
          </w:p>
        </w:tc>
        <w:tc>
          <w:tcPr>
            <w:tcW w:type="dxa" w:w="21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f2 variable</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Classif.</w:t>
            </w:r>
          </w:p>
        </w:tc>
        <w:tc>
          <w:tcPr>
            <w:tcW w:type="dxa" w:w="5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Flatten → Linear(→120) → Linear(→84) → Linear(→10)</w:t>
            </w:r>
          </w:p>
        </w:tc>
        <w:tc>
          <w:tcPr>
            <w:tcW w:type="dxa" w:w="21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Tête de classification commune</w:t>
            </w:r>
          </w:p>
        </w:tc>
      </w:tr>
    </w:tbl>
    <w:p>
      <w:pPr>
        <w:spacing w:after="80"/>
      </w:pPr>
    </w:p>
    <w:p>
      <w:pPr>
        <w:spacing w:after="160"/>
        <w:jc w:val="both"/>
      </w:pPr>
      <w:r>
        <w:rPr>
          <w:b w:val="false"/>
          <w:bCs w:val="false"/>
          <w:i w:val="false"/>
          <w:iCs w:val="false"/>
        </w:rPr>
        <w:t xml:space="preserve">Six configurations ont été comparées en isolant un facteur à la fois par rapport à la baseline (padding=0, stride=1, max-pooling, filtres (6,16), sans convolution 1×1) : padding=2, stride=2, average-pooling, filtres (16,32), et ajout d’une convolution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tableau comparatif complet (configuration, nombre de paramètres, temps d’entraînement, accuracy de validation et de test — cellule 7.1 du notebook) ainsi que le graphique en barres correspondant.</w:t>
            </w:r>
          </w:p>
        </w:tc>
      </w:tr>
    </w:tbl>
    <w:p>
      <w:pPr>
        <w:pStyle w:val="Heading2"/>
      </w:pPr>
      <w:r>
        <w:t xml:space="preserve">4.5 Visualisation des cartes de caractéristiques</w:t>
      </w:r>
    </w:p>
    <w:p>
      <w:pPr>
        <w:spacing w:after="160"/>
        <w:jc w:val="both"/>
      </w:pPr>
      <w:r>
        <w:rPr>
          <w:b w:val="false"/>
          <w:bCs w:val="false"/>
          <w:i w:val="false"/>
          <w:iCs w:val="false"/>
        </w:rPr>
        <w:t xml:space="preserve">Les cartes d’activation du premier bloc convolutif ont été visualisées sur un exemple de test, afin d’interpréter qualitativement ce que les premiers filtres apprennent à détecter.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la grille de cartes de caractéristiques (cellule 8 du notebook) et l’interprétation qualitative correspondante : les filtres bas niveau réagissent-ils à des contrastes/bords orientés, comme attendu par la théorie (section 2.2) ?</w:t>
            </w:r>
          </w:p>
        </w:tc>
      </w:tr>
    </w:tbl>
    <w:p>
      <w:pPr>
        <w:pStyle w:val="Heading2"/>
      </w:pPr>
      <w:r>
        <w:t xml:space="preserve">4.6 Comparaison MLP vs CNN</w:t>
      </w:r>
    </w:p>
    <w:p>
      <w:pPr>
        <w:spacing w:after="160"/>
        <w:jc w:val="both"/>
      </w:pPr>
      <w:r>
        <w:rPr>
          <w:b w:val="false"/>
          <w:bCs w:val="false"/>
          <w:i w:val="false"/>
          <w:iCs w:val="false"/>
        </w:rPr>
        <w:t xml:space="preserve">Un MLP simple (Flatten + 2 couches denses) a été entraîné sur le même dataset, dans les mêmes conditions (nombre d’epochs, optimiseur), afin de quantifier l’apport structurel du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tableau comparatif final (nombre de paramètres, temps d’entraînement, accuracy de test) — cellule 9 du notebook.</w:t>
            </w:r>
          </w:p>
        </w:tc>
      </w:tr>
    </w:tbl>
    <w:p>
      <w:pPr>
        <w:pStyle w:val="Heading2"/>
      </w:pPr>
      <w:r>
        <w:t xml:space="preserve">4.7 Analyse critique</w:t>
      </w:r>
    </w:p>
    <w:p>
      <w:pPr>
        <w:pStyle w:val="ListParagraph"/>
        <w:numPr>
          <w:ilvl w:val="0"/>
          <w:numId w:val="2"/>
        </w:numPr>
        <w:spacing w:after="80"/>
      </w:pPr>
      <w:r>
        <w:t xml:space="preserve">Effet du padding/stride/pooling/nombre de filtres — à commenter à partir du tableau de 4.4, en reliant chaque variation aux calculs dimensionnels de la section 2.2.</w:t>
      </w:r>
    </w:p>
    <w:p>
      <w:pPr>
        <w:pStyle w:val="ListParagraph"/>
        <w:numPr>
          <w:ilvl w:val="0"/>
          <w:numId w:val="2"/>
        </w:numPr>
        <w:spacing w:after="80"/>
      </w:pPr>
      <w:r>
        <w:t xml:space="preserve">Effet de la convolution 1×1 — rôle de mélange des canaux à coût de calcul minimal, sans changement de résolution spatiale ; intérêt généralement plus marqué sur des architectures profondes (Inception, ResNet) que sur ce réseau peu profond.</w:t>
      </w:r>
    </w:p>
    <w:p>
      <w:pPr>
        <w:pStyle w:val="ListParagraph"/>
        <w:numPr>
          <w:ilvl w:val="0"/>
          <w:numId w:val="2"/>
        </w:numPr>
        <w:spacing w:after="80"/>
      </w:pPr>
      <w:r>
        <w:t xml:space="preserve">Écart MLP vs CNN — l’écart d’accuracy mesuré en 4.6 constitue la preuve empirique directe que le biais inductif spatial du CNN (localité + partage de poids) est mieux adapté à des données possédant une structure spatiale exploitable.</w:t>
      </w:r>
    </w:p>
    <w:p>
      <w:pPr>
        <w:pStyle w:val="ListParagraph"/>
        <w:numPr>
          <w:ilvl w:val="0"/>
          <w:numId w:val="2"/>
        </w:numPr>
        <w:spacing w:after="80"/>
      </w:pPr>
      <w:r>
        <w:t xml:space="preserve">Limites : nombre d’epochs volontairement limité pour la tractabilité de l’exécution ; absence d’augmentation de données ; pas de comparaison avec un transfert d’apprentissage (ResNet/VGG pré-entraîné), pourtant recommandé par le guide de référence (section 3.2.2) pour des datasets plus complexes.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Compléter chaque point avec les chiffres réels obtenus.</w:t>
            </w:r>
          </w:p>
        </w:tc>
      </w:tr>
    </w:tbl>
    <w:p>
      <w:pPr>
        <w:pStyle w:val="Heading2"/>
      </w:pPr>
      <w:r>
        <w:t xml:space="preserve">4.8 Question de synthèse — Partie II</w:t>
      </w:r>
    </w:p>
    <w:p>
      <w:pPr>
        <w:spacing w:after="160"/>
        <w:jc w:val="both"/>
      </w:pPr>
      <w:r>
        <w:rPr>
          <w:b w:val="false"/>
          <w:bCs w:val="false"/>
          <w:i/>
          <w:iCs/>
        </w:rPr>
        <w:t xml:space="preserve">« Pourquoi un CNN est-il plus pertinent qu’un MLP pour une tâche de classification d’images sur un dataset réel, et comment les choix de padding, stride, pooling et profondeur influencent-ils réellement les performances du modèle ? »</w:t>
      </w:r>
    </w:p>
    <w:p>
      <w:pPr>
        <w:spacing w:after="160"/>
        <w:jc w:val="both"/>
      </w:pPr>
      <w:r>
        <w:rPr>
          <w:b w:val="false"/>
          <w:bCs w:val="false"/>
          <w:i w:val="false"/>
          <w:iCs w:val="false"/>
        </w:rPr>
        <w:t xml:space="preserve">Élément de réponse : les calculs dimensionnels (section 2.2) montrent qu’un stride élevé réduit la résolution spatiale plus rapidement qu’un stride unitaire, ce qui diminue le nombre de paramètres des couches denses en aval mais peut faire perdre de l’information spatiale fine — un compromis que l’étude comparative de 4.4 permet de quantifier empiriquement. La supériorité structurelle du CNN sur le MLP (section 2.2, confirmée en 4.6) tient à ses deux biais inductifs — localité et partage de poids — directement exploitables sur des images, contrairement à des données tabulaires sans structure spatiale (Partie I). Les cartes de caractéristiques visualisées en 4.5 illustrent concrètement la hiérarchie de représentations évoquée en théorie : des primitives visuelles simples en début de réseau, qui se combineraient en motifs plus complexes avec davantage de profondeur.</w:t>
      </w:r>
    </w:p>
    <w:p>
      <w:r>
        <w:br w:type="page"/>
      </w:r>
    </w:p>
    <w:p>
      <w:pPr>
        <w:pStyle w:val="Heading1"/>
      </w:pPr>
      <w:r>
        <w:t xml:space="preserve">5. Partie expérimentale III — RNN, LSTM, GRU et Seq2Seq</w:t>
      </w:r>
    </w:p>
    <w:p>
      <w:pPr>
        <w:pStyle w:val="Heading2"/>
      </w:pPr>
      <w:r>
        <w:t xml:space="preserve">5.1 Dataset</w:t>
      </w:r>
    </w:p>
    <w:p>
      <w:pPr>
        <w:spacing w:after="160"/>
        <w:jc w:val="both"/>
      </w:pPr>
      <w:r>
        <w:rPr>
          <w:b w:val="false"/>
          <w:bCs w:val="false"/>
          <w:i w:val="false"/>
          <w:iCs w:val="false"/>
        </w:rPr>
        <w:t xml:space="preserve">Le corpus utilisé est le corpus parallèle anglais-français Tatoeba (distribution Anki, fichier fra.txt, environ 190 000 paires de phrases courtes) [10], explicitement proposé par le cahier des charges (« Tatoeba / fra-eng simplifié »). Les phrases sont filtrées à une longueur maximale de 12 tokens pour garder l’entraînement tractable sur Google Colab, puis un sous-ensemble de 20 000 paires est tiré aléatoirement. Le sens de traduction retenu est français → anglais ; les phrases anglaises servent également de corpus pour la partie modèle de langage (5.3–5.4), ce qui crée un lien direct avec le décodeur du Seq2Seq (5.6), lui-même un modèle de langage conditionné par la phrase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CE9F7" w:val="clear"/>
            <w:tcMar>
              <w:top w:type="dxa" w:w="120"/>
              <w:left w:type="dxa" w:w="160"/>
              <w:bottom w:type="dxa" w:w="120"/>
              <w:right w:type="dxa" w:w="160"/>
            </w:tcMar>
          </w:tcPr>
          <w:p>
            <w:pPr>
              <w:spacing w:after="40"/>
            </w:pPr>
            <w:r>
              <w:rPr>
                <w:b/>
                <w:bCs/>
              </w:rPr>
              <w:t xml:space="preserve">Remarque :</w:t>
            </w:r>
          </w:p>
          <w:p>
            <w:r>
              <w:rPr>
                <w:i/>
                <w:iCs/>
              </w:rPr>
              <w:t xml:space="preserve">En l’absence de connexion internet, le notebook retombe automatiquement sur un petit corpus de secours embarqué (une soixantaine de paires anglais-français rédigées manuellement). Ce repli ne doit être utilisé que pour vérifier que le notebook s’exécute sans erreur — les résultats rapportés ici doivent provenir du corpus réel téléchargé.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Confirmer ici (variable used_real_data du notebook) que le corpus réel a bien été utilisé, et insérer la taille finale du corpus après filtrage par longueur (cellule 2.3).</w:t>
            </w:r>
          </w:p>
        </w:tc>
      </w:tr>
    </w:tbl>
    <w:p>
      <w:pPr>
        <w:pStyle w:val="Heading2"/>
      </w:pPr>
      <w:r>
        <w:t xml:space="preserve">5.2 Préparation des données</w:t>
      </w:r>
    </w:p>
    <w:p>
      <w:pPr>
        <w:pStyle w:val="ListParagraph"/>
        <w:numPr>
          <w:ilvl w:val="0"/>
          <w:numId w:val="3"/>
        </w:numPr>
        <w:spacing w:after="80"/>
      </w:pPr>
      <w:r>
        <w:t xml:space="preserve">Normalisation du texte (minuscules, isolement de la ponctuation, suppression des caractères hors alphabet latin/accents français).</w:t>
      </w:r>
    </w:p>
    <w:p>
      <w:pPr>
        <w:pStyle w:val="ListParagraph"/>
        <w:numPr>
          <w:ilvl w:val="0"/>
          <w:numId w:val="3"/>
        </w:numPr>
        <w:spacing w:after="80"/>
      </w:pPr>
      <w:r>
        <w:t xml:space="preserve">Tokenisation par mot (séparation sur les espaces après normalisation).</w:t>
      </w:r>
    </w:p>
    <w:p>
      <w:pPr>
        <w:pStyle w:val="ListParagraph"/>
        <w:numPr>
          <w:ilvl w:val="0"/>
          <w:numId w:val="3"/>
        </w:numPr>
        <w:spacing w:after="80"/>
      </w:pPr>
      <w:r>
        <w:t xml:space="preserve">Construction de deux vocabulaires (anglais, français) avec quatre tokens spéciaux : &lt;pad&gt;, &lt;sos&gt;, &lt;eos&gt;, &lt;unk&gt;, et un seuil de fréquence minimale de 2 occurrences pour limiter la taille du vocabulaire aux mots suffisamment représentés.</w:t>
      </w:r>
    </w:p>
    <w:p>
      <w:pPr>
        <w:pStyle w:val="ListParagraph"/>
        <w:numPr>
          <w:ilvl w:val="0"/>
          <w:numId w:val="3"/>
        </w:numPr>
        <w:spacing w:after="80"/>
      </w:pPr>
      <w:r>
        <w:t xml:space="preserve">Mise en mini-lots avec padding dynamique (pad_sequence) ; les pertes ignorent explicitement les positions de padding via le paramètre ignore_index des fonctions de coût.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la taille des deux vocabulaires obtenus (cellule 2.4) et la répartition train/val/test (cellule 2.5).</w:t>
            </w:r>
          </w:p>
        </w:tc>
      </w:tr>
    </w:tbl>
    <w:p>
      <w:pPr>
        <w:pStyle w:val="Heading2"/>
      </w:pPr>
      <w:r>
        <w:t xml:space="preserve">5.3 Modèle de langage : RNN, LSTM, GRU</w:t>
      </w:r>
    </w:p>
    <w:p>
      <w:pPr>
        <w:spacing w:after="160"/>
        <w:jc w:val="both"/>
      </w:pPr>
      <w:r>
        <w:rPr>
          <w:b w:val="false"/>
          <w:bCs w:val="false"/>
          <w:i w:val="false"/>
          <w:iCs w:val="false"/>
        </w:rPr>
        <w:t xml:space="preserve">Une architecture identique (embedding 128, état caché 256) a été entraînée trois fois sur la tâche de prédiction du prochain mot sur les phrases anglaises, seule la cellule récurrente différant (RNN simple, LSTM, GRU).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Critère</w:t>
            </w:r>
          </w:p>
        </w:tc>
        <w:tc>
          <w:tcPr>
            <w:tcW w:type="dxa" w:w="232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RNN simple</w:t>
            </w:r>
          </w:p>
        </w:tc>
        <w:tc>
          <w:tcPr>
            <w:tcW w:type="dxa" w:w="232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LSTM</w:t>
            </w:r>
          </w:p>
        </w:tc>
        <w:tc>
          <w:tcPr>
            <w:tcW w:type="dxa" w:w="232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GRU</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Portes</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Aucune</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3 (entrée, oubli, sortie)</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2 (reset, update)</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Nombre de paramètres</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Temps d'entraînement</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Perplexité finale (val)</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c>
          <w:tcPr>
            <w:tcW w:type="dxa" w:w="232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[À compléter]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Remplacer les cellules [À compléter] par le tableau summary_lm généré par la cellule 4.1 du notebook, et insérer la courbe comparative de perplexité de validation (même cellule).</w:t>
            </w:r>
          </w:p>
        </w:tc>
      </w:tr>
    </w:tbl>
    <w:p>
      <w:pPr>
        <w:pStyle w:val="Heading2"/>
      </w:pPr>
      <w:r>
        <w:t xml:space="preserve">5.4 BPTT et effet du gradient clipping</w:t>
      </w:r>
    </w:p>
    <w:p>
      <w:pPr>
        <w:spacing w:after="160"/>
        <w:jc w:val="both"/>
      </w:pPr>
      <w:r>
        <w:rPr>
          <w:b w:val="false"/>
          <w:bCs w:val="false"/>
          <w:i w:val="false"/>
          <w:iCs w:val="false"/>
        </w:rPr>
        <w:t xml:space="preserve">Conformément au cadre théorique (section 2.3), un RNN simple a été entraîné deux fois dans des conditions strictement identiques (même seed, même taux d’apprentissage volontairement élevé pour provoquer l’instabilité), avec et sans gradient clipping (max_norm = 5,0), en enregistrant la norme L2 du gradient global à chaque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 graphique comparatif des normes de gradient (cellule 5.2 du notebook) ainsi que les valeurs maximales mesurées avec et sans clipping. Un écart important entre les deux courbes constitue une preuve empirique directe de l’instabilité du RNN simple décrite en théorie.</w:t>
            </w:r>
          </w:p>
        </w:tc>
      </w:tr>
    </w:tbl>
    <w:p>
      <w:pPr>
        <w:pStyle w:val="Heading2"/>
      </w:pPr>
      <w:r>
        <w:t xml:space="preserve">5.5 Système Seq2Seq encodeur–décodeur</w:t>
      </w:r>
    </w:p>
    <w:p>
      <w:pPr>
        <w:spacing w:after="160"/>
        <w:jc w:val="both"/>
      </w:pPr>
      <w:r>
        <w:rPr>
          <w:b w:val="false"/>
          <w:bCs w:val="false"/>
          <w:i w:val="false"/>
          <w:iCs w:val="false"/>
        </w:rPr>
        <w:t xml:space="preserve">L’encodeur (Embedding + GRU) et le décodeur (Embedding + GRU + couche dense) ont été entraînés conjointement sur la tâche de traduction français → anglais, avec un ratio de teacher forcing fixé à 0,5 et un gradient clipping à 1,0 (valeur recommandée par le guide de référence du module, section 5.1.3).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la courbe d’apprentissage (train vs validation loss, cellule 6.2 du notebook), le nombre de paramètres total du modèle, le temps d’entraînement et la perplexité finale de validation.</w:t>
            </w:r>
          </w:p>
        </w:tc>
      </w:tr>
    </w:tbl>
    <w:p>
      <w:pPr>
        <w:pStyle w:val="Heading2"/>
      </w:pPr>
      <w:r>
        <w:t xml:space="preserve">5.6 Décodage glouton vs beam search et évaluation BLEU</w:t>
      </w:r>
    </w:p>
    <w:p>
      <w:pPr>
        <w:spacing w:after="160"/>
        <w:jc w:val="both"/>
      </w:pPr>
      <w:r>
        <w:rPr>
          <w:b w:val="false"/>
          <w:bCs w:val="false"/>
          <w:i w:val="false"/>
          <w:iCs w:val="false"/>
        </w:rPr>
        <w:t xml:space="preserve">Les deux stratégies de décodage présentées en théorie (section 2.4) ont été appliquées sur un sous-ensemble de 200 phrases du set de test, et évaluées par un score BLEU corpus-level (implémentation maison, précision des n-grammes 1 à 4 avec pénalité de brièveté, afin de ne dépendre d’aucun package externe supplémentaire).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Insérer ici les scores BLEU obtenus pour le décodage glouton et le beam search (k=3) — cellule 8.1 du notebook — ainsi qu’un tableau d’exemples qualitatifs de traduction (cellule 8.2) : phrase source, référence, traduction gloutonne, traduction beam search.</w:t>
            </w:r>
          </w:p>
        </w:tc>
      </w:tr>
    </w:tbl>
    <w:p>
      <w:pPr>
        <w:pStyle w:val="Heading2"/>
      </w:pPr>
      <w:r>
        <w:t xml:space="preserve">5.7 Analyse critique</w:t>
      </w:r>
    </w:p>
    <w:p>
      <w:pPr>
        <w:pStyle w:val="ListParagraph"/>
        <w:numPr>
          <w:ilvl w:val="0"/>
          <w:numId w:val="2"/>
        </w:numPr>
        <w:spacing w:after="80"/>
      </w:pPr>
      <w:r>
        <w:t xml:space="preserve">Stabilité / performance / coût de calcul (5.3) — citer les chiffres exacts du tableau comparatif RNN/LSTM/GRU et commenter lequel converge le plus vite et le plus stablement, à quel coût en paramètres et en temps.</w:t>
      </w:r>
    </w:p>
    <w:p>
      <w:pPr>
        <w:pStyle w:val="ListParagraph"/>
        <w:numPr>
          <w:ilvl w:val="0"/>
          <w:numId w:val="2"/>
        </w:numPr>
        <w:spacing w:after="80"/>
      </w:pPr>
      <w:r>
        <w:t xml:space="preserve">Gradient clipping (5.4) — citer la norme de gradient maximale observée avec et sans clipping comme preuve empirique de l’instabilité du RNN simple, même sur des séquences courtes (12 tokens).</w:t>
      </w:r>
    </w:p>
    <w:p>
      <w:pPr>
        <w:pStyle w:val="ListParagraph"/>
        <w:numPr>
          <w:ilvl w:val="0"/>
          <w:numId w:val="2"/>
        </w:numPr>
        <w:spacing w:after="80"/>
      </w:pPr>
      <w:r>
        <w:t xml:space="preserve">Teacher forcing — ce projet utilise un ratio fixe de 0,5 ; une amélioration possible serait un scheduled sampling (ratio décroissant au fil des epochs) pour réduire l’écart entre conditions d’entraînement et d’inférence.</w:t>
      </w:r>
    </w:p>
    <w:p>
      <w:pPr>
        <w:pStyle w:val="ListParagraph"/>
        <w:numPr>
          <w:ilvl w:val="0"/>
          <w:numId w:val="2"/>
        </w:numPr>
        <w:spacing w:after="80"/>
      </w:pPr>
      <w:r>
        <w:t xml:space="preserve">Glouton vs beam search (5.6) — comparer les scores BLEU obtenus ; le gain du beam search est généralement modeste sur des phrases courtes et un corpus de taille modeste, mais devrait s’accentuer sur des séquences plus longues où les erreurs gloutonnes se cumulent.</w:t>
      </w:r>
    </w:p>
    <w:p>
      <w:pPr>
        <w:pStyle w:val="ListParagraph"/>
        <w:numPr>
          <w:ilvl w:val="0"/>
          <w:numId w:val="2"/>
        </w:numPr>
        <w:spacing w:after="80"/>
      </w:pPr>
      <w:r>
        <w:t xml:space="preserve">Limite structurelle : absence de mécanisme d’attention — la dépendance à un unique vecteur de contexte de taille fixe limite la qualité de traduction sur des phrases plus longues, ce qui constitue précisément la limite ayant motivé historiquement l’introduction de l’attention puis des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Compléter chaque point avec les chiffres réels obtenus.</w:t>
            </w:r>
          </w:p>
        </w:tc>
      </w:tr>
    </w:tbl>
    <w:p>
      <w:pPr>
        <w:pStyle w:val="Heading2"/>
      </w:pPr>
      <w:r>
        <w:t xml:space="preserve">5.8 Question de synthèse — Partie III</w:t>
      </w:r>
    </w:p>
    <w:p>
      <w:pPr>
        <w:spacing w:after="160"/>
        <w:jc w:val="both"/>
      </w:pPr>
      <w:r>
        <w:rPr>
          <w:b w:val="false"/>
          <w:bCs w:val="false"/>
          <w:i/>
          <w:iCs/>
        </w:rPr>
        <w:t xml:space="preserve">« Dans quelle mesure les architectures récurrentes permettent-elles de modéliser efficacement une séquence réelle, et comment justifier le passage d’un RNN simple vers un LSTM/GRU puis vers un schéma encodeur–décodeur pour une tâche de génération ou de traduction ? »</w:t>
      </w:r>
    </w:p>
    <w:p>
      <w:pPr>
        <w:spacing w:after="160"/>
        <w:jc w:val="both"/>
      </w:pPr>
      <w:r>
        <w:rPr>
          <w:b w:val="false"/>
          <w:bCs w:val="false"/>
          <w:i w:val="false"/>
          <w:iCs w:val="false"/>
        </w:rPr>
        <w:t xml:space="preserve">Élément de réponse : la factorisation par la règle de chaîne (section 2.4) justifie l’approche autorégressive commune au modèle de langage et au décodeur du Seq2Seq. Les portes du LSTM/GRU (section 2.3) répondent directement au problème de gradient évanescent du RNN simple, démontré empiriquement en 5.4. Le teacher forcing et le gradient clipping (5.5) jouent un rôle déterminant dans la stabilité de l’entraînement sur séquences. La comparaison de la perplexité (5.3) et des scores BLEU glouton/beam search (5.6) permet de relier qualité du décodage et architecture sous-jacente, tandis que la limite du vecteur de contexte unique (5.7) justifie, en perspective de recherche, le recours à des mécanismes d’attention pour des séquences plus longues que celles traitées dans ce projet.</w:t>
      </w:r>
    </w:p>
    <w:p>
      <w:r>
        <w:br w:type="page"/>
      </w:r>
    </w:p>
    <w:p>
      <w:pPr>
        <w:pStyle w:val="Heading1"/>
      </w:pPr>
      <w:r>
        <w:t xml:space="preserve">6. Discussion transversale</w:t>
      </w:r>
    </w:p>
    <w:p>
      <w:pPr>
        <w:spacing w:after="160"/>
        <w:jc w:val="both"/>
      </w:pPr>
      <w:r>
        <w:rPr>
          <w:b w:val="false"/>
          <w:bCs w:val="false"/>
          <w:i w:val="false"/>
          <w:iCs w:val="false"/>
        </w:rPr>
        <w:t xml:space="preserve">Les trois parties expérimentales partagent un même cadre d’apprentissage supervisé par descente de gradient, mais diffèrent fondamentalement par le biais inductif encodé dans l’architecture. Le tableau ci-dessous synthétise cette articulation entre structure des données et choix architectural, point central de la problématique énoncée en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Partie</w:t>
            </w:r>
          </w:p>
        </w:tc>
        <w:tc>
          <w:tcPr>
            <w:tcW w:type="dxa" w:w="2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Structure des données</w:t>
            </w:r>
          </w:p>
        </w:tc>
        <w:tc>
          <w:tcPr>
            <w:tcW w:type="dxa" w:w="240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Biais inductif exploité</w:t>
            </w:r>
          </w:p>
        </w:tc>
        <w:tc>
          <w:tcPr>
            <w:tcW w:type="dxa" w:w="2860"/>
            <w:tcBorders>
              <w:top w:val="single" w:color="BBBBBB" w:sz="2"/>
              <w:left w:val="single" w:color="BBBBBB" w:sz="2"/>
              <w:bottom w:val="single" w:color="BBBBBB" w:sz="2"/>
              <w:right w:val="single" w:color="BBBBBB" w:sz="2"/>
            </w:tcBorders>
            <w:shd w:fill="1F3864" w:val="clear"/>
            <w:tcMar>
              <w:top w:type="dxa" w:w="80"/>
              <w:left w:type="dxa" w:w="100"/>
              <w:bottom w:type="dxa" w:w="80"/>
              <w:right w:type="dxa" w:w="100"/>
            </w:tcMar>
            <w:vAlign w:val="center"/>
          </w:tcPr>
          <w:p>
            <w:r>
              <w:rPr>
                <w:b/>
                <w:bCs/>
                <w:color w:val="FFFFFF"/>
                <w:sz w:val="20"/>
                <w:szCs w:val="20"/>
              </w:rPr>
              <w:t xml:space="preserve">Limite principale observée</w:t>
            </w:r>
          </w:p>
        </w:tc>
      </w:tr>
      <w:tr>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I — MLP</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Tabulaire, sans structure spatiale/temporelle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Aucun (connectivité totale)</w:t>
            </w:r>
          </w:p>
        </w:tc>
        <w:tc>
          <w:tcPr>
            <w:tcW w:type="dxa" w:w="28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Sensibilité à l’initialisation ; pas de mécanisme protégeant contre le surapprentissage sur peu de données</w:t>
            </w:r>
          </w:p>
        </w:tc>
      </w:tr>
      <w:tr>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II — CNN</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Image, grille 2D</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Localité + partage de poids</w:t>
            </w:r>
          </w:p>
        </w:tc>
        <w:tc>
          <w:tcPr>
            <w:tcW w:type="dxa" w:w="28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Performance dépendante du nombre de filtres et de la profondeur ; pas d'invariance d'échelle native</w:t>
            </w:r>
          </w:p>
        </w:tc>
      </w:tr>
      <w:tr>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III — RNN/LSTM/GRU/Seq2Seq</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Séquence, dépendance temporelle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Récurrence + mémoire (portes)</w:t>
            </w:r>
          </w:p>
        </w:tc>
        <w:tc>
          <w:tcPr>
            <w:tcW w:type="dxa" w:w="2860"/>
            <w:tcBorders>
              <w:top w:val="single" w:color="BBBBBB" w:sz="2"/>
              <w:left w:val="single" w:color="BBBBBB" w:sz="2"/>
              <w:bottom w:val="single" w:color="BBBBBB" w:sz="2"/>
              <w:right w:val="single" w:color="BBBBBB" w:sz="2"/>
            </w:tcBorders>
            <w:tcMar>
              <w:top w:type="dxa" w:w="60"/>
              <w:left w:type="dxa" w:w="100"/>
              <w:bottom w:type="dxa" w:w="60"/>
              <w:right w:type="dxa" w:w="100"/>
            </w:tcMar>
            <w:vAlign w:val="center"/>
          </w:tcPr>
          <w:p>
            <w:r>
              <w:rPr>
                <w:sz w:val="20"/>
                <w:szCs w:val="20"/>
              </w:rPr>
              <w:t xml:space="preserve">Vecteur de contexte unique de taille fixe (sans attention) ; instabilité du gradient pour le RNN simple</w:t>
            </w:r>
          </w:p>
        </w:tc>
      </w:tr>
    </w:tbl>
    <w:p>
      <w:pPr>
        <w:spacing w:after="80"/>
      </w:pPr>
    </w:p>
    <w:p>
      <w:pPr>
        <w:spacing w:after="160"/>
        <w:jc w:val="both"/>
      </w:pPr>
      <w:r>
        <w:rPr>
          <w:b w:val="false"/>
          <w:bCs w:val="false"/>
          <w:i w:val="false"/>
          <w:iCs w:val="false"/>
        </w:rPr>
        <w:t xml:space="preserve">Cette comparaison met en évidence un principe général : la performance d’une architecture de deep learning ne dépend pas uniquement de sa capacité brute (nombre de paramètres, profondeur), mais de l’adéquation entre son biais inductif et la géométrie réelle des données. Un MLP appliqué à des images perdrait la notion de voisinage entre pixels (section 2.2) ; un CNN appliqué à une séquence de longueur variable n’aurait pas de mécanisme naturel pour traiter une dimension temporelle non bornée ; un RNN appliqué à des données tabulaires sans ordre naturel imposerait un ordre arbitraire aux variables, sans justification. Le passage d’un RNN simple vers LSTM/GRU, puis vers un schéma encodeur–décodeur, illustre par ailleurs une évolution interne à une même famille d’architectures : chaque raffinement (portes, mémoire cellulaire, conditionnement par un contexte) répond à une limite empiriquement constatée du modèle précédent — gradient évanescent, puis nécessité de transduire vers une séquence de longueur différente.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Compléter cette section avec une comparaison chiffrée directe entre les trois parties une fois les résultats réels disponibles : par exemple, le ratio accuracy/nombre de paramètres pour chaque architecture, ou le temps d’entraînement par epoch normalisé par la taille du dataset, afin de quantifier le rapport coût/bénéfice de chaque approche sur son dataset respectif.</w:t>
            </w:r>
          </w:p>
        </w:tc>
      </w:tr>
    </w:tbl>
    <w:p>
      <w:pPr>
        <w:pStyle w:val="Heading1"/>
      </w:pPr>
      <w:r>
        <w:t xml:space="preserve">7. Impact sociétal et éthique</w:t>
      </w:r>
    </w:p>
    <w:p>
      <w:pPr>
        <w:pStyle w:val="Heading2"/>
      </w:pPr>
      <w:r>
        <w:t xml:space="preserve">7.1 Partie I — classification médicale</w:t>
      </w:r>
    </w:p>
    <w:p>
      <w:pPr>
        <w:spacing w:after="160"/>
        <w:jc w:val="both"/>
      </w:pPr>
      <w:r>
        <w:rPr>
          <w:b w:val="false"/>
          <w:bCs w:val="false"/>
          <w:i w:val="false"/>
          <w:iCs w:val="false"/>
        </w:rPr>
        <w:t xml:space="preserve">Le dataset Breast Cancer Wisconsin pose, par sa nature même, une question éthique centrale : dans un contexte clinique réel, un faux négatif (tumeur maligne classée bénigne) a des conséquences potentiellement bien plus graves qu’un faux positif (examen complémentaire inutile mais sans danger). Le guide de référence du module insiste explicitement sur ce point (section 6.1) : en contexte médical, le rappel (sensibilité) doit primer sur la précision, et l’accuracy seule — а fortiori sur un dataset légèrement déséquilibré comme celui-ci (~63 % bénin / 37 % malin) — est une métrique insuffisante pour juger de la pertinence clinique d’un modèle. Un déploiement réel d’un tel modèle nécessiterait, au minimum, une validation clinique prospective, une analyse de la robustesse à des données hors distribution, et une interprétabilité (SHAP, importance des features) permettant à un praticien de comprendre et de contester une prédiction.</w:t>
      </w:r>
    </w:p>
    <w:p>
      <w:pPr>
        <w:pStyle w:val="Heading2"/>
      </w:pPr>
      <w:r>
        <w:t xml:space="preserve">7.2 Partie II — biais et généralisation</w:t>
      </w:r>
    </w:p>
    <w:p>
      <w:pPr>
        <w:spacing w:after="160"/>
        <w:jc w:val="both"/>
      </w:pPr>
      <w:r>
        <w:rPr>
          <w:b w:val="false"/>
          <w:bCs w:val="false"/>
          <w:i w:val="false"/>
          <w:iCs w:val="false"/>
        </w:rPr>
        <w:t xml:space="preserve">Un modèle de classification d’images entraîné sur un dataset homogène comme Fashion-MNIST (images centrées, fond uniforme, résolution fixe) ne généralise pas nécessairement à des conditions d’acquisition réelles (éclairage variable, arrière-plans complexes, angles de prise de vue divers). Le risque de biais de représentation — sous-représentation de certaines catégories de vêtements, de morphologies ou de styles culturels dans le dataset d’entraînement — est une limite à mentionner explicitement, même si elle ne peut être quantifiée directement sur ce dataset académique standardisé.</w:t>
      </w:r>
    </w:p>
    <w:p>
      <w:pPr>
        <w:pStyle w:val="Heading2"/>
      </w:pPr>
      <w:r>
        <w:t xml:space="preserve">7.3 Partie III — traduction automatique</w:t>
      </w:r>
    </w:p>
    <w:p>
      <w:pPr>
        <w:spacing w:after="160"/>
        <w:jc w:val="both"/>
      </w:pPr>
      <w:r>
        <w:rPr>
          <w:b w:val="false"/>
          <w:bCs w:val="false"/>
          <w:i w:val="false"/>
          <w:iCs w:val="false"/>
        </w:rPr>
        <w:t xml:space="preserve">Un système de traduction automatique, même limité à des phrases courtes comme dans ce projet, soulève la question de la qualité et de la fidélité de la traduction dans des contextes à enjeu (documents officiels, contenu médical ou juridique) : une traduction erronée non détectée peut avoir des conséquences disproportionnées par rapport à l’effort de vérification qu’elle économise. Le score BLEU, bien qu’utile pour comparer des configurations entre elles, ne capture pas la fidélité sémantique fine ni les contresens graves — une limite à rappeler explicitement avant toute utilisation du système en dehors d’un cadre académique.</w:t>
      </w:r>
    </w:p>
    <w:p>
      <w:pPr>
        <w:pStyle w:val="Heading2"/>
      </w:pPr>
      <w:r>
        <w:t xml:space="preserve">7.4 Impact environnemental</w:t>
      </w:r>
    </w:p>
    <w:p>
      <w:pPr>
        <w:spacing w:after="160"/>
        <w:jc w:val="both"/>
      </w:pPr>
      <w:r>
        <w:rPr>
          <w:b w:val="false"/>
          <w:bCs w:val="false"/>
          <w:i w:val="false"/>
          <w:iCs w:val="false"/>
        </w:rPr>
        <w:t xml:space="preserve">L’entraînement répété de plusieurs configurations (six variantes en Partie II, trois cellules récurrentes en Partie III) a un coût énergétique non négligeable, même sur des datasets de taille modeste. Ce coût doit être mis en perspective avec le gain marginal de performance obtenu par chaque variante supplémentaire — un argument en faveur d’une recherche d’hyperparamètres guidée et raisonnée (section 5.2 du guide de référence) plutôt qu’exhaustive.</w:t>
      </w:r>
    </w:p>
    <w:p>
      <w:pPr>
        <w:pStyle w:val="Heading1"/>
      </w:pPr>
      <w:r>
        <w:t xml:space="preserve">8. Conclusion et perspectives</w:t>
      </w:r>
    </w:p>
    <w:p>
      <w:pPr>
        <w:spacing w:after="160"/>
        <w:jc w:val="both"/>
      </w:pPr>
      <w:r>
        <w:rPr>
          <w:b w:val="false"/>
          <w:bCs w:val="false"/>
          <w:i w:val="false"/>
          <w:iCs w:val="false"/>
        </w:rPr>
        <w:t xml:space="preserve">Ce projet a permis de concevoir, implémenter et comparer trois familles d’architectures de deep learning — MLP, CNN et RNN/LSTM/GRU/Seq2Seq — chacune appliquée à un dataset réel représentatif de sa structure cible (tabulaire, image, séquentielle). Au-delà de l’implémentation technique sous PyTorch, validée à chaque étape par des vérifications explicites (comparaison des implémentations manuelles avec les fonctions natives, cohérence de la sauvegarde/rechargement, vérification du device), l’objectif a été de démontrer que le choix d’une architecture ne peut être dissocié de la structure intrinsèque des données qu’elle traite.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4CC" w:val="clear"/>
            <w:tcMar>
              <w:top w:type="dxa" w:w="120"/>
              <w:left w:type="dxa" w:w="160"/>
              <w:bottom w:type="dxa" w:w="120"/>
              <w:right w:type="dxa" w:w="160"/>
            </w:tcMar>
          </w:tcPr>
          <w:p>
            <w:pPr>
              <w:spacing w:after="40"/>
            </w:pPr>
            <w:r>
              <w:rPr>
                <w:b/>
                <w:bCs/>
              </w:rPr>
              <w:t xml:space="preserve">À COMPLÉTER APRÈS EXÉCUTION DU NOTEBOOK :</w:t>
            </w:r>
          </w:p>
          <w:p>
            <w:r>
              <w:rPr>
                <w:i/>
                <w:iCs/>
              </w:rPr>
              <w:t xml:space="preserve">Compléter cette conclusion avec une synthèse chiffrée des résultats clés des trois parties une fois les notebooks exécutés (accuracy/F1 Partie I, accuracy Partie II, perplexité et BLEU Partie III), et formuler 2 à 3 perspectives concrètes (par exemple : mécanisme d’attention pour la Partie III, transfert d’apprentissage pour la Partie II, validation croisée k-fold pour la Partie I).</w:t>
            </w:r>
          </w:p>
        </w:tc>
      </w:tr>
    </w:tbl>
    <w:p>
      <w:pPr>
        <w:pStyle w:val="Heading1"/>
      </w:pPr>
      <w:r>
        <w:t xml:space="preserve">9. Références bibliographiques</w:t>
      </w:r>
    </w:p>
    <w:p>
      <w:pPr>
        <w:spacing w:after="120"/>
      </w:pPr>
      <w:r>
        <w:t xml:space="preserve">[1] Rosenblatt, F. (1958). The Perceptron: A Probabilistic Model for Information Storage and Organization in the Brain. Psychological Review, 65(6), 386–408.</w:t>
      </w:r>
    </w:p>
    <w:p>
      <w:pPr>
        <w:spacing w:after="120"/>
      </w:pPr>
      <w:r>
        <w:t xml:space="preserve">[2] Rumelhart, D. E., Hinton, G. E., &amp; Williams, R. J. (1986). Learning representations by back-propagating errors. Nature, 323, 533–536.</w:t>
      </w:r>
    </w:p>
    <w:p>
      <w:pPr>
        <w:spacing w:after="120"/>
      </w:pPr>
      <w:r>
        <w:t xml:space="preserve">[3] LeCun, Y., Bottou, L., Bengio, Y., &amp; Haffner, P. (1998). Gradient-Based Learning Applied to Document Recognition. Proceedings of the IEEE, 86(11), 2278–2324.</w:t>
      </w:r>
    </w:p>
    <w:p>
      <w:pPr>
        <w:spacing w:after="120"/>
      </w:pPr>
      <w:r>
        <w:t xml:space="preserve">[4] Hochreiter, S. &amp; Schmidhuber, J. (1997). Long Short-Term Memory. Neural Computation, 9(8), 1735–1780.</w:t>
      </w:r>
    </w:p>
    <w:p>
      <w:pPr>
        <w:spacing w:after="120"/>
      </w:pPr>
      <w:r>
        <w:t xml:space="preserve">[5] Cho, K., et al. (2014). Learning Phrase Representations using RNN Encoder-Decoder for Statistical Machine Translation. EMNLP 2014.</w:t>
      </w:r>
    </w:p>
    <w:p>
      <w:pPr>
        <w:spacing w:after="120"/>
      </w:pPr>
      <w:r>
        <w:t xml:space="preserve">[6] Papineni, K., Roukos, S., Ward, T., &amp; Zhu, W.-J. (2002). BLEU: a Method for Automatic Evaluation of Machine Translation. ACL 2002.</w:t>
      </w:r>
    </w:p>
    <w:p>
      <w:pPr>
        <w:spacing w:after="120"/>
      </w:pPr>
      <w:r>
        <w:t xml:space="preserve">[7] Kingma, D. P. &amp; Ba, J. (2015). Adam: A Method for Stochastic Optimization. ICLR 2015.</w:t>
      </w:r>
    </w:p>
    <w:p>
      <w:pPr>
        <w:spacing w:after="120"/>
      </w:pPr>
      <w:r>
        <w:t xml:space="preserve">[8] Wolberg, W. H., Street, W. N., &amp; Mangasarian, O. L. (1995). Breast Cancer Wisconsin (Diagnostic) Data Set. UCI Machine Learning Repository.</w:t>
      </w:r>
    </w:p>
    <w:p>
      <w:pPr>
        <w:spacing w:after="120"/>
      </w:pPr>
      <w:r>
        <w:t xml:space="preserve">[9] Xiao, H., Rasul, K., &amp; Vollgraf, R. (2017). Fashion-MNIST: a Novel Image Dataset for Benchmarking Machine Learning Algorithms. arXiv:1708.07747.</w:t>
      </w:r>
    </w:p>
    <w:p>
      <w:pPr>
        <w:spacing w:after="120"/>
      </w:pPr>
      <w:r>
        <w:t xml:space="preserve">[10] Tatoeba Project / Anki bilingual sentence pairs — https://tatoeba.org, distribution utilisée via https://www.manythings.org/anki/</w:t>
      </w:r>
    </w:p>
    <w:p>
      <w:pPr>
        <w:spacing w:after="120"/>
      </w:pPr>
      <w:r>
        <w:t xml:space="preserve">[11] Goodfellow, I., Bengio, Y., &amp; Courville, A. (2016). Deep Learning. MIT Press.</w:t>
      </w:r>
    </w:p>
    <w:p>
      <w:pPr>
        <w:spacing w:after="120"/>
      </w:pPr>
      <w:r>
        <w:t xml:space="preserve">[12] PyTorch Documentation officielle : https://pytorch.org/docs/stable/</w:t>
      </w:r>
    </w:p>
    <w:p>
      <w:pPr>
        <w:spacing w:after="120"/>
      </w:pPr>
      <w:r>
        <w:t xml:space="preserve">[13] Scikit-learn : https://scikit-learn.org/stable/</w:t>
      </w:r>
    </w:p>
    <w:p>
      <w:r>
        <w:br w:type="page"/>
      </w:r>
    </w:p>
    <w:p>
      <w:pPr>
        <w:pStyle w:val="Heading1"/>
      </w:pPr>
      <w:r>
        <w:t xml:space="preserve">10. Annexes</w:t>
      </w:r>
    </w:p>
    <w:p>
      <w:pPr>
        <w:spacing w:after="160"/>
        <w:jc w:val="both"/>
      </w:pPr>
      <w:r>
        <w:rPr>
          <w:b w:val="false"/>
          <w:bCs w:val="false"/>
          <w:i w:val="false"/>
          <w:iCs w:val="false"/>
        </w:rPr>
        <w:t xml:space="preserve">Le code source complet des trois parties expérimentales est fourni sous forme de notebooks Jupyter exécutables (Google Colab), conformément aux livrables attendus du cahier des charges :</w:t>
      </w:r>
    </w:p>
    <w:p>
      <w:pPr>
        <w:pStyle w:val="ListParagraph"/>
        <w:numPr>
          <w:ilvl w:val="0"/>
          <w:numId w:val="2"/>
        </w:numPr>
        <w:spacing w:after="80"/>
      </w:pPr>
      <w:r>
        <w:t xml:space="preserve">Annexe A — Partie1_MLP_BreastCancer.ipynb : préparation des données, deux implémentations du MLP, inspection des paramètres, comparaison des stratégies d’initialisation, sauvegarde/rechargement, évaluation complète.</w:t>
      </w:r>
    </w:p>
    <w:p>
      <w:pPr>
        <w:pStyle w:val="ListParagraph"/>
        <w:numPr>
          <w:ilvl w:val="0"/>
          <w:numId w:val="2"/>
        </w:numPr>
        <w:spacing w:after="80"/>
      </w:pPr>
      <w:r>
        <w:t xml:space="preserve">Annexe B — Partie2_CNN_FashionMNIST.ipynb : implémentation manuelle validée de la corrélation croisée et du pooling, CNN paramétrable, étude expérimentale comparative, visualisation des cartes de caractéristiques, comparaison MLP vs CNN.</w:t>
      </w:r>
    </w:p>
    <w:p>
      <w:pPr>
        <w:pStyle w:val="ListParagraph"/>
        <w:numPr>
          <w:ilvl w:val="0"/>
          <w:numId w:val="2"/>
        </w:numPr>
        <w:spacing w:after="80"/>
      </w:pPr>
      <w:r>
        <w:t xml:space="preserve">Annexe C — Partie3_RNN_LSTM_GRU_Seq2Seq.ipynb : préparation du corpus bilingue, modèles de langage RNN/LSTM/GRU, démonstration du gradient clipping, système Seq2Seq encodeur-décodeur, décodage glouton et beam search, évaluation BLEU.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CE9F7" w:val="clear"/>
            <w:tcMar>
              <w:top w:type="dxa" w:w="120"/>
              <w:left w:type="dxa" w:w="160"/>
              <w:bottom w:type="dxa" w:w="120"/>
              <w:right w:type="dxa" w:w="160"/>
            </w:tcMar>
          </w:tcPr>
          <w:p>
            <w:pPr>
              <w:spacing w:after="40"/>
            </w:pPr>
            <w:r>
              <w:rPr>
                <w:b/>
                <w:bCs/>
              </w:rPr>
              <w:t xml:space="preserve">Remarque :</w:t>
            </w:r>
          </w:p>
          <w:p>
            <w:r>
              <w:rPr>
                <w:i/>
                <w:iCs/>
              </w:rPr>
              <w:t xml:space="preserve">Chaque notebook est conçu pour s’exécuter de bout en bout sur Google Colab (Exécution &gt; Tout exécuter), GPU activé. Les sorties (tableaux, courbes, métriques) qu’ils produisent à l’exécution sont les éléments à insérer dans les emplacements « À COMPLÉTER » de ce rapport avant la remise finale.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Rapport de Projet — Deep Learning — Malake Boussouli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2026-06-19T15:51:41.216Z</dcterms:created>
  <dcterms:modified xsi:type="dcterms:W3CDTF">2026-06-19T15:51:41.226Z</dcterms:modified>
</cp:coreProperties>
</file>

<file path=docProps/custom.xml><?xml version="1.0" encoding="utf-8"?>
<Properties xmlns="http://schemas.openxmlformats.org/officeDocument/2006/custom-properties" xmlns:vt="http://schemas.openxmlformats.org/officeDocument/2006/docPropsVTypes"/>
</file>