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rFonts w:ascii="Calibri" w:cs="Calibri" w:eastAsia="Calibri" w:hAnsi="Calibri"/>
          <w:b/>
          <w:bCs/>
          <w:color w:val="2A9D8F"/>
          <w:sz w:val="26"/>
          <w:szCs w:val="26"/>
        </w:rPr>
        <w:t xml:space="preserve">Digital Egypt Pioneers Initiative (DEPI)</w:t>
      </w:r>
    </w:p>
    <w:p>
      <w:pPr>
        <w:spacing w:after="600"/>
      </w:pPr>
      <w:r>
        <w:rPr>
          <w:rFonts w:ascii="Calibri" w:cs="Calibri" w:eastAsia="Calibri" w:hAnsi="Calibri"/>
          <w:color w:val="555555"/>
          <w:sz w:val="24"/>
          <w:szCs w:val="24"/>
        </w:rPr>
        <w:t xml:space="preserve">Data Analysis Track  |  Round 5  |  Graduation Project</w:t>
      </w:r>
    </w:p>
    <w:p>
      <w:pPr>
        <w:pBdr>
          <w:bottom w:val="single" w:color="1F3A5F" w:sz="12" w:space="8"/>
        </w:pBdr>
        <w:spacing w:after="120"/>
      </w:pPr>
      <w:r>
        <w:rPr>
          <w:rFonts w:ascii="Calibri" w:cs="Calibri" w:eastAsia="Calibri" w:hAnsi="Calibri"/>
          <w:b/>
          <w:bCs/>
          <w:color w:val="1F3A5F"/>
          <w:sz w:val="60"/>
          <w:szCs w:val="60"/>
        </w:rPr>
        <w:t xml:space="preserve">Literature Review</w:t>
      </w:r>
    </w:p>
    <w:p>
      <w:pPr>
        <w:spacing w:after="200" w:before="200"/>
      </w:pPr>
      <w:r>
        <w:rPr>
          <w:rFonts w:ascii="Calibri" w:cs="Calibri" w:eastAsia="Calibri" w:hAnsi="Calibri"/>
          <w:color w:val="333333"/>
          <w:sz w:val="28"/>
          <w:szCs w:val="28"/>
        </w:rPr>
        <w:t xml:space="preserve">Exchange-rate depreciation, parallel markets and inflation in Egypt</w:t>
      </w:r>
    </w:p>
    <w:p>
      <w:pPr>
        <w:spacing w:after="700"/>
      </w:pPr>
      <w:r>
        <w:rPr>
          <w:rFonts w:ascii="Calibri" w:cs="Calibri" w:eastAsia="Calibri" w:hAnsi="Calibri"/>
          <w:i/>
          <w:iCs/>
          <w:color w:val="333333"/>
          <w:sz w:val="24"/>
          <w:szCs w:val="24"/>
        </w:rPr>
        <w:t xml:space="preserve">Project: Dollar Crisis Analysis Project – The Egyptian Pound’s Journey Against the US Dollar: Causes and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Instructor</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Eng. Abdelrahman El-Farsy</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Track / Round</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Data Analysis / Round 5</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Team</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Malak Emad Kamal Soltan</w:t>
            </w:r>
          </w:p>
          <w:p>
            <w:pPr>
              <w:spacing w:after="20" w:line="250"/>
            </w:pPr>
            <w:r>
              <w:rPr>
                <w:rFonts w:ascii="Calibri" w:cs="Calibri" w:eastAsia="Calibri" w:hAnsi="Calibri"/>
                <w:sz w:val="19"/>
                <w:szCs w:val="19"/>
              </w:rPr>
              <w:t xml:space="preserve">Romysaa Khalid Abdelmajed Asfour</w:t>
            </w:r>
          </w:p>
          <w:p>
            <w:pPr>
              <w:spacing w:after="20" w:line="250"/>
            </w:pPr>
            <w:r>
              <w:rPr>
                <w:rFonts w:ascii="Calibri" w:cs="Calibri" w:eastAsia="Calibri" w:hAnsi="Calibri"/>
                <w:sz w:val="19"/>
                <w:szCs w:val="19"/>
              </w:rPr>
              <w:t xml:space="preserve">Malak Ibrahim Abdelmomean Mohammed</w:t>
            </w:r>
          </w:p>
          <w:p>
            <w:pPr>
              <w:spacing w:after="20" w:line="250"/>
            </w:pPr>
            <w:r>
              <w:rPr>
                <w:rFonts w:ascii="Calibri" w:cs="Calibri" w:eastAsia="Calibri" w:hAnsi="Calibri"/>
                <w:sz w:val="19"/>
                <w:szCs w:val="19"/>
              </w:rPr>
              <w:t xml:space="preserve">Radwa Essam Eldin Said Hashkeel</w:t>
            </w:r>
          </w:p>
          <w:p>
            <w:pPr>
              <w:spacing w:after="20" w:line="250"/>
            </w:pPr>
            <w:r>
              <w:rPr>
                <w:rFonts w:ascii="Calibri" w:cs="Calibri" w:eastAsia="Calibri" w:hAnsi="Calibri"/>
                <w:sz w:val="19"/>
                <w:szCs w:val="19"/>
              </w:rPr>
              <w:t xml:space="preserve">Israa El Husseini Mohamed Al Afify</w:t>
            </w:r>
          </w:p>
          <w:p>
            <w:pPr>
              <w:spacing w:after="20" w:line="250"/>
            </w:pPr>
            <w:r>
              <w:rPr>
                <w:rFonts w:ascii="Calibri" w:cs="Calibri" w:eastAsia="Calibri" w:hAnsi="Calibri"/>
                <w:sz w:val="19"/>
                <w:szCs w:val="19"/>
              </w:rPr>
              <w:t xml:space="preserve">Maryam Mohammad Ebraheem Eldosoky Hegazy</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Version</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1.0 – Draft for instructor review</w:t>
            </w:r>
          </w:p>
        </w:tc>
      </w:tr>
      <w:tr>
        <w:trPr>
          <w:cantSplit/>
        </w:trPr>
        <w:tc>
          <w:tcPr>
            <w:tcW w:type="dxa" w:w="24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Date</w:t>
            </w:r>
          </w:p>
        </w:tc>
        <w:tc>
          <w:tcPr>
            <w:tcW w:type="dxa" w:w="69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October 2026</w:t>
            </w:r>
          </w:p>
        </w:tc>
      </w:tr>
    </w:tbl>
    <w:p>
      <w:r>
        <w:br w:type="page"/>
      </w:r>
    </w:p>
    <w:p>
      <w:pPr>
        <w:pStyle w:val="Heading1"/>
        <w:keepNext/>
      </w:pPr>
      <w:r>
        <w:rPr>
          <w:rFonts w:ascii="Calibri" w:cs="Calibri" w:eastAsia="Calibri" w:hAnsi="Calibri"/>
        </w:rPr>
        <w:t xml:space="preserve">1. Introduction and Purpose</w:t>
      </w:r>
    </w:p>
    <w:p>
      <w:pPr>
        <w:spacing w:after="120" w:line="276"/>
      </w:pPr>
      <w:r>
        <w:rPr>
          <w:rFonts w:ascii="Calibri" w:cs="Calibri" w:eastAsia="Calibri" w:hAnsi="Calibri"/>
        </w:rPr>
        <w:t xml:space="preserve">This document reviews published work related to the Egyptian Pound, exchange-rate depreciation and inflation in Egypt. It is not only a summary of papers: it evaluates what is already known, finds what is still missing, and uses that to justify the design of our graduation project.</w:t>
      </w:r>
    </w:p>
    <w:p>
      <w:pPr>
        <w:spacing w:after="120" w:line="276"/>
      </w:pPr>
      <w:r>
        <w:rPr>
          <w:rFonts w:ascii="Calibri" w:cs="Calibri" w:eastAsia="Calibri" w:hAnsi="Calibri"/>
        </w:rPr>
        <w:t xml:space="preserve">The review serves five purposes, following the project documentation guidelines:</w:t>
      </w:r>
    </w:p>
    <w:p>
      <w:pPr>
        <w:pStyle w:val="ListParagraph"/>
        <w:numPr>
          <w:ilvl w:val="0"/>
          <w:numId w:val="2"/>
        </w:numPr>
        <w:spacing w:after="60" w:line="268"/>
      </w:pPr>
      <w:r>
        <w:rPr>
          <w:rFonts w:ascii="Calibri" w:cs="Calibri" w:eastAsia="Calibri" w:hAnsi="Calibri"/>
          <w:b/>
          <w:bCs/>
        </w:rPr>
        <w:t xml:space="preserve">Context and foundation:</w:t>
      </w:r>
      <w:r>
        <w:rPr>
          <w:rFonts w:ascii="Calibri" w:cs="Calibri" w:eastAsia="Calibri" w:hAnsi="Calibri"/>
        </w:rPr>
        <w:t xml:space="preserve"> explain the history and the key debates around the dollar crisis in Egypt.</w:t>
      </w:r>
    </w:p>
    <w:p>
      <w:pPr>
        <w:pStyle w:val="ListParagraph"/>
        <w:numPr>
          <w:ilvl w:val="0"/>
          <w:numId w:val="2"/>
        </w:numPr>
        <w:spacing w:after="60" w:line="268"/>
      </w:pPr>
      <w:r>
        <w:rPr>
          <w:rFonts w:ascii="Calibri" w:cs="Calibri" w:eastAsia="Calibri" w:hAnsi="Calibri"/>
          <w:b/>
          <w:bCs/>
        </w:rPr>
        <w:t xml:space="preserve">Research gap:</w:t>
      </w:r>
      <w:r>
        <w:rPr>
          <w:rFonts w:ascii="Calibri" w:cs="Calibri" w:eastAsia="Calibri" w:hAnsi="Calibri"/>
        </w:rPr>
        <w:t xml:space="preserve"> show what existing studies do not cover and what our project adds.</w:t>
      </w:r>
    </w:p>
    <w:p>
      <w:pPr>
        <w:pStyle w:val="ListParagraph"/>
        <w:numPr>
          <w:ilvl w:val="0"/>
          <w:numId w:val="2"/>
        </w:numPr>
        <w:spacing w:after="60" w:line="268"/>
      </w:pPr>
      <w:r>
        <w:rPr>
          <w:rFonts w:ascii="Calibri" w:cs="Calibri" w:eastAsia="Calibri" w:hAnsi="Calibri"/>
          <w:b/>
          <w:bCs/>
        </w:rPr>
        <w:t xml:space="preserve">Justification:</w:t>
      </w:r>
      <w:r>
        <w:rPr>
          <w:rFonts w:ascii="Calibri" w:cs="Calibri" w:eastAsia="Calibri" w:hAnsi="Calibri"/>
        </w:rPr>
        <w:t xml:space="preserve"> explain why our questions, data and dashboard design are needed.</w:t>
      </w:r>
    </w:p>
    <w:p>
      <w:pPr>
        <w:pStyle w:val="ListParagraph"/>
        <w:numPr>
          <w:ilvl w:val="0"/>
          <w:numId w:val="2"/>
        </w:numPr>
        <w:spacing w:after="60" w:line="268"/>
      </w:pPr>
      <w:r>
        <w:rPr>
          <w:rFonts w:ascii="Calibri" w:cs="Calibri" w:eastAsia="Calibri" w:hAnsi="Calibri"/>
          <w:b/>
          <w:bCs/>
        </w:rPr>
        <w:t xml:space="preserve">Avoiding duplication:</w:t>
      </w:r>
      <w:r>
        <w:rPr>
          <w:rFonts w:ascii="Calibri" w:cs="Calibri" w:eastAsia="Calibri" w:hAnsi="Calibri"/>
        </w:rPr>
        <w:t xml:space="preserve"> make sure we do not repeat work that has already been done.</w:t>
      </w:r>
    </w:p>
    <w:p>
      <w:pPr>
        <w:pStyle w:val="ListParagraph"/>
        <w:numPr>
          <w:ilvl w:val="0"/>
          <w:numId w:val="2"/>
        </w:numPr>
        <w:spacing w:after="60" w:line="268"/>
      </w:pPr>
      <w:r>
        <w:rPr>
          <w:rFonts w:ascii="Calibri" w:cs="Calibri" w:eastAsia="Calibri" w:hAnsi="Calibri"/>
          <w:b/>
          <w:bCs/>
        </w:rPr>
        <w:t xml:space="preserve">Conceptual framework:</w:t>
      </w:r>
      <w:r>
        <w:rPr>
          <w:rFonts w:ascii="Calibri" w:cs="Calibri" w:eastAsia="Calibri" w:hAnsi="Calibri"/>
        </w:rPr>
        <w:t xml:space="preserve"> extract the variables and definitions that structure our data model and dashboard.</w:t>
      </w:r>
    </w:p>
    <w:p>
      <w:pPr>
        <w:pStyle w:val="Heading1"/>
        <w:keepNext/>
      </w:pPr>
      <w:r>
        <w:rPr>
          <w:rFonts w:ascii="Calibri" w:cs="Calibri" w:eastAsia="Calibri" w:hAnsi="Calibri"/>
        </w:rPr>
        <w:t xml:space="preserve">2. Background: Key Concepts in Plain Language</w:t>
      </w:r>
    </w:p>
    <w:p>
      <w:pPr>
        <w:spacing w:after="120" w:line="276"/>
      </w:pPr>
      <w:r>
        <w:rPr>
          <w:rFonts w:ascii="Calibri" w:cs="Calibri" w:eastAsia="Calibri" w:hAnsi="Calibri"/>
        </w:rPr>
        <w:t xml:space="preserve">Most team members do not have an economics background, so the main concepts are explained first. These definitions will also appear as tooltips in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Concept</w:t>
            </w:r>
          </w:p>
        </w:tc>
        <w:tc>
          <w:tcPr>
            <w:tcW w:type="dxa" w:w="66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Plain-language meaning</w:t>
            </w:r>
          </w:p>
        </w:tc>
      </w:tr>
      <w:tr>
        <w:trPr>
          <w:cantSplit/>
        </w:trPr>
        <w:tc>
          <w:tcPr>
            <w:tcW w:type="dxa" w:w="27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Exchange rate (USD/EGP)</w:t>
            </w:r>
          </w:p>
        </w:tc>
        <w:tc>
          <w:tcPr>
            <w:tcW w:type="dxa" w:w="66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How many Egyptian pounds are needed to buy one US dollar. A higher number means a weaker pound.</w:t>
            </w:r>
          </w:p>
        </w:tc>
      </w:tr>
      <w:tr>
        <w:trPr>
          <w:cantSplit/>
        </w:trPr>
        <w:tc>
          <w:tcPr>
            <w:tcW w:type="dxa" w:w="27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Devaluation / depreciation</w:t>
            </w:r>
          </w:p>
        </w:tc>
        <w:tc>
          <w:tcPr>
            <w:tcW w:type="dxa" w:w="66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 fall in the pound’s value against the dollar. “Devaluation” is a deliberate policy decision; “depreciation” is a fall caused by the market.</w:t>
            </w:r>
          </w:p>
        </w:tc>
      </w:tr>
      <w:tr>
        <w:trPr>
          <w:cantSplit/>
        </w:trPr>
        <w:tc>
          <w:tcPr>
            <w:tcW w:type="dxa" w:w="27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Managed vs. flexible (floating) rate</w:t>
            </w:r>
          </w:p>
        </w:tc>
        <w:tc>
          <w:tcPr>
            <w:tcW w:type="dxa" w:w="66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Under a managed rate the central bank controls the price; under a flexible rate supply and demand for dollars set the price.</w:t>
            </w:r>
          </w:p>
        </w:tc>
      </w:tr>
      <w:tr>
        <w:trPr>
          <w:cantSplit/>
        </w:trPr>
        <w:tc>
          <w:tcPr>
            <w:tcW w:type="dxa" w:w="27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Parallel (black) market</w:t>
            </w:r>
          </w:p>
        </w:tc>
        <w:tc>
          <w:tcPr>
            <w:tcW w:type="dxa" w:w="66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An unofficial market where dollars are traded at a different price from the official one. The gap between the two is called the premium.</w:t>
            </w:r>
          </w:p>
        </w:tc>
      </w:tr>
      <w:tr>
        <w:trPr>
          <w:cantSplit/>
        </w:trPr>
        <w:tc>
          <w:tcPr>
            <w:tcW w:type="dxa" w:w="27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Foreign reserves</w:t>
            </w:r>
          </w:p>
        </w:tc>
        <w:tc>
          <w:tcPr>
            <w:tcW w:type="dxa" w:w="66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Foreign currency held by the central bank. They are used to pay for imports and debts and to support the currency.</w:t>
            </w:r>
          </w:p>
        </w:tc>
      </w:tr>
      <w:tr>
        <w:trPr>
          <w:cantSplit/>
        </w:trPr>
        <w:tc>
          <w:tcPr>
            <w:tcW w:type="dxa" w:w="27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Trade balance</w:t>
            </w:r>
          </w:p>
        </w:tc>
        <w:tc>
          <w:tcPr>
            <w:tcW w:type="dxa" w:w="66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Exports minus imports. A deficit means the country spends more dollars on imports than it earns from exports.</w:t>
            </w:r>
          </w:p>
        </w:tc>
      </w:tr>
      <w:tr>
        <w:trPr>
          <w:cantSplit/>
        </w:trPr>
        <w:tc>
          <w:tcPr>
            <w:tcW w:type="dxa" w:w="27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Remittances</w:t>
            </w:r>
          </w:p>
        </w:tc>
        <w:tc>
          <w:tcPr>
            <w:tcW w:type="dxa" w:w="66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Money sent home by Egyptians working abroad, an important source of dollars.</w:t>
            </w:r>
          </w:p>
        </w:tc>
      </w:tr>
      <w:tr>
        <w:trPr>
          <w:cantSplit/>
        </w:trPr>
        <w:tc>
          <w:tcPr>
            <w:tcW w:type="dxa" w:w="27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Inflation and CPI</w:t>
            </w:r>
          </w:p>
        </w:tc>
        <w:tc>
          <w:tcPr>
            <w:tcW w:type="dxa" w:w="66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The general rise in prices over time. The Consumer Price Index (CPI) measures it by tracking the cost of a typical basket of goods and services.</w:t>
            </w:r>
          </w:p>
        </w:tc>
      </w:tr>
      <w:tr>
        <w:trPr>
          <w:cantSplit/>
        </w:trPr>
        <w:tc>
          <w:tcPr>
            <w:tcW w:type="dxa" w:w="27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Policy interest rate</w:t>
            </w:r>
          </w:p>
        </w:tc>
        <w:tc>
          <w:tcPr>
            <w:tcW w:type="dxa" w:w="66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The rate set by the central bank. Raising it makes saving in pounds more attractive and can slow inflation.</w:t>
            </w:r>
          </w:p>
        </w:tc>
      </w:tr>
      <w:tr>
        <w:trPr>
          <w:cantSplit/>
        </w:trPr>
        <w:tc>
          <w:tcPr>
            <w:tcW w:type="dxa" w:w="27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Exchange-rate pass-through</w:t>
            </w:r>
          </w:p>
        </w:tc>
        <w:tc>
          <w:tcPr>
            <w:tcW w:type="dxa" w:w="66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The share of a change in the exchange rate that shows up in consumer prices.</w:t>
            </w:r>
          </w:p>
        </w:tc>
      </w:tr>
      <w:tr>
        <w:trPr>
          <w:cantSplit/>
        </w:trPr>
        <w:tc>
          <w:tcPr>
            <w:tcW w:type="dxa" w:w="27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IMF programme</w:t>
            </w:r>
          </w:p>
        </w:tc>
        <w:tc>
          <w:tcPr>
            <w:tcW w:type="dxa" w:w="66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 loan arrangement with the International Monetary Fund that comes with economic reform commitments.</w:t>
            </w:r>
          </w:p>
        </w:tc>
      </w:tr>
    </w:tbl>
    <w:p>
      <w:pPr>
        <w:spacing w:after="120"/>
      </w:pPr>
    </w:p>
    <w:p>
      <w:pPr>
        <w:pStyle w:val="Heading2"/>
        <w:keepNext/>
      </w:pPr>
      <w:r>
        <w:rPr>
          <w:rFonts w:ascii="Calibri" w:cs="Calibri" w:eastAsia="Calibri" w:hAnsi="Calibri"/>
        </w:rPr>
        <w:t xml:space="preserve">2.1 Key Episodes Mentioned in the Literature</w:t>
      </w:r>
    </w:p>
    <w:p>
      <w:pPr>
        <w:spacing w:after="120" w:line="276"/>
      </w:pPr>
      <w:r>
        <w:rPr>
          <w:rFonts w:ascii="Calibri" w:cs="Calibri" w:eastAsia="Calibri" w:hAnsi="Calibri"/>
        </w:rPr>
        <w:t xml:space="preserve">The following episodes appear repeatedly in the sources reviewed and will be marked as events in our dataset (exact dates and values will be verified against official sources during Week 1):</w:t>
      </w:r>
    </w:p>
    <w:p>
      <w:pPr>
        <w:pStyle w:val="ListParagraph"/>
        <w:numPr>
          <w:ilvl w:val="0"/>
          <w:numId w:val="2"/>
        </w:numPr>
        <w:spacing w:after="60" w:line="268"/>
      </w:pPr>
      <w:r>
        <w:rPr>
          <w:rFonts w:ascii="Calibri" w:cs="Calibri" w:eastAsia="Calibri" w:hAnsi="Calibri"/>
          <w:b/>
          <w:bCs/>
        </w:rPr>
        <w:t xml:space="preserve">November 2016:</w:t>
      </w:r>
      <w:r>
        <w:rPr>
          <w:rFonts w:ascii="Calibri" w:cs="Calibri" w:eastAsia="Calibri" w:hAnsi="Calibri"/>
        </w:rPr>
        <w:t xml:space="preserve"> a large devaluation in which the pound lost about half of its value against the dollar (Alazzawi &amp; Hlasny, 2025). The 2019 study reports that inflation rose above 30% and food prices rose by more than 40% afterwards.</w:t>
      </w:r>
    </w:p>
    <w:p>
      <w:pPr>
        <w:pStyle w:val="ListParagraph"/>
        <w:numPr>
          <w:ilvl w:val="0"/>
          <w:numId w:val="2"/>
        </w:numPr>
        <w:spacing w:after="60" w:line="268"/>
      </w:pPr>
      <w:r>
        <w:rPr>
          <w:rFonts w:ascii="Calibri" w:cs="Calibri" w:eastAsia="Calibri" w:hAnsi="Calibri"/>
          <w:b/>
          <w:bCs/>
        </w:rPr>
        <w:t xml:space="preserve">December 2022:</w:t>
      </w:r>
      <w:r>
        <w:rPr>
          <w:rFonts w:ascii="Calibri" w:cs="Calibri" w:eastAsia="Calibri" w:hAnsi="Calibri"/>
        </w:rPr>
        <w:t xml:space="preserve"> the IMF agreed a US$3 billion, 46-month Extended Fund Facility with Egypt, built around a shift to a more flexible exchange-rate system. The programme stalled when Egypt reverted to a tightly managed rate (Al Jazeera, 2024).</w:t>
      </w:r>
    </w:p>
    <w:p>
      <w:pPr>
        <w:pStyle w:val="ListParagraph"/>
        <w:numPr>
          <w:ilvl w:val="0"/>
          <w:numId w:val="2"/>
        </w:numPr>
        <w:spacing w:after="60" w:line="268"/>
      </w:pPr>
      <w:r>
        <w:rPr>
          <w:rFonts w:ascii="Calibri" w:cs="Calibri" w:eastAsia="Calibri" w:hAnsi="Calibri"/>
          <w:b/>
          <w:bCs/>
        </w:rPr>
        <w:t xml:space="preserve">March 2024:</w:t>
      </w:r>
      <w:r>
        <w:rPr>
          <w:rFonts w:ascii="Calibri" w:cs="Calibri" w:eastAsia="Calibri" w:hAnsi="Calibri"/>
        </w:rPr>
        <w:t xml:space="preserve"> the Central Bank of Egypt let the pound trade according to market forces and raised interest rates by 600 basis points; the IMF increased its support from about US$3 billion to about US$8 billion and described the reform as starting with the unification of the official and parallel exchange rates (IMF, 2024; Al Jazeera, 2024).</w:t>
      </w:r>
    </w:p>
    <w:p>
      <w:pPr>
        <w:pStyle w:val="Heading1"/>
        <w:keepNext/>
      </w:pPr>
      <w:r>
        <w:rPr>
          <w:rFonts w:ascii="Calibri" w:cs="Calibri" w:eastAsia="Calibri" w:hAnsi="Calibri"/>
        </w:rPr>
        <w:t xml:space="preserve">3. Review of Existing Studies</w:t>
      </w:r>
    </w:p>
    <w:p>
      <w:pPr>
        <w:pStyle w:val="Heading2"/>
        <w:keepNext/>
      </w:pPr>
      <w:r>
        <w:rPr>
          <w:rFonts w:ascii="Calibri" w:cs="Calibri" w:eastAsia="Calibri" w:hAnsi="Calibri"/>
        </w:rPr>
        <w:t xml:space="preserve">3.1 The 2016 devaluation and the cost of living</w:t>
      </w:r>
    </w:p>
    <w:p>
      <w:pPr>
        <w:spacing w:after="120" w:line="276"/>
      </w:pPr>
      <w:r>
        <w:rPr>
          <w:rFonts w:ascii="Calibri" w:cs="Calibri" w:eastAsia="Calibri" w:hAnsi="Calibri"/>
          <w:b/>
          <w:bCs/>
        </w:rPr>
        <w:t xml:space="preserve">Alazzawi &amp; Hlasny (2019)</w:t>
      </w:r>
      <w:r>
        <w:rPr>
          <w:rFonts w:ascii="Calibri" w:cs="Calibri" w:eastAsia="Calibri" w:hAnsi="Calibri"/>
        </w:rPr>
        <w:t xml:space="preserve"> used Central Bank of Egypt data and household expenditure surveys to measure how exchange-rate changes reach consumer prices. They found that, typically, about 4% of an exchange-rate change is passed to prices immediately and about 9% over six months, and that the cost of living of an average household rose by as much as 50% after the November 2016 devaluation. Their work shows that the effect on households can be measured and differs by region and commodity group.</w:t>
      </w:r>
    </w:p>
    <w:p>
      <w:pPr>
        <w:spacing w:after="120" w:line="276"/>
      </w:pPr>
      <w:r>
        <w:rPr>
          <w:rFonts w:ascii="Calibri" w:cs="Calibri" w:eastAsia="Calibri" w:hAnsi="Calibri"/>
          <w:b/>
          <w:bCs/>
        </w:rPr>
        <w:t xml:space="preserve">Alazzawi &amp; Hlasny (2025)</w:t>
      </w:r>
      <w:r>
        <w:rPr>
          <w:rFonts w:ascii="Calibri" w:cs="Calibri" w:eastAsia="Calibri" w:hAnsi="Calibri"/>
        </w:rPr>
        <w:t xml:space="preserve"> extend this analysis to the income distribution. They argue that households with lower incomes are usually hit harder because they spend a larger share of their budget on tradable goods, whose prices respond more to the exchange rate. This supports a dashboard page that looks at the impact on citizens, not only at the exchange-rate line itself.</w:t>
      </w:r>
    </w:p>
    <w:p>
      <w:pPr>
        <w:pStyle w:val="Heading2"/>
        <w:keepNext/>
      </w:pPr>
      <w:r>
        <w:rPr>
          <w:rFonts w:ascii="Calibri" w:cs="Calibri" w:eastAsia="Calibri" w:hAnsi="Calibri"/>
        </w:rPr>
        <w:t xml:space="preserve">3.2 Pass-through, inflation and monetary policy</w:t>
      </w:r>
    </w:p>
    <w:p>
      <w:pPr>
        <w:spacing w:after="120" w:line="276"/>
      </w:pPr>
      <w:r>
        <w:rPr>
          <w:rFonts w:ascii="Calibri" w:cs="Calibri" w:eastAsia="Calibri" w:hAnsi="Calibri"/>
          <w:b/>
          <w:bCs/>
        </w:rPr>
        <w:t xml:space="preserve">Elnagger &amp; Richter (2022)</w:t>
      </w:r>
      <w:r>
        <w:rPr>
          <w:rFonts w:ascii="Calibri" w:cs="Calibri" w:eastAsia="Calibri" w:hAnsi="Calibri"/>
        </w:rPr>
        <w:t xml:space="preserve"> study exchange-rate pass-through in Egypt from 2005 to 2018 using vector auto-regressive (VAR) models and compare the period before the November 2016 flotation with the period after it. They discuss what the results mean for Egypt’s ability to run an effective inflation-targeting regime. This links the exchange rate, inflation and central bank decisions, which are the three themes of our dashboard.</w:t>
      </w:r>
    </w:p>
    <w:p>
      <w:pPr>
        <w:pStyle w:val="Heading2"/>
        <w:keepNext/>
      </w:pPr>
      <w:r>
        <w:rPr>
          <w:rFonts w:ascii="Calibri" w:cs="Calibri" w:eastAsia="Calibri" w:hAnsi="Calibri"/>
        </w:rPr>
        <w:t xml:space="preserve">3.3 Parallel markets</w:t>
      </w:r>
    </w:p>
    <w:p>
      <w:pPr>
        <w:spacing w:after="120" w:line="276"/>
      </w:pPr>
      <w:r>
        <w:rPr>
          <w:rFonts w:ascii="Calibri" w:cs="Calibri" w:eastAsia="Calibri" w:hAnsi="Calibri"/>
        </w:rPr>
        <w:t xml:space="preserve">A 2025 study available through Harvard’s DASH repository, </w:t>
      </w:r>
      <w:r>
        <w:rPr>
          <w:rFonts w:ascii="Calibri" w:cs="Calibri" w:eastAsia="Calibri" w:hAnsi="Calibri"/>
          <w:b/>
          <w:bCs/>
        </w:rPr>
        <w:t xml:space="preserve">Exchange Rate Pass-Through from Parallel Foreign Exchange Markets</w:t>
      </w:r>
      <w:r>
        <w:rPr>
          <w:rFonts w:ascii="Calibri" w:cs="Calibri" w:eastAsia="Calibri" w:hAnsi="Calibri"/>
        </w:rPr>
        <w:t xml:space="preserve">, uses Egypt as a case study. It argues that ignoring the parallel market underestimates the true pass-through and that inflation can appear before an official devaluation. It reports positive and significant pass-through from the parallel premium to consumer prices of 0.121, 0.175 and 0.276 at horizons of 6, 12 and 18 months. This is the main reason our project tracks both the official and the parallel rate and shows the premium.</w:t>
      </w:r>
    </w:p>
    <w:p>
      <w:pPr>
        <w:pStyle w:val="Heading2"/>
        <w:keepNext/>
      </w:pPr>
      <w:r>
        <w:rPr>
          <w:rFonts w:ascii="Calibri" w:cs="Calibri" w:eastAsia="Calibri" w:hAnsi="Calibri"/>
        </w:rPr>
        <w:t xml:space="preserve">3.4 The 2024 reform</w:t>
      </w:r>
    </w:p>
    <w:p>
      <w:pPr>
        <w:spacing w:after="120" w:line="276"/>
      </w:pPr>
      <w:r>
        <w:rPr>
          <w:rFonts w:ascii="Calibri" w:cs="Calibri" w:eastAsia="Calibri" w:hAnsi="Calibri"/>
        </w:rPr>
        <w:t xml:space="preserve">The IMF press release of 6 March 2024 describes a policy package aimed at debt sustainability, price stability and a well-functioning exchange-rate system, starting with unification of the official and parallel rates. News coverage from the same day (Al Jazeera) adds the context of the expanded programme, the 600-basis-point rate hike and the investment deal announced with the Emirati fund ADQ. These sources are used to define the policy events in the dataset rather than as analytical studies.</w:t>
      </w:r>
    </w:p>
    <w:p>
      <w:pPr>
        <w:pStyle w:val="Heading1"/>
        <w:keepNext/>
      </w:pPr>
      <w:r>
        <w:rPr>
          <w:rFonts w:ascii="Calibri" w:cs="Calibri" w:eastAsia="Calibri" w:hAnsi="Calibri"/>
        </w:rPr>
        <w:t xml:space="preserve">4. Synthesis of the Reviewed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3100"/>
        <w:gridCol w:w="2360"/>
      </w:tblGrid>
      <w:tr>
        <w:trPr>
          <w:cantSplit/>
          <w:tblHeader/>
        </w:trPr>
        <w:tc>
          <w:tcPr>
            <w:tcW w:type="dxa" w:w="19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Source</w:t>
            </w:r>
          </w:p>
        </w:tc>
        <w:tc>
          <w:tcPr>
            <w:tcW w:type="dxa" w:w="20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Focus</w:t>
            </w:r>
          </w:p>
        </w:tc>
        <w:tc>
          <w:tcPr>
            <w:tcW w:type="dxa" w:w="31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Main finding or contribution</w:t>
            </w:r>
          </w:p>
        </w:tc>
        <w:tc>
          <w:tcPr>
            <w:tcW w:type="dxa" w:w="23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Use in our project</w:t>
            </w:r>
          </w:p>
        </w:tc>
      </w:tr>
      <w:tr>
        <w:trPr>
          <w:cantSplit/>
        </w:trPr>
        <w:tc>
          <w:tcPr>
            <w:tcW w:type="dxa" w:w="1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Alazzawi &amp; Hlasny (2019)</w:t>
            </w:r>
          </w:p>
        </w:tc>
        <w:tc>
          <w:tcPr>
            <w:tcW w:type="dxa" w:w="2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Pass-through and cost of living after the 2016 devaluation</w:t>
            </w:r>
          </w:p>
        </w:tc>
        <w:tc>
          <w:tcPr>
            <w:tcW w:type="dxa" w:w="31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About 4% of the change passes to prices at once and about 9% within six months; average cost of living rose by as much as 50%</w:t>
            </w:r>
          </w:p>
        </w:tc>
        <w:tc>
          <w:tcPr>
            <w:tcW w:type="dxa" w:w="23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Impact on Citizens page; 2016 event</w:t>
            </w:r>
          </w:p>
        </w:tc>
      </w:tr>
      <w:tr>
        <w:trPr>
          <w:cantSplit/>
        </w:trPr>
        <w:tc>
          <w:tcPr>
            <w:tcW w:type="dxa" w:w="19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Alazzawi &amp; Hlasny (2025)</w:t>
            </w:r>
          </w:p>
        </w:tc>
        <w:tc>
          <w:tcPr>
            <w:tcW w:type="dxa" w:w="20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Inflation impact across income groups</w:t>
            </w:r>
          </w:p>
        </w:tc>
        <w:tc>
          <w:tcPr>
            <w:tcW w:type="dxa" w:w="31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Lower-income households tend to be more exposed because they spend more on tradable goods</w:t>
            </w:r>
          </w:p>
        </w:tc>
        <w:tc>
          <w:tcPr>
            <w:tcW w:type="dxa" w:w="23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Context for food-inflation indicators</w:t>
            </w:r>
          </w:p>
        </w:tc>
      </w:tr>
      <w:tr>
        <w:trPr>
          <w:cantSplit/>
        </w:trPr>
        <w:tc>
          <w:tcPr>
            <w:tcW w:type="dxa" w:w="1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Elnagger &amp; Richter (2022)</w:t>
            </w:r>
          </w:p>
        </w:tc>
        <w:tc>
          <w:tcPr>
            <w:tcW w:type="dxa" w:w="2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Pass-through and monetary policy, 2005–2018</w:t>
            </w:r>
          </w:p>
        </w:tc>
        <w:tc>
          <w:tcPr>
            <w:tcW w:type="dxa" w:w="31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Compares periods before and after the 2016 flotation; links to inflation targeting</w:t>
            </w:r>
          </w:p>
        </w:tc>
        <w:tc>
          <w:tcPr>
            <w:tcW w:type="dxa" w:w="23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Policy rate vs inflation view</w:t>
            </w:r>
          </w:p>
        </w:tc>
      </w:tr>
      <w:tr>
        <w:trPr>
          <w:cantSplit/>
        </w:trPr>
        <w:tc>
          <w:tcPr>
            <w:tcW w:type="dxa" w:w="19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Harvard DASH (2025)</w:t>
            </w:r>
          </w:p>
        </w:tc>
        <w:tc>
          <w:tcPr>
            <w:tcW w:type="dxa" w:w="20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Parallel-market pass-through</w:t>
            </w:r>
          </w:p>
        </w:tc>
        <w:tc>
          <w:tcPr>
            <w:tcW w:type="dxa" w:w="31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Parallel premium has a positive, significant link to consumer prices</w:t>
            </w:r>
          </w:p>
        </w:tc>
        <w:tc>
          <w:tcPr>
            <w:tcW w:type="dxa" w:w="23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Official vs parallel page; premium KPI</w:t>
            </w:r>
          </w:p>
        </w:tc>
      </w:tr>
      <w:tr>
        <w:trPr>
          <w:cantSplit/>
        </w:trPr>
        <w:tc>
          <w:tcPr>
            <w:tcW w:type="dxa" w:w="19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IMF Press Release 24/69 (2024)</w:t>
            </w:r>
          </w:p>
        </w:tc>
        <w:tc>
          <w:tcPr>
            <w:tcW w:type="dxa" w:w="2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2024 reform package</w:t>
            </w:r>
          </w:p>
        </w:tc>
        <w:tc>
          <w:tcPr>
            <w:tcW w:type="dxa" w:w="31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Move to a flexible rate, unification of official and parallel rates</w:t>
            </w:r>
          </w:p>
        </w:tc>
        <w:tc>
          <w:tcPr>
            <w:tcW w:type="dxa" w:w="23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2024 policy events</w:t>
            </w:r>
          </w:p>
        </w:tc>
      </w:tr>
      <w:tr>
        <w:trPr>
          <w:cantSplit/>
        </w:trPr>
        <w:tc>
          <w:tcPr>
            <w:tcW w:type="dxa" w:w="19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Al Jazeera (2024)</w:t>
            </w:r>
          </w:p>
        </w:tc>
        <w:tc>
          <w:tcPr>
            <w:tcW w:type="dxa" w:w="20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News on the 2024 IMF deal and float</w:t>
            </w:r>
          </w:p>
        </w:tc>
        <w:tc>
          <w:tcPr>
            <w:tcW w:type="dxa" w:w="31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IMF support expanded; 600-bp rate hike; ADQ investment deal</w:t>
            </w:r>
          </w:p>
        </w:tc>
        <w:tc>
          <w:tcPr>
            <w:tcW w:type="dxa" w:w="23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Event descriptions</w:t>
            </w:r>
          </w:p>
        </w:tc>
      </w:tr>
    </w:tbl>
    <w:p>
      <w:pPr>
        <w:spacing w:after="120"/>
      </w:pPr>
    </w:p>
    <w:p>
      <w:pPr>
        <w:pStyle w:val="Heading1"/>
        <w:keepNext/>
      </w:pPr>
      <w:r>
        <w:rPr>
          <w:rFonts w:ascii="Calibri" w:cs="Calibri" w:eastAsia="Calibri" w:hAnsi="Calibri"/>
        </w:rPr>
        <w:t xml:space="preserve">5. Research Gap</w:t>
      </w:r>
    </w:p>
    <w:p>
      <w:pPr>
        <w:spacing w:after="120" w:line="276"/>
      </w:pPr>
      <w:r>
        <w:rPr>
          <w:rFonts w:ascii="Calibri" w:cs="Calibri" w:eastAsia="Calibri" w:hAnsi="Calibri"/>
        </w:rPr>
        <w:t xml:space="preserve">Among the sources reviewed, the academic studies are mainly statistical estimations of pass-through, written for economists, and often focus on one episode (especially 2016) or one question. Official and news sources describe policy decisions but do not connect them to prices and households in one place. We did not find, in the sources reviewed, an interactive and plain-language dashboard that places the following side by side across several episodes:</w:t>
      </w:r>
    </w:p>
    <w:p>
      <w:pPr>
        <w:pStyle w:val="ListParagraph"/>
        <w:numPr>
          <w:ilvl w:val="0"/>
          <w:numId w:val="2"/>
        </w:numPr>
        <w:spacing w:after="60" w:line="268"/>
      </w:pPr>
      <w:r>
        <w:rPr>
          <w:rFonts w:ascii="Calibri" w:cs="Calibri" w:eastAsia="Calibri" w:hAnsi="Calibri"/>
        </w:rPr>
        <w:t xml:space="preserve">the official and parallel exchange rates and the premium between them;</w:t>
      </w:r>
    </w:p>
    <w:p>
      <w:pPr>
        <w:pStyle w:val="ListParagraph"/>
        <w:numPr>
          <w:ilvl w:val="0"/>
          <w:numId w:val="2"/>
        </w:numPr>
        <w:spacing w:after="60" w:line="268"/>
      </w:pPr>
      <w:r>
        <w:rPr>
          <w:rFonts w:ascii="Calibri" w:cs="Calibri" w:eastAsia="Calibri" w:hAnsi="Calibri"/>
        </w:rPr>
        <w:t xml:space="preserve">the main drivers of dollar supply and demand (reserves, trade, remittances, Suez Canal, tourism, investment, debt);</w:t>
      </w:r>
    </w:p>
    <w:p>
      <w:pPr>
        <w:pStyle w:val="ListParagraph"/>
        <w:numPr>
          <w:ilvl w:val="0"/>
          <w:numId w:val="2"/>
        </w:numPr>
        <w:spacing w:after="60" w:line="268"/>
      </w:pPr>
      <w:r>
        <w:rPr>
          <w:rFonts w:ascii="Calibri" w:cs="Calibri" w:eastAsia="Calibri" w:hAnsi="Calibri"/>
        </w:rPr>
        <w:t xml:space="preserve">the policy decisions that followed (interest rates, floats, IMF programmes);</w:t>
      </w:r>
    </w:p>
    <w:p>
      <w:pPr>
        <w:pStyle w:val="ListParagraph"/>
        <w:numPr>
          <w:ilvl w:val="0"/>
          <w:numId w:val="2"/>
        </w:numPr>
        <w:spacing w:after="60" w:line="268"/>
      </w:pPr>
      <w:r>
        <w:rPr>
          <w:rFonts w:ascii="Calibri" w:cs="Calibri" w:eastAsia="Calibri" w:hAnsi="Calibri"/>
        </w:rPr>
        <w:t xml:space="preserve">the effect on inflation, especially food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9D8F" w:sz="24"/>
              <w:bottom w:val="none" w:color="FFFFFF" w:sz="0"/>
              <w:right w:val="none" w:color="FFFFFF" w:sz="0"/>
            </w:tcBorders>
            <w:shd w:fill="EAF5F3" w:color="auto" w:val="clear"/>
            <w:tcMar>
              <w:top w:type="dxa" w:w="100"/>
              <w:left w:type="dxa" w:w="160"/>
              <w:bottom w:type="dxa" w:w="100"/>
              <w:right w:type="dxa" w:w="160"/>
            </w:tcMar>
          </w:tcPr>
          <w:p>
            <w:pPr>
              <w:spacing w:after="40"/>
            </w:pPr>
            <w:r>
              <w:rPr>
                <w:rFonts w:ascii="Calibri" w:cs="Calibri" w:eastAsia="Calibri" w:hAnsi="Calibri"/>
                <w:b/>
                <w:bCs/>
                <w:sz w:val="20"/>
                <w:szCs w:val="20"/>
              </w:rPr>
              <w:t xml:space="preserve">Our contribution:</w:t>
            </w:r>
            <w:r>
              <w:rPr>
                <w:rFonts w:ascii="Calibri" w:cs="Calibri" w:eastAsia="Calibri" w:hAnsi="Calibri"/>
                <w:sz w:val="20"/>
                <w:szCs w:val="20"/>
              </w:rPr>
              <w:t xml:space="preserve"> an integrated, descriptive and visual analysis of the dollar crisis, built from documented public data and designed to be understandable by readers without an economics background. The project describes associations; it does not claim to prove causes.</w:t>
            </w:r>
          </w:p>
        </w:tc>
      </w:tr>
    </w:tbl>
    <w:p>
      <w:pPr>
        <w:spacing w:after="120" w:line="276"/>
      </w:pPr>
      <w:r>
        <w:rPr>
          <w:rFonts w:ascii="Calibri" w:cs="Calibri" w:eastAsia="Calibri" w:hAnsi="Calibri"/>
          <w:b/>
          <w:bCs/>
          <w:i w:val="false"/>
          <w:iCs w:val="false"/>
        </w:rPr>
        <w:t xml:space="preserve">Limitation of this review:</w:t>
      </w:r>
      <w:r>
        <w:rPr>
          <w:rFonts w:ascii="Calibri" w:cs="Calibri" w:eastAsia="Calibri" w:hAnsi="Calibri"/>
          <w:i w:val="false"/>
          <w:iCs w:val="false"/>
        </w:rPr>
        <w:t xml:space="preserve"> it is based on the sources we were able to access and verify. During Week 1 the team will extend it with additional sources, especially Central Bank of Egypt and CAPMAS reports.</w:t>
      </w:r>
    </w:p>
    <w:p>
      <w:pPr>
        <w:pStyle w:val="Heading1"/>
        <w:keepNext/>
      </w:pPr>
      <w:r>
        <w:rPr>
          <w:rFonts w:ascii="Calibri" w:cs="Calibri" w:eastAsia="Calibri" w:hAnsi="Calibri"/>
        </w:rPr>
        <w:t xml:space="preserve">6. Conceptual Framework</w:t>
      </w:r>
    </w:p>
    <w:p>
      <w:pPr>
        <w:spacing w:after="120" w:line="276"/>
      </w:pPr>
      <w:r>
        <w:rPr>
          <w:rFonts w:ascii="Calibri" w:cs="Calibri" w:eastAsia="Calibri" w:hAnsi="Calibri"/>
        </w:rPr>
        <w:t xml:space="preserve">The literature suggests organising the analysis in four linked blocks. The relationships in the last column are hypotheses to explore descriptively, not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cantSplit/>
          <w:tblHeader/>
        </w:trPr>
        <w:tc>
          <w:tcPr>
            <w:tcW w:type="dxa" w:w="18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Block</w:t>
            </w:r>
          </w:p>
        </w:tc>
        <w:tc>
          <w:tcPr>
            <w:tcW w:type="dxa" w:w="40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Indicators (candidate variables)</w:t>
            </w:r>
          </w:p>
        </w:tc>
        <w:tc>
          <w:tcPr>
            <w:tcW w:type="dxa" w:w="35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Relationship explored</w:t>
            </w:r>
          </w:p>
        </w:tc>
      </w:tr>
      <w:tr>
        <w:trPr>
          <w:cantSplit/>
        </w:trPr>
        <w:tc>
          <w:tcPr>
            <w:tcW w:type="dxa" w:w="18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A. Exchange rate</w:t>
            </w:r>
          </w:p>
        </w:tc>
        <w:tc>
          <w:tcPr>
            <w:tcW w:type="dxa" w:w="4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Official USD/EGP rate; parallel rate; premium (%); monthly change (%)</w:t>
            </w:r>
          </w:p>
        </w:tc>
        <w:tc>
          <w:tcPr>
            <w:tcW w:type="dxa" w:w="35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How the rate moved and how large the gap between markets was</w:t>
            </w:r>
          </w:p>
        </w:tc>
      </w:tr>
      <w:tr>
        <w:trPr>
          <w:cantSplit/>
        </w:trPr>
        <w:tc>
          <w:tcPr>
            <w:tcW w:type="dxa" w:w="18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B. Drivers</w:t>
            </w:r>
          </w:p>
        </w:tc>
        <w:tc>
          <w:tcPr>
            <w:tcW w:type="dxa" w:w="40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Foreign reserves; trade balance; remittances; Suez Canal revenue; tourism revenue; foreign direct investment; external debt; GDP</w:t>
            </w:r>
          </w:p>
        </w:tc>
        <w:tc>
          <w:tcPr>
            <w:tcW w:type="dxa" w:w="35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Whether periods of pressure on the pound coincide with weaker dollar inflows or higher dollar needs</w:t>
            </w:r>
          </w:p>
        </w:tc>
      </w:tr>
      <w:tr>
        <w:trPr>
          <w:cantSplit/>
        </w:trPr>
        <w:tc>
          <w:tcPr>
            <w:tcW w:type="dxa" w:w="18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C. Policy</w:t>
            </w:r>
          </w:p>
        </w:tc>
        <w:tc>
          <w:tcPr>
            <w:tcW w:type="dxa" w:w="400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Policy interest rate; floats and devaluation dates; IMF programme dates</w:t>
            </w:r>
          </w:p>
        </w:tc>
        <w:tc>
          <w:tcPr>
            <w:tcW w:type="dxa" w:w="35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What decisions were taken and how the indicators behaved around them</w:t>
            </w:r>
          </w:p>
        </w:tc>
      </w:tr>
      <w:tr>
        <w:trPr>
          <w:cantSplit/>
        </w:trPr>
        <w:tc>
          <w:tcPr>
            <w:tcW w:type="dxa" w:w="18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b/>
                <w:bCs/>
                <w:sz w:val="19"/>
                <w:szCs w:val="19"/>
              </w:rPr>
              <w:t xml:space="preserve">D. Impact</w:t>
            </w:r>
          </w:p>
        </w:tc>
        <w:tc>
          <w:tcPr>
            <w:tcW w:type="dxa" w:w="400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Headline inflation; food inflation; CPI index</w:t>
            </w:r>
          </w:p>
        </w:tc>
        <w:tc>
          <w:tcPr>
            <w:tcW w:type="dxa" w:w="35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b w:val="false"/>
                <w:bCs w:val="false"/>
                <w:sz w:val="19"/>
                <w:szCs w:val="19"/>
              </w:rPr>
              <w:t xml:space="preserve">How prices behaved after exchange-rate moves (before/after each event)</w:t>
            </w:r>
          </w:p>
        </w:tc>
      </w:tr>
    </w:tbl>
    <w:p>
      <w:pPr>
        <w:spacing w:after="120"/>
      </w:pPr>
    </w:p>
    <w:p>
      <w:pPr>
        <w:pStyle w:val="Heading2"/>
        <w:keepNext/>
      </w:pPr>
      <w:r>
        <w:rPr>
          <w:rFonts w:ascii="Calibri" w:cs="Calibri" w:eastAsia="Calibri" w:hAnsi="Calibri"/>
        </w:rPr>
        <w:t xml:space="preserve">Guiding questions</w:t>
      </w:r>
    </w:p>
    <w:p>
      <w:pPr>
        <w:pStyle w:val="ListParagraph"/>
        <w:numPr>
          <w:ilvl w:val="0"/>
          <w:numId w:val="3"/>
        </w:numPr>
        <w:spacing w:after="60" w:line="268"/>
      </w:pPr>
      <w:r>
        <w:rPr>
          <w:rFonts w:ascii="Calibri" w:cs="Calibri" w:eastAsia="Calibri" w:hAnsi="Calibri"/>
        </w:rPr>
        <w:t xml:space="preserve">How did the official exchange rate move over the study period, and where are the main turning points?</w:t>
      </w:r>
    </w:p>
    <w:p>
      <w:pPr>
        <w:pStyle w:val="ListParagraph"/>
        <w:numPr>
          <w:ilvl w:val="0"/>
          <w:numId w:val="3"/>
        </w:numPr>
        <w:spacing w:after="60" w:line="268"/>
      </w:pPr>
      <w:r>
        <w:rPr>
          <w:rFonts w:ascii="Calibri" w:cs="Calibri" w:eastAsia="Calibri" w:hAnsi="Calibri"/>
        </w:rPr>
        <w:t xml:space="preserve">How large was the gap between the official and parallel rates, and when did it narrow or widen?</w:t>
      </w:r>
    </w:p>
    <w:p>
      <w:pPr>
        <w:pStyle w:val="ListParagraph"/>
        <w:numPr>
          <w:ilvl w:val="0"/>
          <w:numId w:val="3"/>
        </w:numPr>
        <w:spacing w:after="60" w:line="268"/>
      </w:pPr>
      <w:r>
        <w:rPr>
          <w:rFonts w:ascii="Calibri" w:cs="Calibri" w:eastAsia="Calibri" w:hAnsi="Calibri"/>
        </w:rPr>
        <w:t xml:space="preserve">Which dollar-supply and dollar-demand indicators moved with the exchange rate?</w:t>
      </w:r>
    </w:p>
    <w:p>
      <w:pPr>
        <w:pStyle w:val="ListParagraph"/>
        <w:numPr>
          <w:ilvl w:val="0"/>
          <w:numId w:val="3"/>
        </w:numPr>
        <w:spacing w:after="60" w:line="268"/>
      </w:pPr>
      <w:r>
        <w:rPr>
          <w:rFonts w:ascii="Calibri" w:cs="Calibri" w:eastAsia="Calibri" w:hAnsi="Calibri"/>
        </w:rPr>
        <w:t xml:space="preserve">How did inflation, and food inflation in particular, behave before and after each major event?</w:t>
      </w:r>
    </w:p>
    <w:p>
      <w:pPr>
        <w:pStyle w:val="ListParagraph"/>
        <w:numPr>
          <w:ilvl w:val="0"/>
          <w:numId w:val="3"/>
        </w:numPr>
        <w:spacing w:after="60" w:line="268"/>
      </w:pPr>
      <w:r>
        <w:rPr>
          <w:rFonts w:ascii="Calibri" w:cs="Calibri" w:eastAsia="Calibri" w:hAnsi="Calibri"/>
        </w:rPr>
        <w:t xml:space="preserve">How did interest-rate decisions line up with inflation and the exchange rate?</w:t>
      </w:r>
    </w:p>
    <w:p>
      <w:pPr>
        <w:pStyle w:val="Heading1"/>
        <w:keepNext/>
      </w:pPr>
      <w:r>
        <w:rPr>
          <w:rFonts w:ascii="Calibri" w:cs="Calibri" w:eastAsia="Calibri" w:hAnsi="Calibri"/>
        </w:rPr>
        <w:t xml:space="preserve">7. How the Review Shapes Our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Finding from the literature</w:t>
            </w:r>
          </w:p>
        </w:tc>
        <w:tc>
          <w:tcPr>
            <w:tcW w:type="dxa" w:w="5160"/>
            <w:tcBorders>
              <w:top w:val="single" w:color="B0B7C3" w:sz="4"/>
              <w:left w:val="single" w:color="B0B7C3" w:sz="4"/>
              <w:bottom w:val="single" w:color="B0B7C3" w:sz="4"/>
              <w:right w:val="single" w:color="B0B7C3" w:sz="4"/>
            </w:tcBorders>
            <w:shd w:fill="1F3A5F" w:color="auto" w:val="clear"/>
            <w:tcMar>
              <w:top w:type="dxa" w:w="60"/>
              <w:left w:type="dxa" w:w="90"/>
              <w:bottom w:type="dxa" w:w="60"/>
              <w:right w:type="dxa" w:w="90"/>
            </w:tcMar>
            <w:vAlign w:val="center"/>
          </w:tcPr>
          <w:p>
            <w:pPr>
              <w:spacing w:after="20" w:line="250"/>
            </w:pPr>
            <w:r>
              <w:rPr>
                <w:rFonts w:ascii="Calibri" w:cs="Calibri" w:eastAsia="Calibri" w:hAnsi="Calibri"/>
                <w:b/>
                <w:bCs/>
                <w:color w:val="FFFFFF"/>
                <w:sz w:val="19"/>
                <w:szCs w:val="19"/>
              </w:rPr>
              <w:t xml:space="preserve">Design decision</w:t>
            </w:r>
          </w:p>
        </w:tc>
      </w:tr>
      <w:tr>
        <w:trPr>
          <w:cantSplit/>
        </w:trPr>
        <w:tc>
          <w:tcPr>
            <w:tcW w:type="dxa" w:w="42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Parallel-market movements matter for prices</w:t>
            </w:r>
          </w:p>
        </w:tc>
        <w:tc>
          <w:tcPr>
            <w:tcW w:type="dxa" w:w="51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Collect and show a parallel-market series next to the official rate, flagged as unofficial</w:t>
            </w:r>
          </w:p>
        </w:tc>
      </w:tr>
      <w:tr>
        <w:trPr>
          <w:cantSplit/>
        </w:trPr>
        <w:tc>
          <w:tcPr>
            <w:tcW w:type="dxa" w:w="42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Impact differs by commodity group, with food strongly affected</w:t>
            </w:r>
          </w:p>
        </w:tc>
        <w:tc>
          <w:tcPr>
            <w:tcW w:type="dxa" w:w="51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Include food inflation as a separate indicator on the Impact page</w:t>
            </w:r>
          </w:p>
        </w:tc>
      </w:tr>
      <w:tr>
        <w:trPr>
          <w:cantSplit/>
        </w:trPr>
        <w:tc>
          <w:tcPr>
            <w:tcW w:type="dxa" w:w="42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Policy regime changes (2016, 2022–2024) change the behaviour of the data</w:t>
            </w:r>
          </w:p>
        </w:tc>
        <w:tc>
          <w:tcPr>
            <w:tcW w:type="dxa" w:w="51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Add an event dimension and compare periods before and after each event</w:t>
            </w:r>
          </w:p>
        </w:tc>
      </w:tr>
      <w:tr>
        <w:trPr>
          <w:cantSplit/>
        </w:trPr>
        <w:tc>
          <w:tcPr>
            <w:tcW w:type="dxa" w:w="42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Studies stress careful interpretation</w:t>
            </w:r>
          </w:p>
        </w:tc>
        <w:tc>
          <w:tcPr>
            <w:tcW w:type="dxa" w:w="5160"/>
            <w:tcBorders>
              <w:top w:val="single" w:color="B0B7C3" w:sz="4"/>
              <w:left w:val="single" w:color="B0B7C3" w:sz="4"/>
              <w:bottom w:val="single" w:color="B0B7C3" w:sz="4"/>
              <w:right w:val="single" w:color="B0B7C3" w:sz="4"/>
            </w:tcBorders>
            <w:shd w:fill="F7F9FB" w:color="auto" w:val="clear"/>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Report correlations as associations; add a method note and source note to each dashboard page</w:t>
            </w:r>
          </w:p>
        </w:tc>
      </w:tr>
      <w:tr>
        <w:trPr>
          <w:cantSplit/>
        </w:trPr>
        <w:tc>
          <w:tcPr>
            <w:tcW w:type="dxa" w:w="4200"/>
            <w:tcBorders>
              <w:top w:val="single" w:color="B0B7C3" w:sz="4"/>
              <w:left w:val="single" w:color="B0B7C3" w:sz="4"/>
              <w:bottom w:val="single" w:color="B0B7C3" w:sz="4"/>
              <w:right w:val="single" w:color="B0B7C3" w:sz="4"/>
            </w:tcBorders>
            <w:shd w:fill="E8ECF1" w:color="auto" w:val="clear"/>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Existing work is technical</w:t>
            </w:r>
          </w:p>
        </w:tc>
        <w:tc>
          <w:tcPr>
            <w:tcW w:type="dxa" w:w="5160"/>
            <w:tcBorders>
              <w:top w:val="single" w:color="B0B7C3" w:sz="4"/>
              <w:left w:val="single" w:color="B0B7C3" w:sz="4"/>
              <w:bottom w:val="single" w:color="B0B7C3" w:sz="4"/>
              <w:right w:val="single" w:color="B0B7C3" w:sz="4"/>
            </w:tcBorders>
            <w:tcMar>
              <w:top w:type="dxa" w:w="60"/>
              <w:left w:type="dxa" w:w="90"/>
              <w:bottom w:type="dxa" w:w="60"/>
              <w:right w:type="dxa" w:w="90"/>
            </w:tcMar>
            <w:vAlign w:val="center"/>
          </w:tcPr>
          <w:p>
            <w:pPr>
              <w:spacing w:after="20" w:line="250"/>
            </w:pPr>
            <w:r>
              <w:rPr>
                <w:rFonts w:ascii="Calibri" w:cs="Calibri" w:eastAsia="Calibri" w:hAnsi="Calibri"/>
                <w:sz w:val="19"/>
                <w:szCs w:val="19"/>
              </w:rPr>
              <w:t xml:space="preserve">Use plain-language titles, tooltips and a short insight text on every page</w:t>
            </w:r>
          </w:p>
        </w:tc>
      </w:tr>
    </w:tbl>
    <w:p>
      <w:pPr>
        <w:spacing w:after="120"/>
      </w:pPr>
    </w:p>
    <w:p>
      <w:pPr>
        <w:pStyle w:val="Heading1"/>
        <w:keepNext/>
      </w:pPr>
      <w:r>
        <w:rPr>
          <w:rFonts w:ascii="Calibri" w:cs="Calibri" w:eastAsia="Calibri" w:hAnsi="Calibri"/>
        </w:rPr>
        <w:t xml:space="preserve">8. References</w:t>
      </w:r>
    </w:p>
    <w:p>
      <w:pPr>
        <w:pStyle w:val="ListParagraph"/>
        <w:numPr>
          <w:ilvl w:val="0"/>
          <w:numId w:val="4"/>
        </w:numPr>
        <w:spacing w:after="60" w:line="268"/>
      </w:pPr>
      <w:r>
        <w:rPr>
          <w:rFonts w:ascii="Calibri" w:cs="Calibri" w:eastAsia="Calibri" w:hAnsi="Calibri"/>
        </w:rPr>
        <w:t xml:space="preserve">Alazzawi, S., &amp; Hlasny, V. (2019). Disparities in the cost of living changes after a large-scale devaluation: The case of Egypt 2016. Topics in Middle Eastern and North African Economies, 21(2). https://ecommons.luc.edu/meea/278</w:t>
      </w:r>
    </w:p>
    <w:p>
      <w:pPr>
        <w:pStyle w:val="ListParagraph"/>
        <w:numPr>
          <w:ilvl w:val="0"/>
          <w:numId w:val="4"/>
        </w:numPr>
        <w:spacing w:after="60" w:line="268"/>
      </w:pPr>
      <w:r>
        <w:rPr>
          <w:rFonts w:ascii="Calibri" w:cs="Calibri" w:eastAsia="Calibri" w:hAnsi="Calibri"/>
        </w:rPr>
        <w:t xml:space="preserve">Alazzawi, S., &amp; Hlasny, V. (2025). The inflationary impact of a large devaluation across the income distribution: The case of Egypt in 2016. Journal of African Economies, 34(1), 26–52. https://ideas.repec.org/a/oup/jafrec/v34y2025i1p26-52..html</w:t>
      </w:r>
    </w:p>
    <w:p>
      <w:pPr>
        <w:pStyle w:val="ListParagraph"/>
        <w:numPr>
          <w:ilvl w:val="0"/>
          <w:numId w:val="4"/>
        </w:numPr>
        <w:spacing w:after="60" w:line="268"/>
      </w:pPr>
      <w:r>
        <w:rPr>
          <w:rFonts w:ascii="Calibri" w:cs="Calibri" w:eastAsia="Calibri" w:hAnsi="Calibri"/>
        </w:rPr>
        <w:t xml:space="preserve">Elnagger, A., &amp; Richter, C. (2022). Exchange rate pass-through, inflation, and monetary policy in Egypt. Applied Economics Quarterly, 68(1), 1–36. https://ideas.repec.org/a/dah/aeqaeq/v68_y2022_i1_q1_p1-36.html</w:t>
      </w:r>
    </w:p>
    <w:p>
      <w:pPr>
        <w:pStyle w:val="ListParagraph"/>
        <w:numPr>
          <w:ilvl w:val="0"/>
          <w:numId w:val="4"/>
        </w:numPr>
        <w:spacing w:after="60" w:line="268"/>
      </w:pPr>
      <w:r>
        <w:rPr>
          <w:rFonts w:ascii="Calibri" w:cs="Calibri" w:eastAsia="Calibri" w:hAnsi="Calibri"/>
        </w:rPr>
        <w:t xml:space="preserve">Harvard DASH (2025). Exchange rate pass-through from parallel foreign exchange markets. Harvard University, Digital Access to Scholarship at Harvard. https://dash.harvard.edu/handle/1/42719230</w:t>
      </w:r>
    </w:p>
    <w:p>
      <w:pPr>
        <w:pStyle w:val="ListParagraph"/>
        <w:numPr>
          <w:ilvl w:val="0"/>
          <w:numId w:val="4"/>
        </w:numPr>
        <w:spacing w:after="60" w:line="268"/>
      </w:pPr>
      <w:r>
        <w:rPr>
          <w:rFonts w:ascii="Calibri" w:cs="Calibri" w:eastAsia="Calibri" w:hAnsi="Calibri"/>
        </w:rPr>
        <w:t xml:space="preserve">International Monetary Fund (2024, March 6). Egypt: Staff and authorities reach agreement on reviews under the EFF arrangement (Press Release No. 24/69). https://www.imf.org/en/news/articles/2024/03/06/pr-2459-egypt-staff-and-authorities-reach-agreement-on-reviews-under-the-eff-arrangement</w:t>
      </w:r>
    </w:p>
    <w:p>
      <w:pPr>
        <w:pStyle w:val="ListParagraph"/>
        <w:numPr>
          <w:ilvl w:val="0"/>
          <w:numId w:val="4"/>
        </w:numPr>
        <w:spacing w:after="60" w:line="268"/>
      </w:pPr>
      <w:r>
        <w:rPr>
          <w:rFonts w:ascii="Calibri" w:cs="Calibri" w:eastAsia="Calibri" w:hAnsi="Calibri"/>
        </w:rPr>
        <w:t xml:space="preserve">Al Jazeera (2024, March 6). Egypt strikes expanded $8bn deal with the IMF. https://www.aljazeera.com/news/2024/3/6/egypt-strikes-expanded-8-billion-deal-with-the-imf</w:t>
      </w:r>
    </w:p>
    <w:sectPr>
      <w:headerReference w:type="default" r:id="rId7"/>
      <w:headerReference w:type="first" r:id="rId8"/>
      <w:footerReference w:type="default" r:id="rId9"/>
      <w:footerReference w:type="first" r:id="rId10"/>
      <w:pgSz w:w="12240" w:h="15840"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t xml:space="preserve">Page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7C3" w:sz="4" w:space="4"/>
      </w:pBdr>
      <w:jc w:val="right"/>
    </w:pPr>
    <w:r>
      <w:rPr>
        <w:rFonts w:ascii="Calibri" w:cs="Calibri" w:eastAsia="Calibri" w:hAnsi="Calibri"/>
        <w:color w:val="666666"/>
        <w:sz w:val="17"/>
        <w:szCs w:val="17"/>
      </w:rPr>
      <w:t xml:space="preserve">DEPI – Data Analysis | Round 5  ·  Literature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9D8F" w:sz="6" w:space="4"/>
      </w:pBd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A9D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 Dollar Crisis Analysis Project</dc:title>
  <dc:creator>DEPI Data Analysis Team – Round 5</dc:creator>
  <cp:lastModifiedBy>Un-named</cp:lastModifiedBy>
  <cp:revision>1</cp:revision>
  <dcterms:created xsi:type="dcterms:W3CDTF">2026-10-28T09:23:14.472Z</dcterms:created>
  <dcterms:modified xsi:type="dcterms:W3CDTF">2026-10-28T09:23:14.486Z</dcterms:modified>
</cp:coreProperties>
</file>

<file path=docProps/custom.xml><?xml version="1.0" encoding="utf-8"?>
<Properties xmlns="http://schemas.openxmlformats.org/officeDocument/2006/custom-properties" xmlns:vt="http://schemas.openxmlformats.org/officeDocument/2006/docPropsVTypes"/>
</file>