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2A9D8F"/>
          <w:sz w:val="26"/>
          <w:szCs w:val="26"/>
        </w:rPr>
        <w:t xml:space="preserve">Digital Egypt Pioneers Initiative (DEPI)</w:t>
      </w:r>
    </w:p>
    <w:p>
      <w:pPr>
        <w:spacing w:after="600"/>
      </w:pPr>
      <w:r>
        <w:rPr>
          <w:rFonts w:ascii="Calibri" w:cs="Calibri" w:eastAsia="Calibri" w:hAnsi="Calibri"/>
          <w:color w:val="555555"/>
          <w:sz w:val="24"/>
          <w:szCs w:val="24"/>
        </w:rPr>
        <w:t xml:space="preserve">Data Analysis Track  |  Round 5  |  Graduation Project</w:t>
      </w:r>
    </w:p>
    <w:p>
      <w:pPr>
        <w:pBdr>
          <w:bottom w:val="single" w:color="1F3A5F" w:sz="12" w:space="8"/>
        </w:pBdr>
        <w:spacing w:after="120"/>
      </w:pPr>
      <w:r>
        <w:rPr>
          <w:rFonts w:ascii="Calibri" w:cs="Calibri" w:eastAsia="Calibri" w:hAnsi="Calibri"/>
          <w:b/>
          <w:bCs/>
          <w:color w:val="1F3A5F"/>
          <w:sz w:val="60"/>
          <w:szCs w:val="60"/>
        </w:rPr>
        <w:t xml:space="preserve">Requirements Gathering</w:t>
      </w:r>
    </w:p>
    <w:p>
      <w:pPr>
        <w:spacing w:after="200" w:before="200"/>
      </w:pPr>
      <w:r>
        <w:rPr>
          <w:rFonts w:ascii="Calibri" w:cs="Calibri" w:eastAsia="Calibri" w:hAnsi="Calibri"/>
          <w:color w:val="333333"/>
          <w:sz w:val="28"/>
          <w:szCs w:val="28"/>
        </w:rPr>
        <w:t xml:space="preserve">Requirements for the dollar crisis analysis and Power BI dashboard</w:t>
      </w:r>
    </w:p>
    <w:p>
      <w:pPr>
        <w:spacing w:after="700"/>
      </w:pPr>
      <w:r>
        <w:rPr>
          <w:rFonts w:ascii="Calibri" w:cs="Calibri" w:eastAsia="Calibri" w:hAnsi="Calibri"/>
          <w:i/>
          <w:iCs/>
          <w:color w:val="333333"/>
          <w:sz w:val="24"/>
          <w:szCs w:val="24"/>
        </w:rPr>
        <w:t xml:space="preserve">Project: Dollar Crisis Analysis Project – The Egyptian Pound’s Journey Against the US Dollar: Causes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Instructor</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Eng. Abdelrahman El-Farsy</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Track / Round</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Data Analysis / Round 5</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Team</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Malak Emad Kamal Soltan</w:t>
            </w:r>
          </w:p>
          <w:p>
            <w:pPr>
              <w:spacing w:after="20" w:line="250"/>
            </w:pPr>
            <w:r>
              <w:rPr>
                <w:rFonts w:ascii="Calibri" w:cs="Calibri" w:eastAsia="Calibri" w:hAnsi="Calibri"/>
                <w:sz w:val="19"/>
                <w:szCs w:val="19"/>
              </w:rPr>
              <w:t xml:space="preserve">Romysaa Khalid Abdelmajed Asfour</w:t>
            </w:r>
          </w:p>
          <w:p>
            <w:pPr>
              <w:spacing w:after="20" w:line="250"/>
            </w:pPr>
            <w:r>
              <w:rPr>
                <w:rFonts w:ascii="Calibri" w:cs="Calibri" w:eastAsia="Calibri" w:hAnsi="Calibri"/>
                <w:sz w:val="19"/>
                <w:szCs w:val="19"/>
              </w:rPr>
              <w:t xml:space="preserve">Malak Ibrahim Abdelmomean Mohammed</w:t>
            </w:r>
          </w:p>
          <w:p>
            <w:pPr>
              <w:spacing w:after="20" w:line="250"/>
            </w:pPr>
            <w:r>
              <w:rPr>
                <w:rFonts w:ascii="Calibri" w:cs="Calibri" w:eastAsia="Calibri" w:hAnsi="Calibri"/>
                <w:sz w:val="19"/>
                <w:szCs w:val="19"/>
              </w:rPr>
              <w:t xml:space="preserve">Radwa Essam Eldin Said Hashkeel</w:t>
            </w:r>
          </w:p>
          <w:p>
            <w:pPr>
              <w:spacing w:after="20" w:line="250"/>
            </w:pPr>
            <w:r>
              <w:rPr>
                <w:rFonts w:ascii="Calibri" w:cs="Calibri" w:eastAsia="Calibri" w:hAnsi="Calibri"/>
                <w:sz w:val="19"/>
                <w:szCs w:val="19"/>
              </w:rPr>
              <w:t xml:space="preserve">Israa El Husseini Mohamed Al Afify</w:t>
            </w:r>
          </w:p>
          <w:p>
            <w:pPr>
              <w:spacing w:after="20" w:line="250"/>
            </w:pPr>
            <w:r>
              <w:rPr>
                <w:rFonts w:ascii="Calibri" w:cs="Calibri" w:eastAsia="Calibri" w:hAnsi="Calibri"/>
                <w:sz w:val="19"/>
                <w:szCs w:val="19"/>
              </w:rPr>
              <w:t xml:space="preserve">Maryam Mohammad Ebraheem Eldosoky Hegazy</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Version</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1.0 – Draft for instructor approval</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Date</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October 2026</w:t>
            </w:r>
          </w:p>
        </w:tc>
      </w:tr>
    </w:tbl>
    <w:p>
      <w:r>
        <w:br w:type="page"/>
      </w:r>
    </w:p>
    <w:p>
      <w:pPr>
        <w:pStyle w:val="Heading1"/>
        <w:keepNext/>
      </w:pPr>
      <w:r>
        <w:rPr>
          <w:rFonts w:ascii="Calibri" w:cs="Calibri" w:eastAsia="Calibri" w:hAnsi="Calibri"/>
        </w:rPr>
        <w:t xml:space="preserve">1. Purpose and Scope</w:t>
      </w:r>
    </w:p>
    <w:p>
      <w:pPr>
        <w:spacing w:after="120" w:line="276"/>
      </w:pPr>
      <w:r>
        <w:rPr>
          <w:rFonts w:ascii="Calibri" w:cs="Calibri" w:eastAsia="Calibri" w:hAnsi="Calibri"/>
        </w:rPr>
        <w:t xml:space="preserve">This document defines what the project must deliver before building starts. It follows the requirements gathering process provided by the program: identify stakeholders, plan the approach, elicit needs, document findings, analyse and prioritise, verify and validate, and manage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9D8F" w:sz="24"/>
              <w:bottom w:val="none" w:color="FFFFFF" w:sz="0"/>
              <w:right w:val="none" w:color="FFFFFF" w:sz="0"/>
            </w:tcBorders>
            <w:shd w:fill="EAF5F3" w:color="auto" w:val="clear"/>
            <w:tcMar>
              <w:top w:type="dxa" w:w="100"/>
              <w:left w:type="dxa" w:w="160"/>
              <w:bottom w:type="dxa" w:w="100"/>
              <w:right w:type="dxa" w:w="160"/>
            </w:tcMar>
          </w:tcPr>
          <w:p>
            <w:pPr>
              <w:spacing w:after="40"/>
            </w:pPr>
            <w:r>
              <w:rPr>
                <w:rFonts w:ascii="Calibri" w:cs="Calibri" w:eastAsia="Calibri" w:hAnsi="Calibri"/>
                <w:b/>
                <w:bCs/>
                <w:sz w:val="20"/>
                <w:szCs w:val="20"/>
              </w:rPr>
              <w:t xml:space="preserve">Status:</w:t>
            </w:r>
            <w:r>
              <w:rPr>
                <w:rFonts w:ascii="Calibri" w:cs="Calibri" w:eastAsia="Calibri" w:hAnsi="Calibri"/>
                <w:sz w:val="20"/>
                <w:szCs w:val="20"/>
              </w:rPr>
              <w:t xml:space="preserve"> the requirements below are the initial baseline derived from the program guidelines, the project objectives and the literature review. They will be confirmed with the instructor and the team through the elicitation activities in Section 3 before sign-off.</w:t>
            </w:r>
          </w:p>
        </w:tc>
      </w:tr>
    </w:tbl>
    <w:p>
      <w:pPr>
        <w:pStyle w:val="Heading2"/>
        <w:keepNext/>
      </w:pPr>
      <w:r>
        <w:rPr>
          <w:rFonts w:ascii="Calibri" w:cs="Calibri" w:eastAsia="Calibri" w:hAnsi="Calibri"/>
        </w:rPr>
        <w:t xml:space="preserve">1.1 In scope</w:t>
      </w:r>
    </w:p>
    <w:p>
      <w:pPr>
        <w:pStyle w:val="ListParagraph"/>
        <w:numPr>
          <w:ilvl w:val="0"/>
          <w:numId w:val="2"/>
        </w:numPr>
        <w:spacing w:after="60" w:line="268"/>
      </w:pPr>
      <w:r>
        <w:rPr>
          <w:rFonts w:ascii="Calibri" w:cs="Calibri" w:eastAsia="Calibri" w:hAnsi="Calibri"/>
        </w:rPr>
        <w:t xml:space="preserve">Analysis of the USD/EGP exchange rate (official and parallel) and its drivers, policy events and impact on inflation.</w:t>
      </w:r>
    </w:p>
    <w:p>
      <w:pPr>
        <w:pStyle w:val="ListParagraph"/>
        <w:numPr>
          <w:ilvl w:val="0"/>
          <w:numId w:val="2"/>
        </w:numPr>
        <w:spacing w:after="60" w:line="268"/>
      </w:pPr>
      <w:r>
        <w:rPr>
          <w:rFonts w:ascii="Calibri" w:cs="Calibri" w:eastAsia="Calibri" w:hAnsi="Calibri"/>
        </w:rPr>
        <w:t xml:space="preserve">Data collection from official and documented public sources, cleaning with Python and light analysis with SQL.</w:t>
      </w:r>
    </w:p>
    <w:p>
      <w:pPr>
        <w:pStyle w:val="ListParagraph"/>
        <w:numPr>
          <w:ilvl w:val="0"/>
          <w:numId w:val="2"/>
        </w:numPr>
        <w:spacing w:after="60" w:line="268"/>
      </w:pPr>
      <w:r>
        <w:rPr>
          <w:rFonts w:ascii="Calibri" w:cs="Calibri" w:eastAsia="Calibri" w:hAnsi="Calibri"/>
        </w:rPr>
        <w:t xml:space="preserve">A four-page Power BI dashboard with insights written in plain language.</w:t>
      </w:r>
    </w:p>
    <w:p>
      <w:pPr>
        <w:pStyle w:val="ListParagraph"/>
        <w:numPr>
          <w:ilvl w:val="0"/>
          <w:numId w:val="2"/>
        </w:numPr>
        <w:spacing w:after="60" w:line="268"/>
      </w:pPr>
      <w:r>
        <w:rPr>
          <w:rFonts w:ascii="Calibri" w:cs="Calibri" w:eastAsia="Calibri" w:hAnsi="Calibri"/>
        </w:rPr>
        <w:t xml:space="preserve">Project documentation: proposal, literature review, requirements, analysis and design, test report and final presentation.</w:t>
      </w:r>
    </w:p>
    <w:p>
      <w:pPr>
        <w:pStyle w:val="Heading2"/>
        <w:keepNext/>
      </w:pPr>
      <w:r>
        <w:rPr>
          <w:rFonts w:ascii="Calibri" w:cs="Calibri" w:eastAsia="Calibri" w:hAnsi="Calibri"/>
        </w:rPr>
        <w:t xml:space="preserve">1.2 Out of scope</w:t>
      </w:r>
    </w:p>
    <w:p>
      <w:pPr>
        <w:pStyle w:val="ListParagraph"/>
        <w:numPr>
          <w:ilvl w:val="0"/>
          <w:numId w:val="2"/>
        </w:numPr>
        <w:spacing w:after="60" w:line="268"/>
      </w:pPr>
      <w:r>
        <w:rPr>
          <w:rFonts w:ascii="Calibri" w:cs="Calibri" w:eastAsia="Calibri" w:hAnsi="Calibri"/>
        </w:rPr>
        <w:t xml:space="preserve">Forecasting future exchange rates or machine-learning models.</w:t>
      </w:r>
    </w:p>
    <w:p>
      <w:pPr>
        <w:pStyle w:val="ListParagraph"/>
        <w:numPr>
          <w:ilvl w:val="0"/>
          <w:numId w:val="2"/>
        </w:numPr>
        <w:spacing w:after="60" w:line="268"/>
      </w:pPr>
      <w:r>
        <w:rPr>
          <w:rFonts w:ascii="Calibri" w:cs="Calibri" w:eastAsia="Calibri" w:hAnsi="Calibri"/>
        </w:rPr>
        <w:t xml:space="preserve">Live or automatic data feeds; data is loaded from prepared files.</w:t>
      </w:r>
    </w:p>
    <w:p>
      <w:pPr>
        <w:pStyle w:val="ListParagraph"/>
        <w:numPr>
          <w:ilvl w:val="0"/>
          <w:numId w:val="2"/>
        </w:numPr>
        <w:spacing w:after="60" w:line="268"/>
      </w:pPr>
      <w:r>
        <w:rPr>
          <w:rFonts w:ascii="Calibri" w:cs="Calibri" w:eastAsia="Calibri" w:hAnsi="Calibri"/>
        </w:rPr>
        <w:t xml:space="preserve">Investment, trading or policy recommendations presented as financial advice.</w:t>
      </w:r>
    </w:p>
    <w:p>
      <w:pPr>
        <w:pStyle w:val="Heading1"/>
        <w:keepNext/>
      </w:pPr>
      <w:r>
        <w:rPr>
          <w:rFonts w:ascii="Calibri" w:cs="Calibri" w:eastAsia="Calibri" w:hAnsi="Calibri"/>
        </w:rPr>
        <w:t xml:space="preserve">2. Stakeholder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800"/>
        <w:gridCol w:w="800"/>
        <w:gridCol w:w="2560"/>
      </w:tblGrid>
      <w:tr>
        <w:trPr>
          <w:cantSplit/>
          <w:tblHeader/>
        </w:trPr>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Stakeholder</w:t>
            </w:r>
          </w:p>
        </w:tc>
        <w:tc>
          <w:tcPr>
            <w:tcW w:type="dxa" w:w="15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Role</w:t>
            </w:r>
          </w:p>
        </w:tc>
        <w:tc>
          <w:tcPr>
            <w:tcW w:type="dxa" w:w="2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Main need</w:t>
            </w:r>
          </w:p>
        </w:tc>
        <w:tc>
          <w:tcPr>
            <w:tcW w:type="dxa" w:w="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Influence</w:t>
            </w:r>
          </w:p>
        </w:tc>
        <w:tc>
          <w:tcPr>
            <w:tcW w:type="dxa" w:w="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Interest</w:t>
            </w:r>
          </w:p>
        </w:tc>
        <w:tc>
          <w:tcPr>
            <w:tcW w:type="dxa" w:w="25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Engagement</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Eng. Abdelrahman El-Farsy (instructor)</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Reviews and evaluates the project</w:t>
            </w:r>
          </w:p>
        </w:tc>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Clear scope, correct analysis, complete documentation</w:t>
            </w:r>
          </w:p>
        </w:tc>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2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Manage closely: weekly review and approval of deliverables</w:t>
            </w: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DEPI program administration</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Receives the initial files and final project</w:t>
            </w:r>
          </w:p>
        </w:tc>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Complete, consistent and on-time submissions</w:t>
            </w:r>
          </w:p>
        </w:tc>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2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Keep satisfied: submit documents on schedule</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Project team (6 members)</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Build and document the project</w:t>
            </w:r>
          </w:p>
        </w:tc>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Clear roles, shared understanding of the economics</w:t>
            </w:r>
          </w:p>
        </w:tc>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2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Weekly meetings; shared task tracker</w:t>
            </w: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Dashboard audience (peers, evaluation committee)</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Read the dashboard</w:t>
            </w:r>
          </w:p>
        </w:tc>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Understand the dollar crisis without an economics background</w:t>
            </w:r>
          </w:p>
        </w:tc>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Medium</w:t>
            </w:r>
          </w:p>
        </w:tc>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High</w:t>
            </w:r>
          </w:p>
        </w:tc>
        <w:tc>
          <w:tcPr>
            <w:tcW w:type="dxa" w:w="2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Keep informed: usability test with non-economists</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Data providers (CBE, CAPMAS, World Bank, IMF)</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Source of the data</w:t>
            </w:r>
          </w:p>
        </w:tc>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Correct citation and use of their data</w:t>
            </w:r>
          </w:p>
        </w:tc>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Low</w:t>
            </w:r>
          </w:p>
        </w:tc>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Low</w:t>
            </w:r>
          </w:p>
        </w:tc>
        <w:tc>
          <w:tcPr>
            <w:tcW w:type="dxa" w:w="2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Monitor: cite every source and retrieval date</w:t>
            </w:r>
          </w:p>
        </w:tc>
      </w:tr>
    </w:tbl>
    <w:p>
      <w:pPr>
        <w:spacing w:after="120"/>
      </w:pPr>
    </w:p>
    <w:p>
      <w:pPr>
        <w:pStyle w:val="Heading1"/>
        <w:keepNext/>
      </w:pPr>
      <w:r>
        <w:rPr>
          <w:rFonts w:ascii="Calibri" w:cs="Calibri" w:eastAsia="Calibri" w:hAnsi="Calibri"/>
        </w:rPr>
        <w:t xml:space="preserve">3. Planning the Approach and Elicitation</w:t>
      </w:r>
    </w:p>
    <w:p>
      <w:pPr>
        <w:spacing w:after="120" w:line="276"/>
      </w:pPr>
      <w:r>
        <w:rPr>
          <w:rFonts w:ascii="Calibri" w:cs="Calibri" w:eastAsia="Calibri" w:hAnsi="Calibri"/>
          <w:b/>
          <w:bCs/>
        </w:rPr>
        <w:t xml:space="preserve">Objective:</w:t>
      </w:r>
      <w:r>
        <w:rPr>
          <w:rFonts w:ascii="Calibri" w:cs="Calibri" w:eastAsia="Calibri" w:hAnsi="Calibri"/>
        </w:rPr>
        <w:t xml:space="preserve"> deliver an accurate, understandable analysis of the dollar crisis in four weeks. </w:t>
      </w:r>
      <w:r>
        <w:rPr>
          <w:rFonts w:ascii="Calibri" w:cs="Calibri" w:eastAsia="Calibri" w:hAnsi="Calibri"/>
          <w:b/>
          <w:bCs/>
        </w:rPr>
        <w:t xml:space="preserve">Resources:</w:t>
      </w:r>
      <w:r>
        <w:rPr>
          <w:rFonts w:ascii="Calibri" w:cs="Calibri" w:eastAsia="Calibri" w:hAnsi="Calibri"/>
        </w:rPr>
        <w:t xml:space="preserve"> six team members, public data, Python, SQL Server and Power BI Desktop. </w:t>
      </w:r>
      <w:r>
        <w:rPr>
          <w:rFonts w:ascii="Calibri" w:cs="Calibri" w:eastAsia="Calibri" w:hAnsi="Calibri"/>
          <w:b/>
          <w:bCs/>
        </w:rPr>
        <w:t xml:space="preserve">Timeline:</w:t>
      </w:r>
      <w:r>
        <w:rPr>
          <w:rFonts w:ascii="Calibri" w:cs="Calibri" w:eastAsia="Calibri" w:hAnsi="Calibri"/>
        </w:rPr>
        <w:t xml:space="preserve"> requirements are completed in Week 1 and frozen as a baseline before development starts in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00"/>
        <w:gridCol w:w="1060"/>
      </w:tblGrid>
      <w:tr>
        <w:trPr>
          <w:cantSplit/>
          <w:tblHeader/>
        </w:trPr>
        <w:tc>
          <w:tcPr>
            <w:tcW w:type="dxa" w:w="22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Technique</w:t>
            </w:r>
          </w:p>
        </w:tc>
        <w:tc>
          <w:tcPr>
            <w:tcW w:type="dxa" w:w="22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With whom</w:t>
            </w:r>
          </w:p>
        </w:tc>
        <w:tc>
          <w:tcPr>
            <w:tcW w:type="dxa" w:w="3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Purpose</w:t>
            </w:r>
          </w:p>
        </w:tc>
        <w:tc>
          <w:tcPr>
            <w:tcW w:type="dxa" w:w="10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When</w:t>
            </w:r>
          </w:p>
        </w:tc>
      </w:tr>
      <w:tr>
        <w:trPr>
          <w:cantSplit/>
        </w:trPr>
        <w:tc>
          <w:tcPr>
            <w:tcW w:type="dxa" w:w="2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Instructor review meeting</w:t>
            </w:r>
          </w:p>
        </w:tc>
        <w:tc>
          <w:tcPr>
            <w:tcW w:type="dxa" w:w="2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Instructor</w:t>
            </w:r>
          </w:p>
        </w:tc>
        <w:tc>
          <w:tcPr>
            <w:tcW w:type="dxa" w:w="3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Confirm scope, page count, expected deliverables and grading criteria</w:t>
            </w:r>
          </w:p>
        </w:tc>
        <w:tc>
          <w:tcPr>
            <w:tcW w:type="dxa" w:w="10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 1</w:t>
            </w:r>
          </w:p>
        </w:tc>
      </w:tr>
      <w:tr>
        <w:trPr>
          <w:cantSplit/>
        </w:trPr>
        <w:tc>
          <w:tcPr>
            <w:tcW w:type="dxa" w:w="2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Team workshop</w:t>
            </w:r>
          </w:p>
        </w:tc>
        <w:tc>
          <w:tcPr>
            <w:tcW w:type="dxa" w:w="2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Six team members</w:t>
            </w:r>
          </w:p>
        </w:tc>
        <w:tc>
          <w:tcPr>
            <w:tcW w:type="dxa" w:w="3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Agree indicators, roles and the study period; share the economics glossary</w:t>
            </w:r>
          </w:p>
        </w:tc>
        <w:tc>
          <w:tcPr>
            <w:tcW w:type="dxa" w:w="10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 1</w:t>
            </w:r>
          </w:p>
        </w:tc>
      </w:tr>
      <w:tr>
        <w:trPr>
          <w:cantSplit/>
        </w:trPr>
        <w:tc>
          <w:tcPr>
            <w:tcW w:type="dxa" w:w="2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Short survey</w:t>
            </w:r>
          </w:p>
        </w:tc>
        <w:tc>
          <w:tcPr>
            <w:tcW w:type="dxa" w:w="2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10–15 non-economist peers</w:t>
            </w:r>
          </w:p>
        </w:tc>
        <w:tc>
          <w:tcPr>
            <w:tcW w:type="dxa" w:w="3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Learn which questions about the dollar they want answered and which terms confuse them</w:t>
            </w:r>
          </w:p>
        </w:tc>
        <w:tc>
          <w:tcPr>
            <w:tcW w:type="dxa" w:w="10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 1</w:t>
            </w:r>
          </w:p>
        </w:tc>
      </w:tr>
      <w:tr>
        <w:trPr>
          <w:cantSplit/>
        </w:trPr>
        <w:tc>
          <w:tcPr>
            <w:tcW w:type="dxa" w:w="2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Document and literature analysis</w:t>
            </w:r>
          </w:p>
        </w:tc>
        <w:tc>
          <w:tcPr>
            <w:tcW w:type="dxa" w:w="22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Program guidelines, literature review, official reports</w:t>
            </w:r>
          </w:p>
        </w:tc>
        <w:tc>
          <w:tcPr>
            <w:tcW w:type="dxa" w:w="3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Extract required indicators, definitions and project format</w:t>
            </w:r>
          </w:p>
        </w:tc>
        <w:tc>
          <w:tcPr>
            <w:tcW w:type="dxa" w:w="10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 1</w:t>
            </w:r>
          </w:p>
        </w:tc>
      </w:tr>
      <w:tr>
        <w:trPr>
          <w:cantSplit/>
        </w:trPr>
        <w:tc>
          <w:tcPr>
            <w:tcW w:type="dxa" w:w="2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Wireframe walkthrough</w:t>
            </w:r>
          </w:p>
        </w:tc>
        <w:tc>
          <w:tcPr>
            <w:tcW w:type="dxa" w:w="22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Instructor and team</w:t>
            </w:r>
          </w:p>
        </w:tc>
        <w:tc>
          <w:tcPr>
            <w:tcW w:type="dxa" w:w="3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Validate the dashboard layout before building</w:t>
            </w:r>
          </w:p>
        </w:tc>
        <w:tc>
          <w:tcPr>
            <w:tcW w:type="dxa" w:w="10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Week 3</w:t>
            </w:r>
          </w:p>
        </w:tc>
      </w:tr>
    </w:tbl>
    <w:p>
      <w:pPr>
        <w:spacing w:after="120"/>
      </w:pPr>
    </w:p>
    <w:p>
      <w:pPr>
        <w:pStyle w:val="Heading2"/>
        <w:keepNext/>
      </w:pPr>
      <w:r>
        <w:rPr>
          <w:rFonts w:ascii="Calibri" w:cs="Calibri" w:eastAsia="Calibri" w:hAnsi="Calibri"/>
        </w:rPr>
        <w:t xml:space="preserve">3.1 Planned elicitation questions</w:t>
      </w:r>
    </w:p>
    <w:p>
      <w:pPr>
        <w:pStyle w:val="Heading3"/>
        <w:keepNext/>
      </w:pPr>
      <w:r>
        <w:rPr>
          <w:rFonts w:ascii="Calibri" w:cs="Calibri" w:eastAsia="Calibri" w:hAnsi="Calibri"/>
        </w:rPr>
        <w:t xml:space="preserve">For the instructor</w:t>
      </w:r>
    </w:p>
    <w:p>
      <w:pPr>
        <w:pStyle w:val="ListParagraph"/>
        <w:numPr>
          <w:ilvl w:val="0"/>
          <w:numId w:val="2"/>
        </w:numPr>
        <w:spacing w:after="60" w:line="268"/>
      </w:pPr>
      <w:r>
        <w:rPr>
          <w:rFonts w:ascii="Calibri" w:cs="Calibri" w:eastAsia="Calibri" w:hAnsi="Calibri"/>
        </w:rPr>
        <w:t xml:space="preserve">Is the four-page structure acceptable, and is there a minimum number of visuals per page?</w:t>
      </w:r>
    </w:p>
    <w:p>
      <w:pPr>
        <w:pStyle w:val="ListParagraph"/>
        <w:numPr>
          <w:ilvl w:val="0"/>
          <w:numId w:val="2"/>
        </w:numPr>
        <w:spacing w:after="60" w:line="268"/>
      </w:pPr>
      <w:r>
        <w:rPr>
          <w:rFonts w:ascii="Calibri" w:cs="Calibri" w:eastAsia="Calibri" w:hAnsi="Calibri"/>
        </w:rPr>
        <w:t xml:space="preserve">Which study period should we use?</w:t>
      </w:r>
    </w:p>
    <w:p>
      <w:pPr>
        <w:pStyle w:val="ListParagraph"/>
        <w:numPr>
          <w:ilvl w:val="0"/>
          <w:numId w:val="2"/>
        </w:numPr>
        <w:spacing w:after="60" w:line="268"/>
      </w:pPr>
      <w:r>
        <w:rPr>
          <w:rFonts w:ascii="Calibri" w:cs="Calibri" w:eastAsia="Calibri" w:hAnsi="Calibri"/>
        </w:rPr>
        <w:t xml:space="preserve">Are the SQL queries and Python cleaning expected as separate graded deliverables?</w:t>
      </w:r>
    </w:p>
    <w:p>
      <w:pPr>
        <w:pStyle w:val="ListParagraph"/>
        <w:numPr>
          <w:ilvl w:val="0"/>
          <w:numId w:val="2"/>
        </w:numPr>
        <w:spacing w:after="60" w:line="268"/>
      </w:pPr>
      <w:r>
        <w:rPr>
          <w:rFonts w:ascii="Calibri" w:cs="Calibri" w:eastAsia="Calibri" w:hAnsi="Calibri"/>
        </w:rPr>
        <w:t xml:space="preserve">What are the final grading criteria for the documentation and the dashboard?</w:t>
      </w:r>
    </w:p>
    <w:p>
      <w:pPr>
        <w:pStyle w:val="Heading3"/>
        <w:keepNext/>
      </w:pPr>
      <w:r>
        <w:rPr>
          <w:rFonts w:ascii="Calibri" w:cs="Calibri" w:eastAsia="Calibri" w:hAnsi="Calibri"/>
        </w:rPr>
        <w:t xml:space="preserve">For the survey (non-economists)</w:t>
      </w:r>
    </w:p>
    <w:p>
      <w:pPr>
        <w:pStyle w:val="ListParagraph"/>
        <w:numPr>
          <w:ilvl w:val="0"/>
          <w:numId w:val="2"/>
        </w:numPr>
        <w:spacing w:after="60" w:line="268"/>
      </w:pPr>
      <w:r>
        <w:rPr>
          <w:rFonts w:ascii="Calibri" w:cs="Calibri" w:eastAsia="Calibri" w:hAnsi="Calibri"/>
        </w:rPr>
        <w:t xml:space="preserve">What would you most like to understand about the dollar crisis?</w:t>
      </w:r>
    </w:p>
    <w:p>
      <w:pPr>
        <w:pStyle w:val="ListParagraph"/>
        <w:numPr>
          <w:ilvl w:val="0"/>
          <w:numId w:val="2"/>
        </w:numPr>
        <w:spacing w:after="60" w:line="268"/>
      </w:pPr>
      <w:r>
        <w:rPr>
          <w:rFonts w:ascii="Calibri" w:cs="Calibri" w:eastAsia="Calibri" w:hAnsi="Calibri"/>
        </w:rPr>
        <w:t xml:space="preserve">Which terms (e.g. devaluation, reserves, parallel market) do you find unclear?</w:t>
      </w:r>
    </w:p>
    <w:p>
      <w:pPr>
        <w:pStyle w:val="ListParagraph"/>
        <w:numPr>
          <w:ilvl w:val="0"/>
          <w:numId w:val="2"/>
        </w:numPr>
        <w:spacing w:after="60" w:line="268"/>
      </w:pPr>
      <w:r>
        <w:rPr>
          <w:rFonts w:ascii="Calibri" w:cs="Calibri" w:eastAsia="Calibri" w:hAnsi="Calibri"/>
        </w:rPr>
        <w:t xml:space="preserve">Would you prefer to see prices in pounds, as percentages, or both?</w:t>
      </w:r>
    </w:p>
    <w:p>
      <w:pPr>
        <w:pStyle w:val="Heading1"/>
        <w:keepNext/>
      </w:pPr>
      <w:r>
        <w:rPr>
          <w:rFonts w:ascii="Calibri" w:cs="Calibri" w:eastAsia="Calibri" w:hAnsi="Calibri"/>
        </w:rPr>
        <w:t xml:space="preserve">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700"/>
        <w:gridCol w:w="3160"/>
      </w:tblGrid>
      <w:tr>
        <w:trPr>
          <w:cantSplit/>
          <w:tblHeader/>
        </w:trPr>
        <w:tc>
          <w:tcPr>
            <w:tcW w:type="dxa" w:w="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As a…</w:t>
            </w:r>
          </w:p>
        </w:tc>
        <w:tc>
          <w:tcPr>
            <w:tcW w:type="dxa" w:w="3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 want to…</w:t>
            </w:r>
          </w:p>
        </w:tc>
        <w:tc>
          <w:tcPr>
            <w:tcW w:type="dxa" w:w="31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So that…</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US-01</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Dashboard viewer</w:t>
            </w:r>
          </w:p>
        </w:tc>
        <w:tc>
          <w:tcPr>
            <w:tcW w:type="dxa" w:w="3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see the latest rate, total change and key events on one page</w:t>
            </w:r>
          </w:p>
        </w:tc>
        <w:tc>
          <w:tcPr>
            <w:tcW w:type="dxa" w:w="3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understand the situation quickly</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US-02</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Dashboard viewer</w:t>
            </w:r>
          </w:p>
        </w:tc>
        <w:tc>
          <w:tcPr>
            <w:tcW w:type="dxa" w:w="3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see what drove the pressure on the pound</w:t>
            </w:r>
          </w:p>
        </w:tc>
        <w:tc>
          <w:tcPr>
            <w:tcW w:type="dxa" w:w="3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understand why the dollar became scarce</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US-03</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Dashboard viewer</w:t>
            </w:r>
          </w:p>
        </w:tc>
        <w:tc>
          <w:tcPr>
            <w:tcW w:type="dxa" w:w="3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see how inflation and food prices changed after major events</w:t>
            </w:r>
          </w:p>
        </w:tc>
        <w:tc>
          <w:tcPr>
            <w:tcW w:type="dxa" w:w="3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understand the effect on daily life</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US-04</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Dashboard viewer</w:t>
            </w:r>
          </w:p>
        </w:tc>
        <w:tc>
          <w:tcPr>
            <w:tcW w:type="dxa" w:w="3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compare the official and the parallel rate</w:t>
            </w:r>
          </w:p>
        </w:tc>
        <w:tc>
          <w:tcPr>
            <w:tcW w:type="dxa" w:w="3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see how large the gap was and when it closed</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US-05</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Dashboard viewer</w:t>
            </w:r>
          </w:p>
        </w:tc>
        <w:tc>
          <w:tcPr>
            <w:tcW w:type="dxa" w:w="3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filter by period, event or indicator</w:t>
            </w:r>
          </w:p>
        </w:tc>
        <w:tc>
          <w:tcPr>
            <w:tcW w:type="dxa" w:w="3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can focus on the part I care about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US-06</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Non-economist viewer</w:t>
            </w:r>
          </w:p>
        </w:tc>
        <w:tc>
          <w:tcPr>
            <w:tcW w:type="dxa" w:w="3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read simple explanations of economic terms</w:t>
            </w:r>
          </w:p>
        </w:tc>
        <w:tc>
          <w:tcPr>
            <w:tcW w:type="dxa" w:w="3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can follow the analysis without prior knowledge</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US-07</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Instructor</w:t>
            </w:r>
          </w:p>
        </w:tc>
        <w:tc>
          <w:tcPr>
            <w:tcW w:type="dxa" w:w="3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check where each figure comes from</w:t>
            </w:r>
          </w:p>
        </w:tc>
        <w:tc>
          <w:tcPr>
            <w:tcW w:type="dxa" w:w="3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 can verify the analysis is accurate</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US-08</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Team analyst</w:t>
            </w:r>
          </w:p>
        </w:tc>
        <w:tc>
          <w:tcPr>
            <w:tcW w:type="dxa" w:w="3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re-run the cleaning and load steps with documented scripts</w:t>
            </w:r>
          </w:p>
        </w:tc>
        <w:tc>
          <w:tcPr>
            <w:tcW w:type="dxa" w:w="3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results are reproducible and can be updated</w:t>
            </w:r>
          </w:p>
        </w:tc>
      </w:tr>
    </w:tbl>
    <w:p>
      <w:pPr>
        <w:spacing w:after="120"/>
      </w:pPr>
    </w:p>
    <w:p>
      <w:pPr>
        <w:pStyle w:val="Heading1"/>
        <w:keepNext/>
      </w:pPr>
      <w:r>
        <w:rPr>
          <w:rFonts w:ascii="Calibri" w:cs="Calibri" w:eastAsia="Calibri" w:hAnsi="Calibri"/>
        </w:rPr>
        <w:t xml:space="preserve">5. Functional Requirements</w:t>
      </w:r>
    </w:p>
    <w:p>
      <w:pPr>
        <w:spacing w:after="120" w:line="276"/>
      </w:pPr>
      <w:r>
        <w:rPr>
          <w:rFonts w:ascii="Calibri" w:cs="Calibri" w:eastAsia="Calibri" w:hAnsi="Calibri"/>
        </w:rPr>
        <w:t xml:space="preserve">Priority uses the MoSCoW method: Must, Should, Could, Won’t.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1500"/>
        <w:gridCol w:w="1460"/>
      </w:tblGrid>
      <w:tr>
        <w:trPr>
          <w:cantSplit/>
          <w:tblHeader/>
        </w:trPr>
        <w:tc>
          <w:tcPr>
            <w:tcW w:type="dxa" w:w="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5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Requirement</w:t>
            </w:r>
          </w:p>
        </w:tc>
        <w:tc>
          <w:tcPr>
            <w:tcW w:type="dxa" w:w="15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Linked story</w:t>
            </w:r>
          </w:p>
        </w:tc>
        <w:tc>
          <w:tcPr>
            <w:tcW w:type="dxa" w:w="14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Priority</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FR-01</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dashboard has four pages: Executive Overview, Drivers of the Crisis, Impact on Citizens, Parallel Market &amp; Policy.</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US-01…05</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FR-02</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Overview page shows KPI cards: latest USD/EGP rate, change since the start of the period, peak rate, latest inflation and latest foreign reserves.</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US-01</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FR-03</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Overview page shows the official rate over time with event markers.</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US-01</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FR-04</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Every page includes a short key-takeaways text written in plain language.</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US-06</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FR-05</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Drivers page shows reserves, trade balance, remittances, Suez Canal revenue, tourism revenue, foreign investment and external debt.</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US-02</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FR-06</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Impact page shows headline and food inflation next to the exchange rate.</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US-03</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FR-07</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Impact page shows average inflation before and after each major event.</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US-03</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Should</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FR-08</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Parallel Market page compares the official and parallel rates and shows the premium (%).</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US-04</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FR-09</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Policy section shows the policy interest rate against inflation.</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US-03</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FR-10</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Slicers allow filtering by year range, event and indicator, and work across pages where relevant.</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US-05</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FR-11</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Tooltips or drill-through give more detail for an event or data point.</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US-05</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Should</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FR-12</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Economic terms are explained through tooltips or an information overlay.</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US-06</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Should</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FR-13</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An event table lists dates and short descriptions of major events.</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US-01</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FR-14</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preparation and loading steps are documented and repeatable.</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US-08</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Should</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FR-15</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Every page has a source note listing the data sources used.</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US-07</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Must</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FR-16</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dashboard can be exported as a PDF for submission.</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US-07</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Should</w:t>
            </w:r>
          </w:p>
        </w:tc>
      </w:tr>
      <w:tr>
        <w:trPr>
          <w:cantSplit/>
        </w:trPr>
        <w:tc>
          <w:tcPr>
            <w:tcW w:type="dxa" w:w="8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FR-17</w:t>
            </w:r>
          </w:p>
        </w:tc>
        <w:tc>
          <w:tcPr>
            <w:tcW w:type="dxa" w:w="5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Navigation buttons move between pages.</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US-05</w:t>
            </w:r>
          </w:p>
        </w:tc>
        <w:tc>
          <w:tcPr>
            <w:tcW w:type="dxa" w:w="1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Should</w:t>
            </w:r>
          </w:p>
        </w:tc>
      </w:tr>
      <w:tr>
        <w:trPr>
          <w:cantSplit/>
        </w:trPr>
        <w:tc>
          <w:tcPr>
            <w:tcW w:type="dxa" w:w="8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FR-18</w:t>
            </w:r>
          </w:p>
        </w:tc>
        <w:tc>
          <w:tcPr>
            <w:tcW w:type="dxa" w:w="5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Arabic labels are available for titles and tooltips.</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US-06</w:t>
            </w:r>
          </w:p>
        </w:tc>
        <w:tc>
          <w:tcPr>
            <w:tcW w:type="dxa" w:w="14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Could</w:t>
            </w:r>
          </w:p>
        </w:tc>
      </w:tr>
    </w:tbl>
    <w:p>
      <w:pPr>
        <w:spacing w:after="120"/>
      </w:pPr>
    </w:p>
    <w:p>
      <w:pPr>
        <w:pStyle w:val="Heading2"/>
        <w:keepNext/>
      </w:pPr>
      <w:r>
        <w:rPr>
          <w:rFonts w:ascii="Calibri" w:cs="Calibri" w:eastAsia="Calibri" w:hAnsi="Calibri"/>
        </w:rPr>
        <w:t xml:space="preserve">5.1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83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Requirement</w:t>
            </w:r>
          </w:p>
        </w:tc>
      </w:tr>
      <w:tr>
        <w:trPr>
          <w:cantSplit/>
        </w:trPr>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DR-01</w:t>
            </w:r>
          </w:p>
        </w:tc>
        <w:tc>
          <w:tcPr>
            <w:tcW w:type="dxa" w:w="8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figures come from official sources or documented public sources, with the source name, link and retrieval date recorded.</w:t>
            </w:r>
          </w:p>
        </w:tc>
      </w:tr>
      <w:tr>
        <w:trPr>
          <w:cantSplit/>
        </w:trPr>
        <w:tc>
          <w:tcPr>
            <w:tcW w:type="dxa" w:w="1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DR-02</w:t>
            </w:r>
          </w:p>
        </w:tc>
        <w:tc>
          <w:tcPr>
            <w:tcW w:type="dxa" w:w="83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Cleaned data is validated against the original source figures and the checks are logged.</w:t>
            </w:r>
          </w:p>
        </w:tc>
      </w:tr>
      <w:tr>
        <w:trPr>
          <w:cantSplit/>
        </w:trPr>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DR-03</w:t>
            </w:r>
          </w:p>
        </w:tc>
        <w:tc>
          <w:tcPr>
            <w:tcW w:type="dxa" w:w="8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parallel-market rate is flagged as unofficial, because it is not published by the central bank.</w:t>
            </w:r>
          </w:p>
        </w:tc>
      </w:tr>
      <w:tr>
        <w:trPr>
          <w:cantSplit/>
        </w:trPr>
        <w:tc>
          <w:tcPr>
            <w:tcW w:type="dxa" w:w="1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DR-04</w:t>
            </w:r>
          </w:p>
        </w:tc>
        <w:tc>
          <w:tcPr>
            <w:tcW w:type="dxa" w:w="83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Time frequency is made consistent (monthly where possible; annual indicators are linked by year).</w:t>
            </w:r>
          </w:p>
        </w:tc>
      </w:tr>
      <w:tr>
        <w:trPr>
          <w:cantSplit/>
        </w:trPr>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DR-05</w:t>
            </w:r>
          </w:p>
        </w:tc>
        <w:tc>
          <w:tcPr>
            <w:tcW w:type="dxa" w:w="8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 data dictionary describes every table, column, unit and source.</w:t>
            </w:r>
          </w:p>
        </w:tc>
      </w:tr>
    </w:tbl>
    <w:p>
      <w:pPr>
        <w:spacing w:after="120"/>
      </w:pPr>
    </w:p>
    <w:p>
      <w:pPr>
        <w:pStyle w:val="Heading1"/>
        <w:keepNext/>
      </w:pPr>
      <w:r>
        <w:rPr>
          <w:rFonts w:ascii="Calibri" w:cs="Calibri" w:eastAsia="Calibri" w:hAnsi="Calibri"/>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760"/>
      </w:tblGrid>
      <w:tr>
        <w:trPr>
          <w:cantSplit/>
          <w:tblHeader/>
        </w:trPr>
        <w:tc>
          <w:tcPr>
            <w:tcW w:type="dxa" w:w="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ID</w:t>
            </w:r>
          </w:p>
        </w:tc>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Category</w:t>
            </w:r>
          </w:p>
        </w:tc>
        <w:tc>
          <w:tcPr>
            <w:tcW w:type="dxa" w:w="67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Requirement</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NFR-01</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Accuracy</w:t>
            </w:r>
          </w:p>
        </w:tc>
        <w:tc>
          <w:tcPr>
            <w:tcW w:type="dxa" w:w="6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Every dashboard figure must be traceable to a source and match it after cleaning.</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NFR-02</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Performance</w:t>
            </w:r>
          </w:p>
        </w:tc>
        <w:tc>
          <w:tcPr>
            <w:tcW w:type="dxa" w:w="6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Each report page loads and responds to a slicer change in under 5 seconds on a standard laptop.</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NFR-03</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Usability</w:t>
            </w:r>
          </w:p>
        </w:tc>
        <w:tc>
          <w:tcPr>
            <w:tcW w:type="dxa" w:w="6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 non-economist can answer three basic questions using the dashboard without help (tested with peers).</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NFR-04</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Consistency</w:t>
            </w:r>
          </w:p>
        </w:tc>
        <w:tc>
          <w:tcPr>
            <w:tcW w:type="dxa" w:w="6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One colour theme, one font family and one layout grid across all pages.</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NFR-05</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Accessibility</w:t>
            </w:r>
          </w:p>
        </w:tc>
        <w:tc>
          <w:tcPr>
            <w:tcW w:type="dxa" w:w="6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Sufficient colour contrast, colour choices that remain readable for colour-blind viewers, and minimum text size of 10 pt.</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NFR-06</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Reproducibility</w:t>
            </w:r>
          </w:p>
        </w:tc>
        <w:tc>
          <w:tcPr>
            <w:tcW w:type="dxa" w:w="6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Python and SQL scripts run from start to finish on the raw files and produce the same cleaned data.</w:t>
            </w:r>
          </w:p>
        </w:tc>
      </w:tr>
      <w:tr>
        <w:trPr>
          <w:cantSplit/>
        </w:trPr>
        <w:tc>
          <w:tcPr>
            <w:tcW w:type="dxa" w:w="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NFR-07</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Maintainability</w:t>
            </w:r>
          </w:p>
        </w:tc>
        <w:tc>
          <w:tcPr>
            <w:tcW w:type="dxa" w:w="67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Consistent naming of tables, columns and measures; scripts are commented.</w:t>
            </w:r>
          </w:p>
        </w:tc>
      </w:tr>
      <w:tr>
        <w:trPr>
          <w:cantSplit/>
        </w:trPr>
        <w:tc>
          <w:tcPr>
            <w:tcW w:type="dxa" w:w="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NFR-08</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Legal and ethical</w:t>
            </w:r>
          </w:p>
        </w:tc>
        <w:tc>
          <w:tcPr>
            <w:tcW w:type="dxa" w:w="67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Only public, non-personal data is used; every source is cited.</w:t>
            </w:r>
          </w:p>
        </w:tc>
      </w:tr>
    </w:tbl>
    <w:p>
      <w:pPr>
        <w:spacing w:after="120"/>
      </w:pPr>
    </w:p>
    <w:p>
      <w:pPr>
        <w:pStyle w:val="Heading1"/>
        <w:keepNext/>
      </w:pPr>
      <w:r>
        <w:rPr>
          <w:rFonts w:ascii="Calibri" w:cs="Calibri" w:eastAsia="Calibri" w:hAnsi="Calibri"/>
        </w:rPr>
        <w:t xml:space="preserve">7. Constraints and Assumptions</w:t>
      </w:r>
    </w:p>
    <w:p>
      <w:pPr>
        <w:pStyle w:val="Heading3"/>
        <w:keepNext/>
      </w:pPr>
      <w:r>
        <w:rPr>
          <w:rFonts w:ascii="Calibri" w:cs="Calibri" w:eastAsia="Calibri" w:hAnsi="Calibri"/>
        </w:rPr>
        <w:t xml:space="preserve">Constraints</w:t>
      </w:r>
    </w:p>
    <w:p>
      <w:pPr>
        <w:pStyle w:val="ListParagraph"/>
        <w:numPr>
          <w:ilvl w:val="0"/>
          <w:numId w:val="2"/>
        </w:numPr>
        <w:spacing w:after="60" w:line="268"/>
      </w:pPr>
      <w:r>
        <w:rPr>
          <w:rFonts w:ascii="Calibri" w:cs="Calibri" w:eastAsia="Calibri" w:hAnsi="Calibri"/>
        </w:rPr>
        <w:t xml:space="preserve">Four-week plan with weekly deliverables.</w:t>
      </w:r>
    </w:p>
    <w:p>
      <w:pPr>
        <w:pStyle w:val="ListParagraph"/>
        <w:numPr>
          <w:ilvl w:val="0"/>
          <w:numId w:val="2"/>
        </w:numPr>
        <w:spacing w:after="60" w:line="268"/>
      </w:pPr>
      <w:r>
        <w:rPr>
          <w:rFonts w:ascii="Calibri" w:cs="Calibri" w:eastAsia="Calibri" w:hAnsi="Calibri"/>
        </w:rPr>
        <w:t xml:space="preserve">Tools limited to Python, SQL and Power BI as required by the track.</w:t>
      </w:r>
    </w:p>
    <w:p>
      <w:pPr>
        <w:pStyle w:val="ListParagraph"/>
        <w:numPr>
          <w:ilvl w:val="0"/>
          <w:numId w:val="2"/>
        </w:numPr>
        <w:spacing w:after="60" w:line="268"/>
      </w:pPr>
      <w:r>
        <w:rPr>
          <w:rFonts w:ascii="Calibri" w:cs="Calibri" w:eastAsia="Calibri" w:hAnsi="Calibri"/>
        </w:rPr>
        <w:t xml:space="preserve">Public data only; the parallel-market rate is not an official statistic.</w:t>
      </w:r>
    </w:p>
    <w:p>
      <w:pPr>
        <w:pStyle w:val="ListParagraph"/>
        <w:numPr>
          <w:ilvl w:val="0"/>
          <w:numId w:val="2"/>
        </w:numPr>
        <w:spacing w:after="60" w:line="268"/>
      </w:pPr>
      <w:r>
        <w:rPr>
          <w:rFonts w:ascii="Calibri" w:cs="Calibri" w:eastAsia="Calibri" w:hAnsi="Calibri"/>
        </w:rPr>
        <w:t xml:space="preserve">Indicators come in different frequencies (monthly, quarterly, annual).</w:t>
      </w:r>
    </w:p>
    <w:p>
      <w:pPr>
        <w:pStyle w:val="ListParagraph"/>
        <w:numPr>
          <w:ilvl w:val="0"/>
          <w:numId w:val="2"/>
        </w:numPr>
        <w:spacing w:after="60" w:line="268"/>
      </w:pPr>
      <w:r>
        <w:rPr>
          <w:rFonts w:ascii="Calibri" w:cs="Calibri" w:eastAsia="Calibri" w:hAnsi="Calibri"/>
        </w:rPr>
        <w:t xml:space="preserve">Most team members are not economists, so concepts must be learned first.</w:t>
      </w:r>
    </w:p>
    <w:p>
      <w:pPr>
        <w:pStyle w:val="Heading3"/>
        <w:keepNext/>
      </w:pPr>
      <w:r>
        <w:rPr>
          <w:rFonts w:ascii="Calibri" w:cs="Calibri" w:eastAsia="Calibri" w:hAnsi="Calibri"/>
        </w:rPr>
        <w:t xml:space="preserve">Assumptions</w:t>
      </w:r>
    </w:p>
    <w:p>
      <w:pPr>
        <w:pStyle w:val="ListParagraph"/>
        <w:numPr>
          <w:ilvl w:val="0"/>
          <w:numId w:val="2"/>
        </w:numPr>
        <w:spacing w:after="60" w:line="268"/>
      </w:pPr>
      <w:r>
        <w:rPr>
          <w:rFonts w:ascii="Calibri" w:cs="Calibri" w:eastAsia="Calibri" w:hAnsi="Calibri"/>
        </w:rPr>
        <w:t xml:space="preserve">The study period will be finalised in Week 1 after checking data availability.</w:t>
      </w:r>
    </w:p>
    <w:p>
      <w:pPr>
        <w:pStyle w:val="ListParagraph"/>
        <w:numPr>
          <w:ilvl w:val="0"/>
          <w:numId w:val="2"/>
        </w:numPr>
        <w:spacing w:after="60" w:line="268"/>
      </w:pPr>
      <w:r>
        <w:rPr>
          <w:rFonts w:ascii="Calibri" w:cs="Calibri" w:eastAsia="Calibri" w:hAnsi="Calibri"/>
        </w:rPr>
        <w:t xml:space="preserve">The instructor’s feedback is delivered within the weekly review.</w:t>
      </w:r>
    </w:p>
    <w:p>
      <w:pPr>
        <w:pStyle w:val="ListParagraph"/>
        <w:numPr>
          <w:ilvl w:val="0"/>
          <w:numId w:val="2"/>
        </w:numPr>
        <w:spacing w:after="60" w:line="268"/>
      </w:pPr>
      <w:r>
        <w:rPr>
          <w:rFonts w:ascii="Calibri" w:cs="Calibri" w:eastAsia="Calibri" w:hAnsi="Calibri"/>
        </w:rPr>
        <w:t xml:space="preserve">The final dashboard is submitted as a .pbix file and a PDF export; publishing to the Power BI Service is optional.</w:t>
      </w:r>
    </w:p>
    <w:p>
      <w:pPr>
        <w:pStyle w:val="Heading1"/>
        <w:keepNext/>
      </w:pPr>
      <w:r>
        <w:rPr>
          <w:rFonts w:ascii="Calibri" w:cs="Calibri" w:eastAsia="Calibri" w:hAnsi="Calibri"/>
        </w:rPr>
        <w:t xml:space="preserve">8. Analysis and Prioritisation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Priority</w:t>
            </w:r>
          </w:p>
        </w:tc>
        <w:tc>
          <w:tcPr>
            <w:tcW w:type="dxa" w:w="71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Items</w:t>
            </w:r>
          </w:p>
        </w:tc>
      </w:tr>
      <w:tr>
        <w:trPr>
          <w:cantSplit/>
        </w:trPr>
        <w:tc>
          <w:tcPr>
            <w:tcW w:type="dxa" w:w="2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Must have</w:t>
            </w:r>
          </w:p>
        </w:tc>
        <w:tc>
          <w:tcPr>
            <w:tcW w:type="dxa" w:w="7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FR-01, FR-02, FR-03, FR-04, FR-05, FR-06, FR-08, FR-09, FR-10, FR-13, FR-15; DR-01 to DR-05; NFR-01, NFR-04, NFR-08</w:t>
            </w:r>
          </w:p>
        </w:tc>
      </w:tr>
      <w:tr>
        <w:trPr>
          <w:cantSplit/>
        </w:trPr>
        <w:tc>
          <w:tcPr>
            <w:tcW w:type="dxa" w:w="2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Should have</w:t>
            </w:r>
          </w:p>
        </w:tc>
        <w:tc>
          <w:tcPr>
            <w:tcW w:type="dxa" w:w="7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FR-07, FR-11, FR-12, FR-14, FR-16, FR-17; NFR-02, NFR-03, NFR-05, NFR-06, NFR-07</w:t>
            </w:r>
          </w:p>
        </w:tc>
      </w:tr>
      <w:tr>
        <w:trPr>
          <w:cantSplit/>
        </w:trPr>
        <w:tc>
          <w:tcPr>
            <w:tcW w:type="dxa" w:w="2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Could have</w:t>
            </w:r>
          </w:p>
        </w:tc>
        <w:tc>
          <w:tcPr>
            <w:tcW w:type="dxa" w:w="7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FR-18 (Arabic labels); a simple what-if parameter; mobile layout</w:t>
            </w:r>
          </w:p>
        </w:tc>
      </w:tr>
      <w:tr>
        <w:trPr>
          <w:cantSplit/>
        </w:trPr>
        <w:tc>
          <w:tcPr>
            <w:tcW w:type="dxa" w:w="2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Won’t have (this version)</w:t>
            </w:r>
          </w:p>
        </w:tc>
        <w:tc>
          <w:tcPr>
            <w:tcW w:type="dxa" w:w="7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Forecasting models, live data feeds, financial advice</w:t>
            </w:r>
          </w:p>
        </w:tc>
      </w:tr>
    </w:tbl>
    <w:p>
      <w:pPr>
        <w:spacing w:after="120"/>
      </w:pPr>
    </w:p>
    <w:p>
      <w:pPr>
        <w:spacing w:after="120" w:line="276"/>
      </w:pPr>
      <w:r>
        <w:rPr>
          <w:rFonts w:ascii="Calibri" w:cs="Calibri" w:eastAsia="Calibri" w:hAnsi="Calibri"/>
        </w:rPr>
        <w:t xml:space="preserve">Feasibility check: all Must items use tools and data the team already has access to and fit within the four-week plan. The main risk is the availability and quality of parallel-market data, which is handled in the risk plan of the Project Documentation.</w:t>
      </w:r>
    </w:p>
    <w:p>
      <w:pPr>
        <w:pStyle w:val="Heading1"/>
        <w:keepNext/>
      </w:pPr>
      <w:r>
        <w:rPr>
          <w:rFonts w:ascii="Calibri" w:cs="Calibri" w:eastAsia="Calibri" w:hAnsi="Calibri"/>
        </w:rPr>
        <w:t xml:space="preserve">9. Verification and Validation</w:t>
      </w:r>
    </w:p>
    <w:p>
      <w:pPr>
        <w:pStyle w:val="ListParagraph"/>
        <w:numPr>
          <w:ilvl w:val="0"/>
          <w:numId w:val="2"/>
        </w:numPr>
        <w:spacing w:after="60" w:line="268"/>
      </w:pPr>
      <w:r>
        <w:rPr>
          <w:rFonts w:ascii="Calibri" w:cs="Calibri" w:eastAsia="Calibri" w:hAnsi="Calibri"/>
          <w:b/>
          <w:bCs/>
        </w:rPr>
        <w:t xml:space="preserve">Walkthrough:</w:t>
      </w:r>
      <w:r>
        <w:rPr>
          <w:rFonts w:ascii="Calibri" w:cs="Calibri" w:eastAsia="Calibri" w:hAnsi="Calibri"/>
        </w:rPr>
        <w:t xml:space="preserve"> review this document with the instructor in Week 1 and the wireframes in Week 3.</w:t>
      </w:r>
    </w:p>
    <w:p>
      <w:pPr>
        <w:pStyle w:val="ListParagraph"/>
        <w:numPr>
          <w:ilvl w:val="0"/>
          <w:numId w:val="2"/>
        </w:numPr>
        <w:spacing w:after="60" w:line="268"/>
      </w:pPr>
      <w:r>
        <w:rPr>
          <w:rFonts w:ascii="Calibri" w:cs="Calibri" w:eastAsia="Calibri" w:hAnsi="Calibri"/>
          <w:b/>
          <w:bCs/>
        </w:rPr>
        <w:t xml:space="preserve">Completeness check:</w:t>
      </w:r>
      <w:r>
        <w:rPr>
          <w:rFonts w:ascii="Calibri" w:cs="Calibri" w:eastAsia="Calibri" w:hAnsi="Calibri"/>
        </w:rPr>
        <w:t xml:space="preserve"> each user story maps to at least one functional requirement, and each Must requirement maps to a test case (see the traceability matrix).</w:t>
      </w:r>
    </w:p>
    <w:p>
      <w:pPr>
        <w:pStyle w:val="ListParagraph"/>
        <w:numPr>
          <w:ilvl w:val="0"/>
          <w:numId w:val="2"/>
        </w:numPr>
        <w:spacing w:after="60" w:line="268"/>
      </w:pPr>
      <w:r>
        <w:rPr>
          <w:rFonts w:ascii="Calibri" w:cs="Calibri" w:eastAsia="Calibri" w:hAnsi="Calibri"/>
          <w:b/>
          <w:bCs/>
        </w:rPr>
        <w:t xml:space="preserve">Prototype review:</w:t>
      </w:r>
      <w:r>
        <w:rPr>
          <w:rFonts w:ascii="Calibri" w:cs="Calibri" w:eastAsia="Calibri" w:hAnsi="Calibri"/>
        </w:rPr>
        <w:t xml:space="preserve"> wireframes of the four pages are approved before development.</w:t>
      </w:r>
    </w:p>
    <w:p>
      <w:pPr>
        <w:pStyle w:val="ListParagraph"/>
        <w:numPr>
          <w:ilvl w:val="0"/>
          <w:numId w:val="2"/>
        </w:numPr>
        <w:spacing w:after="60" w:line="268"/>
      </w:pPr>
      <w:r>
        <w:rPr>
          <w:rFonts w:ascii="Calibri" w:cs="Calibri" w:eastAsia="Calibri" w:hAnsi="Calibri"/>
          <w:b/>
          <w:bCs/>
        </w:rPr>
        <w:t xml:space="preserve">Sign-off:</w:t>
      </w:r>
      <w:r>
        <w:rPr>
          <w:rFonts w:ascii="Calibri" w:cs="Calibri" w:eastAsia="Calibri" w:hAnsi="Calibri"/>
        </w:rPr>
        <w:t xml:space="preserve"> the instructor approves the baseline before active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260"/>
        <w:gridCol w:w="1400"/>
        <w:gridCol w:w="1400"/>
      </w:tblGrid>
      <w:tr>
        <w:trPr>
          <w:cantSplit/>
          <w:tblHeader/>
        </w:trPr>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Role</w:t>
            </w:r>
          </w:p>
        </w:tc>
        <w:tc>
          <w:tcPr>
            <w:tcW w:type="dxa" w:w="2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Name</w:t>
            </w:r>
          </w:p>
        </w:tc>
        <w:tc>
          <w:tcPr>
            <w:tcW w:type="dxa" w:w="22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Decision</w:t>
            </w:r>
          </w:p>
        </w:tc>
        <w:tc>
          <w:tcPr>
            <w:tcW w:type="dxa" w:w="14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Date</w:t>
            </w:r>
          </w:p>
        </w:tc>
        <w:tc>
          <w:tcPr>
            <w:tcW w:type="dxa" w:w="14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Signature</w:t>
            </w:r>
          </w:p>
        </w:tc>
      </w:tr>
      <w:tr>
        <w:trPr>
          <w:cantSplit/>
        </w:trPr>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Instructor</w:t>
            </w:r>
          </w:p>
        </w:tc>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Eng. Abdelrahman El-Farsy</w:t>
            </w:r>
          </w:p>
        </w:tc>
        <w:tc>
          <w:tcPr>
            <w:tcW w:type="dxa" w:w="22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Approved / Changes required</w:t>
            </w:r>
          </w:p>
        </w:tc>
        <w:tc>
          <w:tcPr>
            <w:tcW w:type="dxa" w:w="1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c>
          <w:tcPr>
            <w:tcW w:type="dxa" w:w="14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p>
        </w:tc>
      </w:tr>
      <w:tr>
        <w:trPr>
          <w:cantSplit/>
        </w:trPr>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Team lead</w:t>
            </w:r>
          </w:p>
        </w:tc>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p>
        </w:tc>
        <w:tc>
          <w:tcPr>
            <w:tcW w:type="dxa" w:w="22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Approved</w:t>
            </w:r>
          </w:p>
        </w:tc>
        <w:tc>
          <w:tcPr>
            <w:tcW w:type="dxa" w:w="1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p>
        </w:tc>
        <w:tc>
          <w:tcPr>
            <w:tcW w:type="dxa" w:w="14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p>
        </w:tc>
      </w:tr>
    </w:tbl>
    <w:p>
      <w:pPr>
        <w:spacing w:after="120"/>
      </w:pPr>
    </w:p>
    <w:p>
      <w:pPr>
        <w:pStyle w:val="Heading1"/>
        <w:keepNext/>
      </w:pPr>
      <w:r>
        <w:rPr>
          <w:rFonts w:ascii="Calibri" w:cs="Calibri" w:eastAsia="Calibri" w:hAnsi="Calibri"/>
        </w:rPr>
        <w:t xml:space="preserve">10. Change Management</w:t>
      </w:r>
    </w:p>
    <w:p>
      <w:pPr>
        <w:spacing w:after="120" w:line="276"/>
      </w:pPr>
      <w:r>
        <w:rPr>
          <w:rFonts w:ascii="Calibri" w:cs="Calibri" w:eastAsia="Calibri" w:hAnsi="Calibri"/>
        </w:rPr>
        <w:t xml:space="preserve">The requirements in this document are baseline version 1.0. After sign-off any change follows this process:</w:t>
      </w:r>
    </w:p>
    <w:p>
      <w:pPr>
        <w:pStyle w:val="ListParagraph"/>
        <w:numPr>
          <w:ilvl w:val="0"/>
          <w:numId w:val="3"/>
        </w:numPr>
        <w:spacing w:after="60" w:line="268"/>
      </w:pPr>
      <w:r>
        <w:rPr>
          <w:rFonts w:ascii="Calibri" w:cs="Calibri" w:eastAsia="Calibri" w:hAnsi="Calibri"/>
        </w:rPr>
        <w:t xml:space="preserve">Anyone on the team submits a change request describing the change and the reason.</w:t>
      </w:r>
    </w:p>
    <w:p>
      <w:pPr>
        <w:pStyle w:val="ListParagraph"/>
        <w:numPr>
          <w:ilvl w:val="0"/>
          <w:numId w:val="3"/>
        </w:numPr>
        <w:spacing w:after="60" w:line="268"/>
      </w:pPr>
      <w:r>
        <w:rPr>
          <w:rFonts w:ascii="Calibri" w:cs="Calibri" w:eastAsia="Calibri" w:hAnsi="Calibri"/>
        </w:rPr>
        <w:t xml:space="preserve">The team lead assesses the impact on scope, schedule and other requirements.</w:t>
      </w:r>
    </w:p>
    <w:p>
      <w:pPr>
        <w:pStyle w:val="ListParagraph"/>
        <w:numPr>
          <w:ilvl w:val="0"/>
          <w:numId w:val="3"/>
        </w:numPr>
        <w:spacing w:after="60" w:line="268"/>
      </w:pPr>
      <w:r>
        <w:rPr>
          <w:rFonts w:ascii="Calibri" w:cs="Calibri" w:eastAsia="Calibri" w:hAnsi="Calibri"/>
        </w:rPr>
        <w:t xml:space="preserve">The instructor approves or rejects the change.</w:t>
      </w:r>
    </w:p>
    <w:p>
      <w:pPr>
        <w:pStyle w:val="ListParagraph"/>
        <w:numPr>
          <w:ilvl w:val="0"/>
          <w:numId w:val="3"/>
        </w:numPr>
        <w:spacing w:after="60" w:line="268"/>
      </w:pPr>
      <w:r>
        <w:rPr>
          <w:rFonts w:ascii="Calibri" w:cs="Calibri" w:eastAsia="Calibri" w:hAnsi="Calibri"/>
        </w:rPr>
        <w:t xml:space="preserve">Approved changes are added to the change log and the baseline version number is increased.</w:t>
      </w:r>
    </w:p>
    <w:p>
      <w:pPr>
        <w:pStyle w:val="Heading2"/>
        <w:keepNext/>
      </w:pPr>
      <w:r>
        <w:rPr>
          <w:rFonts w:ascii="Calibri" w:cs="Calibri" w:eastAsia="Calibri" w:hAnsi="Calibri"/>
        </w:rPr>
        <w:t xml:space="preserve">10.1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3560"/>
        <w:gridCol w:w="1500"/>
      </w:tblGrid>
      <w:tr>
        <w:trPr>
          <w:cantSplit/>
          <w:tblHeader/>
        </w:trPr>
        <w:tc>
          <w:tcPr>
            <w:tcW w:type="dxa" w:w="2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Requirement</w:t>
            </w:r>
          </w:p>
        </w:tc>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Dashboard page</w:t>
            </w:r>
          </w:p>
        </w:tc>
        <w:tc>
          <w:tcPr>
            <w:tcW w:type="dxa" w:w="35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Supporting artifact</w:t>
            </w:r>
          </w:p>
        </w:tc>
        <w:tc>
          <w:tcPr>
            <w:tcW w:type="dxa" w:w="15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Test case</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FR-01, FR-17</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pages</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Power BI report</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TC-01</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FR-02, DR-02</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Page 1</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DAX measures; validation log</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TC-02</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FR-03, FR-13</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Page 1</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dim_event; fact_exchange_rate</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TC-03</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FR-05</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Page 2</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fact_external_sector; fact_annual_macro</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TC-04</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FR-06, FR-07</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Page 3</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fact_inflation; SQL before/after query</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TC-05</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FR-08, DR-03</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Page 4</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fact_exchange_rate (premium)</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TC-06</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FR-09</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Page 4</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fact_policy_rate</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TC-07</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FR-10</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pages</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Slicers; data model relationships</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TC-08</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FR-11, FR-12, FR-04</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pages</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Tooltips; text boxes</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TC-09</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FR-15</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pages</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Source notes; data dictionary</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TC-10</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NFR-02</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pages</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Performance check</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TC-11</w:t>
            </w:r>
          </w:p>
        </w:tc>
      </w:tr>
      <w:tr>
        <w:trPr>
          <w:cantSplit/>
        </w:trPr>
        <w:tc>
          <w:tcPr>
            <w:tcW w:type="dxa" w:w="26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FR-14, DR-04, DR-05, NFR-06</w:t>
            </w:r>
          </w:p>
        </w:tc>
        <w:tc>
          <w:tcPr>
            <w:tcW w:type="dxa" w:w="17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Data layer</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Python notebook; SQL scripts</w:t>
            </w:r>
          </w:p>
        </w:tc>
        <w:tc>
          <w:tcPr>
            <w:tcW w:type="dxa" w:w="15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TC-12</w:t>
            </w:r>
          </w:p>
        </w:tc>
      </w:tr>
      <w:tr>
        <w:trPr>
          <w:cantSplit/>
        </w:trPr>
        <w:tc>
          <w:tcPr>
            <w:tcW w:type="dxa" w:w="2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FR-16</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All pages</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PDF export</w:t>
            </w:r>
          </w:p>
        </w:tc>
        <w:tc>
          <w:tcPr>
            <w:tcW w:type="dxa" w:w="15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TC-13</w:t>
            </w:r>
          </w:p>
        </w:tc>
      </w:tr>
    </w:tbl>
    <w:p>
      <w:pPr>
        <w:spacing w:after="120"/>
      </w:pPr>
    </w:p>
    <w:p>
      <w:pPr>
        <w:pStyle w:val="Heading2"/>
        <w:keepNext/>
      </w:pPr>
      <w:r>
        <w:rPr>
          <w:rFonts w:ascii="Calibri" w:cs="Calibri" w:eastAsia="Calibri" w:hAnsi="Calibri"/>
        </w:rPr>
        <w:t xml:space="preserve">10.2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460"/>
        <w:gridCol w:w="1600"/>
        <w:gridCol w:w="1600"/>
      </w:tblGrid>
      <w:tr>
        <w:trPr>
          <w:cantSplit/>
          <w:tblHeader/>
        </w:trPr>
        <w:tc>
          <w:tcPr>
            <w:tcW w:type="dxa" w:w="1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Version</w:t>
            </w:r>
          </w:p>
        </w:tc>
        <w:tc>
          <w:tcPr>
            <w:tcW w:type="dxa" w:w="1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Date</w:t>
            </w:r>
          </w:p>
        </w:tc>
        <w:tc>
          <w:tcPr>
            <w:tcW w:type="dxa" w:w="34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Change</w:t>
            </w:r>
          </w:p>
        </w:tc>
        <w:tc>
          <w:tcPr>
            <w:tcW w:type="dxa" w:w="1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Requested by</w:t>
            </w:r>
          </w:p>
        </w:tc>
        <w:tc>
          <w:tcPr>
            <w:tcW w:type="dxa" w:w="16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Approved by</w:t>
            </w:r>
          </w:p>
        </w:tc>
      </w:tr>
      <w:tr>
        <w:trPr>
          <w:cantSplit/>
        </w:trPr>
        <w:tc>
          <w:tcPr>
            <w:tcW w:type="dxa" w:w="1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1.0</w:t>
            </w:r>
          </w:p>
        </w:tc>
        <w:tc>
          <w:tcPr>
            <w:tcW w:type="dxa" w:w="17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October 2026</w:t>
            </w:r>
          </w:p>
        </w:tc>
        <w:tc>
          <w:tcPr>
            <w:tcW w:type="dxa" w:w="34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Initial baseline</w:t>
            </w:r>
          </w:p>
        </w:tc>
        <w:tc>
          <w:tcPr>
            <w:tcW w:type="dxa" w:w="1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Team</w:t>
            </w:r>
          </w:p>
        </w:tc>
        <w:tc>
          <w:tcPr>
            <w:tcW w:type="dxa" w:w="16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Pending instructor approval</w:t>
            </w:r>
          </w:p>
        </w:tc>
      </w:tr>
    </w:tbl>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7C3" w:sz="4" w:space="4"/>
      </w:pBdr>
      <w:jc w:val="right"/>
    </w:pPr>
    <w:r>
      <w:rPr>
        <w:rFonts w:ascii="Calibri" w:cs="Calibri" w:eastAsia="Calibri" w:hAnsi="Calibri"/>
        <w:color w:val="666666"/>
        <w:sz w:val="17"/>
        <w:szCs w:val="17"/>
      </w:rPr>
      <w:t xml:space="preserve">DEPI – Data Analysis | Round 5  ·  Requirements Gathering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Gathering – Dollar Crisis Analysis Project</dc:title>
  <dc:creator>DEPI Data Analysis Team – Round 5</dc:creator>
  <cp:lastModifiedBy>Un-named</cp:lastModifiedBy>
  <cp:revision>1</cp:revision>
  <dcterms:created xsi:type="dcterms:W3CDTF">2026-10-28T09:23:14.955Z</dcterms:created>
  <dcterms:modified xsi:type="dcterms:W3CDTF">2026-10-28T09:23:14.955Z</dcterms:modified>
</cp:coreProperties>
</file>

<file path=docProps/custom.xml><?xml version="1.0" encoding="utf-8"?>
<Properties xmlns="http://schemas.openxmlformats.org/officeDocument/2006/custom-properties" xmlns:vt="http://schemas.openxmlformats.org/officeDocument/2006/docPropsVTypes"/>
</file>