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2A9D8F"/>
          <w:sz w:val="26"/>
          <w:szCs w:val="26"/>
        </w:rPr>
        <w:t xml:space="preserve">Digital Egypt Pioneers Initiative (DEPI)</w:t>
      </w:r>
    </w:p>
    <w:p>
      <w:pPr>
        <w:spacing w:after="600"/>
      </w:pPr>
      <w:r>
        <w:rPr>
          <w:rFonts w:ascii="Calibri" w:cs="Calibri" w:eastAsia="Calibri" w:hAnsi="Calibri"/>
          <w:color w:val="555555"/>
          <w:sz w:val="24"/>
          <w:szCs w:val="24"/>
        </w:rPr>
        <w:t xml:space="preserve">Data Analysis Track  |  Round 5  |  Graduation Project</w:t>
      </w:r>
    </w:p>
    <w:p>
      <w:pPr>
        <w:pBdr>
          <w:bottom w:val="single" w:color="1F3A5F" w:sz="12" w:space="8"/>
        </w:pBdr>
        <w:spacing w:after="120"/>
      </w:pPr>
      <w:r>
        <w:rPr>
          <w:rFonts w:ascii="Calibri" w:cs="Calibri" w:eastAsia="Calibri" w:hAnsi="Calibri"/>
          <w:b/>
          <w:bCs/>
          <w:color w:val="1F3A5F"/>
          <w:sz w:val="60"/>
          <w:szCs w:val="60"/>
        </w:rPr>
        <w:t xml:space="preserve">Project Documentation</w:t>
      </w:r>
    </w:p>
    <w:p>
      <w:pPr>
        <w:spacing w:after="200" w:before="200"/>
      </w:pPr>
      <w:r>
        <w:rPr>
          <w:rFonts w:ascii="Calibri" w:cs="Calibri" w:eastAsia="Calibri" w:hAnsi="Calibri"/>
          <w:color w:val="333333"/>
          <w:sz w:val="28"/>
          <w:szCs w:val="28"/>
        </w:rPr>
        <w:t xml:space="preserve">System Analysis and Design</w:t>
      </w:r>
    </w:p>
    <w:p>
      <w:pPr>
        <w:spacing w:after="700"/>
      </w:pPr>
      <w:r>
        <w:rPr>
          <w:rFonts w:ascii="Calibri" w:cs="Calibri" w:eastAsia="Calibri" w:hAnsi="Calibri"/>
          <w:i/>
          <w:iCs/>
          <w:color w:val="333333"/>
          <w:sz w:val="24"/>
          <w:szCs w:val="24"/>
        </w:rPr>
        <w:t xml:space="preserve">Project: Dollar Crisis Analysis Project – The Egyptian Pound’s Journey Against the US Dollar: Causes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Instructor</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Eng. Abdelrahman El-Farsy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Track / Round</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Data Analysis / Round 5</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Team</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Malak Emad Kamal Soltan</w:t>
            </w:r>
          </w:p>
          <w:p>
            <w:pPr>
              <w:spacing w:after="20" w:line="250"/>
            </w:pPr>
            <w:r>
              <w:rPr>
                <w:rFonts w:ascii="Calibri" w:cs="Calibri" w:eastAsia="Calibri" w:hAnsi="Calibri"/>
                <w:sz w:val="19"/>
                <w:szCs w:val="19"/>
              </w:rPr>
              <w:t xml:space="preserve">Romysaa Khalid Abdelmajed Asfour</w:t>
            </w:r>
          </w:p>
          <w:p>
            <w:pPr>
              <w:spacing w:after="20" w:line="250"/>
            </w:pPr>
            <w:r>
              <w:rPr>
                <w:rFonts w:ascii="Calibri" w:cs="Calibri" w:eastAsia="Calibri" w:hAnsi="Calibri"/>
                <w:sz w:val="19"/>
                <w:szCs w:val="19"/>
              </w:rPr>
              <w:t xml:space="preserve">Malak Ibrahim Abdelmomean Mohammed</w:t>
            </w:r>
          </w:p>
          <w:p>
            <w:pPr>
              <w:spacing w:after="20" w:line="250"/>
            </w:pPr>
            <w:r>
              <w:rPr>
                <w:rFonts w:ascii="Calibri" w:cs="Calibri" w:eastAsia="Calibri" w:hAnsi="Calibri"/>
                <w:sz w:val="19"/>
                <w:szCs w:val="19"/>
              </w:rPr>
              <w:t xml:space="preserve">Radwa Essam Eldin Said Hashkeel</w:t>
            </w:r>
          </w:p>
          <w:p>
            <w:pPr>
              <w:spacing w:after="20" w:line="250"/>
            </w:pPr>
            <w:r>
              <w:rPr>
                <w:rFonts w:ascii="Calibri" w:cs="Calibri" w:eastAsia="Calibri" w:hAnsi="Calibri"/>
                <w:sz w:val="19"/>
                <w:szCs w:val="19"/>
              </w:rPr>
              <w:t xml:space="preserve">Israa El Husseini Mohamed Al Afify</w:t>
            </w:r>
          </w:p>
          <w:p>
            <w:pPr>
              <w:spacing w:after="20" w:line="250"/>
            </w:pPr>
            <w:r>
              <w:rPr>
                <w:rFonts w:ascii="Calibri" w:cs="Calibri" w:eastAsia="Calibri" w:hAnsi="Calibri"/>
                <w:sz w:val="19"/>
                <w:szCs w:val="19"/>
              </w:rPr>
              <w:t xml:space="preserve">Maryam Mohammad Ebraheem Eldosoky Hegazy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Version</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1.0 – Draft for instructor review</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Date</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October 2026</w:t>
            </w:r>
          </w:p>
        </w:tc>
      </w:tr>
    </w:tbl>
    <w:p>
      <w:r>
        <w:br w:type="page"/>
      </w:r>
    </w:p>
    <w:p>
      <w:pPr>
        <w:pStyle w:val="Heading1"/>
        <w:keepNext/>
      </w:pPr>
      <w:r>
        <w:rPr>
          <w:rFonts w:ascii="Calibri" w:cs="Calibri" w:eastAsia="Calibri" w:hAnsi="Calibri"/>
        </w:rPr>
        <w:t xml:space="preserve">1. Introduction</w:t>
      </w:r>
    </w:p>
    <w:p>
      <w:pPr>
        <w:spacing w:after="120" w:line="276"/>
      </w:pPr>
      <w:r>
        <w:rPr>
          <w:rFonts w:ascii="Calibri" w:cs="Calibri" w:eastAsia="Calibri" w:hAnsi="Calibri"/>
        </w:rPr>
        <w:t xml:space="preserve">This document describes the analysis and design of the Dollar Crisis Analysis Project before implementation. The program’s documentation guidelines are written for software projects, so each item is adapted to a data analysis project. Items that do not apply to a business-intelligence project are listed with the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Guideline item</w:t>
            </w:r>
          </w:p>
        </w:tc>
        <w:tc>
          <w:tcPr>
            <w:tcW w:type="dxa" w:w="5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Treatment in this project</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Problem statement and objectives</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2</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Use case diagram and descriptions</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3</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Functional and non-functional requirements</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Summarised in Section 4; full list in the Requirements Gathering document</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Software architecture</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5: data pipeline architecture (sources → Python → SQL → Power BI)</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Database design: ERD, logical and physical schema</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6: star schema</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DFD and system behaviour</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7: DFD Level 0 and Level 1 and the analysis workflow</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Sequence, state and class diagrams</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Not applicable: the project has no application code or objects with behaviour. Replaced by the DFDs and the workflow in Section 7</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UI/UX design: wireframes and guidelines</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9</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Technology stack, deployment and component diagrams</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10; the architecture diagram serves as the component diagram</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API documentation</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Not applicable: no API is built</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Testing and validation</w:t>
            </w:r>
          </w:p>
        </w:tc>
        <w:tc>
          <w:tcPr>
            <w:tcW w:type="dxa" w:w="5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11</w:t>
            </w:r>
          </w:p>
        </w:tc>
      </w:tr>
      <w:tr>
        <w:trPr>
          <w:cantSplit/>
        </w:trPr>
        <w:tc>
          <w:tcPr>
            <w:tcW w:type="dxa" w:w="3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Project planning, risks and KPIs</w:t>
            </w:r>
          </w:p>
        </w:tc>
        <w:tc>
          <w:tcPr>
            <w:tcW w:type="dxa" w:w="5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Section 12</w:t>
            </w:r>
          </w:p>
        </w:tc>
      </w:tr>
    </w:tbl>
    <w:p>
      <w:pPr>
        <w:spacing w:after="120"/>
      </w:pPr>
    </w:p>
    <w:p>
      <w:pPr>
        <w:pStyle w:val="Heading1"/>
        <w:keepNext/>
      </w:pPr>
      <w:r>
        <w:rPr>
          <w:rFonts w:ascii="Calibri" w:cs="Calibri" w:eastAsia="Calibri" w:hAnsi="Calibri"/>
        </w:rPr>
        <w:t xml:space="preserve">2. Problem Statement and Objectives</w:t>
      </w:r>
    </w:p>
    <w:p>
      <w:pPr>
        <w:pStyle w:val="Heading2"/>
        <w:keepNext/>
      </w:pPr>
      <w:r>
        <w:rPr>
          <w:rFonts w:ascii="Calibri" w:cs="Calibri" w:eastAsia="Calibri" w:hAnsi="Calibri"/>
        </w:rPr>
        <w:t xml:space="preserve">2.1 Problem statement</w:t>
      </w:r>
    </w:p>
    <w:p>
      <w:pPr>
        <w:spacing w:after="120" w:line="276"/>
      </w:pPr>
      <w:r>
        <w:rPr>
          <w:rFonts w:ascii="Calibri" w:cs="Calibri" w:eastAsia="Calibri" w:hAnsi="Calibri"/>
        </w:rPr>
        <w:t xml:space="preserve">The shortage and rising price of the US dollar in Egypt affected the exchange rate, prices and daily life, but the information is scattered across reports and news articles, written in technical language, and hard to connect. People without an economics background find it difficult to see what drove the crisis, how the official and parallel markets differed, and how it affected prices.</w:t>
      </w:r>
    </w:p>
    <w:p>
      <w:pPr>
        <w:pStyle w:val="Heading2"/>
        <w:keepNext/>
      </w:pPr>
      <w:r>
        <w:rPr>
          <w:rFonts w:ascii="Calibri" w:cs="Calibri" w:eastAsia="Calibri" w:hAnsi="Calibri"/>
        </w:rPr>
        <w:t xml:space="preserve">2.2 Objectives</w:t>
      </w:r>
    </w:p>
    <w:p>
      <w:pPr>
        <w:pStyle w:val="ListParagraph"/>
        <w:numPr>
          <w:ilvl w:val="0"/>
          <w:numId w:val="2"/>
        </w:numPr>
        <w:spacing w:after="60" w:line="268"/>
      </w:pPr>
      <w:r>
        <w:rPr>
          <w:rFonts w:ascii="Calibri" w:cs="Calibri" w:eastAsia="Calibri" w:hAnsi="Calibri"/>
        </w:rPr>
        <w:t xml:space="preserve">Collect and organise public data on the exchange rate, its drivers, policy decisions and inflation.</w:t>
      </w:r>
    </w:p>
    <w:p>
      <w:pPr>
        <w:pStyle w:val="ListParagraph"/>
        <w:numPr>
          <w:ilvl w:val="0"/>
          <w:numId w:val="2"/>
        </w:numPr>
        <w:spacing w:after="60" w:line="268"/>
      </w:pPr>
      <w:r>
        <w:rPr>
          <w:rFonts w:ascii="Calibri" w:cs="Calibri" w:eastAsia="Calibri" w:hAnsi="Calibri"/>
        </w:rPr>
        <w:t xml:space="preserve">Clean and validate the data so that every figure is traceable to its source.</w:t>
      </w:r>
    </w:p>
    <w:p>
      <w:pPr>
        <w:pStyle w:val="ListParagraph"/>
        <w:numPr>
          <w:ilvl w:val="0"/>
          <w:numId w:val="2"/>
        </w:numPr>
        <w:spacing w:after="60" w:line="268"/>
      </w:pPr>
      <w:r>
        <w:rPr>
          <w:rFonts w:ascii="Calibri" w:cs="Calibri" w:eastAsia="Calibri" w:hAnsi="Calibri"/>
        </w:rPr>
        <w:t xml:space="preserve">Answer the guiding questions with light SQL analysis.</w:t>
      </w:r>
    </w:p>
    <w:p>
      <w:pPr>
        <w:pStyle w:val="ListParagraph"/>
        <w:numPr>
          <w:ilvl w:val="0"/>
          <w:numId w:val="2"/>
        </w:numPr>
        <w:spacing w:after="60" w:line="268"/>
      </w:pPr>
      <w:r>
        <w:rPr>
          <w:rFonts w:ascii="Calibri" w:cs="Calibri" w:eastAsia="Calibri" w:hAnsi="Calibri"/>
        </w:rPr>
        <w:t xml:space="preserve">Present the results in a four-page Power BI dashboard with plain-language insights.</w:t>
      </w:r>
    </w:p>
    <w:p>
      <w:pPr>
        <w:pStyle w:val="ListParagraph"/>
        <w:numPr>
          <w:ilvl w:val="0"/>
          <w:numId w:val="2"/>
        </w:numPr>
        <w:spacing w:after="60" w:line="268"/>
      </w:pPr>
      <w:r>
        <w:rPr>
          <w:rFonts w:ascii="Calibri" w:cs="Calibri" w:eastAsia="Calibri" w:hAnsi="Calibri"/>
        </w:rPr>
        <w:t xml:space="preserve">Document the project so that the work can be reviewed and reproduced.</w:t>
      </w:r>
    </w:p>
    <w:p>
      <w:pPr>
        <w:pStyle w:val="Heading2"/>
        <w:keepNext/>
      </w:pPr>
      <w:r>
        <w:rPr>
          <w:rFonts w:ascii="Calibri" w:cs="Calibri" w:eastAsia="Calibri" w:hAnsi="Calibri"/>
        </w:rPr>
        <w:t xml:space="preserve">2.3 Guiding questions</w:t>
      </w:r>
    </w:p>
    <w:p>
      <w:pPr>
        <w:pStyle w:val="ListParagraph"/>
        <w:numPr>
          <w:ilvl w:val="0"/>
          <w:numId w:val="3"/>
        </w:numPr>
        <w:spacing w:after="60" w:line="268"/>
      </w:pPr>
      <w:r>
        <w:rPr>
          <w:rFonts w:ascii="Calibri" w:cs="Calibri" w:eastAsia="Calibri" w:hAnsi="Calibri"/>
        </w:rPr>
        <w:t xml:space="preserve">How did the official exchange rate move, and what were the turning points?</w:t>
      </w:r>
    </w:p>
    <w:p>
      <w:pPr>
        <w:pStyle w:val="ListParagraph"/>
        <w:numPr>
          <w:ilvl w:val="0"/>
          <w:numId w:val="3"/>
        </w:numPr>
        <w:spacing w:after="60" w:line="268"/>
      </w:pPr>
      <w:r>
        <w:rPr>
          <w:rFonts w:ascii="Calibri" w:cs="Calibri" w:eastAsia="Calibri" w:hAnsi="Calibri"/>
        </w:rPr>
        <w:t xml:space="preserve">How large was the gap between the official and parallel rates?</w:t>
      </w:r>
    </w:p>
    <w:p>
      <w:pPr>
        <w:pStyle w:val="ListParagraph"/>
        <w:numPr>
          <w:ilvl w:val="0"/>
          <w:numId w:val="3"/>
        </w:numPr>
        <w:spacing w:after="60" w:line="268"/>
      </w:pPr>
      <w:r>
        <w:rPr>
          <w:rFonts w:ascii="Calibri" w:cs="Calibri" w:eastAsia="Calibri" w:hAnsi="Calibri"/>
        </w:rPr>
        <w:t xml:space="preserve">Which dollar-supply and dollar-demand indicators moved with the exchange rate?</w:t>
      </w:r>
    </w:p>
    <w:p>
      <w:pPr>
        <w:pStyle w:val="ListParagraph"/>
        <w:numPr>
          <w:ilvl w:val="0"/>
          <w:numId w:val="3"/>
        </w:numPr>
        <w:spacing w:after="60" w:line="268"/>
      </w:pPr>
      <w:r>
        <w:rPr>
          <w:rFonts w:ascii="Calibri" w:cs="Calibri" w:eastAsia="Calibri" w:hAnsi="Calibri"/>
        </w:rPr>
        <w:t xml:space="preserve">How did inflation and food inflation behave before and after major events?</w:t>
      </w:r>
    </w:p>
    <w:p>
      <w:pPr>
        <w:pStyle w:val="ListParagraph"/>
        <w:numPr>
          <w:ilvl w:val="0"/>
          <w:numId w:val="3"/>
        </w:numPr>
        <w:spacing w:after="60" w:line="268"/>
      </w:pPr>
      <w:r>
        <w:rPr>
          <w:rFonts w:ascii="Calibri" w:cs="Calibri" w:eastAsia="Calibri" w:hAnsi="Calibri"/>
        </w:rPr>
        <w:t xml:space="preserve">How did interest-rate decisions line up with inflation and the exchange rate?</w:t>
      </w:r>
    </w:p>
    <w:p>
      <w:pPr>
        <w:pStyle w:val="Heading1"/>
        <w:keepNext/>
      </w:pPr>
      <w:r>
        <w:rPr>
          <w:rFonts w:ascii="Calibri" w:cs="Calibri" w:eastAsia="Calibri" w:hAnsi="Calibri"/>
        </w:rPr>
        <w:t xml:space="preserve">3. Use Case Diagram and Descriptions</w:t>
      </w:r>
    </w:p>
    <w:p>
      <w:pPr>
        <w:keepNext/>
        <w:spacing w:after="60" w:before="80"/>
        <w:jc w:val="center"/>
      </w:pPr>
      <w:r>
        <w:drawing>
          <wp:inline distT="0" distB="0" distL="0" distR="0">
            <wp:extent cx="4953000" cy="2809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098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Item</w:t>
            </w:r>
          </w:p>
        </w:tc>
        <w:tc>
          <w:tcPr>
            <w:tcW w:type="dxa" w:w="74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UC-01: Explore the dashboard</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Actor</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Viewer (peer, instructor, evaluation committee)</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Goal</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Understand the dollar crisis through the dashboard</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Precondition</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Power BI report is open with data loaded</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Main flow</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1) Open Page 1 and read the KPIs. 2) Select a period or event with a slicer. 3) Move to the Drivers, Impact or Parallel &amp; Policy page. 4) Hover over a visual or term for an explanation. 5) Read the key takeaways text</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Result</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viewer can describe what happened, why, and how it affected prices</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Alternative flow</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If a slicer selection returns no data, the visuals display an empty-state message and the viewer resets the filters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Item</w:t>
            </w:r>
          </w:p>
        </w:tc>
        <w:tc>
          <w:tcPr>
            <w:tcW w:type="dxa" w:w="74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UC-02: Update data and refresh the model</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Actor</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Analyst (team member)</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Goal</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Add or correct data and refresh the report</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Precondition</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Raw files and scripts are available on GitHub</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Main flow</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1) Download or replace the raw file. 2) Run the Python cleaning notebook. 3) Load the cleaned files into SQL Server. 4) Refresh the Power BI model. 5) Run the validation checks and update the log</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Result</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dashboard reflects the updated data, with a validation log entry</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Alternative flow</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If a validation check fails, the analyst corrects the cleaning step or the source file and repeats the run</w:t>
            </w:r>
          </w:p>
        </w:tc>
      </w:tr>
    </w:tbl>
    <w:p>
      <w:pPr>
        <w:spacing w:after="120"/>
      </w:pPr>
    </w:p>
    <w:p>
      <w:pPr>
        <w:pStyle w:val="Heading1"/>
        <w:keepNext/>
      </w:pPr>
      <w:r>
        <w:rPr>
          <w:rFonts w:ascii="Calibri" w:cs="Calibri" w:eastAsia="Calibri" w:hAnsi="Calibri"/>
        </w:rPr>
        <w:t xml:space="preserve">4. Requirements Summary</w:t>
      </w:r>
    </w:p>
    <w:p>
      <w:pPr>
        <w:spacing w:after="120" w:line="276"/>
      </w:pPr>
      <w:r>
        <w:rPr>
          <w:rFonts w:ascii="Calibri" w:cs="Calibri" w:eastAsia="Calibri" w:hAnsi="Calibri"/>
        </w:rPr>
        <w:t xml:space="preserve">The complete list with priorities and traceability is in the Requirements Gathering document. The key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cantSplit/>
          <w:tblHeader/>
        </w:trPr>
        <w:tc>
          <w:tcPr>
            <w:tcW w:type="dxa" w:w="2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Area</w:t>
            </w:r>
          </w:p>
        </w:tc>
        <w:tc>
          <w:tcPr>
            <w:tcW w:type="dxa" w:w="49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Summary</w:t>
            </w:r>
          </w:p>
        </w:tc>
        <w:tc>
          <w:tcPr>
            <w:tcW w:type="dxa" w:w="24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IDs</w:t>
            </w:r>
          </w:p>
        </w:tc>
      </w:tr>
      <w:tr>
        <w:trPr>
          <w:cantSplit/>
        </w:trPr>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Dashboard structure</w:t>
            </w:r>
          </w:p>
        </w:tc>
        <w:tc>
          <w:tcPr>
            <w:tcW w:type="dxa" w:w="4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Four pages, KPIs, event markers, slicers, tooltips, source notes</w:t>
            </w:r>
          </w:p>
        </w:tc>
        <w:tc>
          <w:tcPr>
            <w:tcW w:type="dxa" w:w="2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FR-01 to FR-04, FR-10, FR-13, FR-15</w:t>
            </w:r>
          </w:p>
        </w:tc>
      </w:tr>
      <w:tr>
        <w:trPr>
          <w:cantSplit/>
        </w:trPr>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Analysis content</w:t>
            </w:r>
          </w:p>
        </w:tc>
        <w:tc>
          <w:tcPr>
            <w:tcW w:type="dxa" w:w="4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Drivers, inflation impact, parallel market and policy views</w:t>
            </w:r>
          </w:p>
        </w:tc>
        <w:tc>
          <w:tcPr>
            <w:tcW w:type="dxa" w:w="2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FR-05 to FR-09</w:t>
            </w:r>
          </w:p>
        </w:tc>
      </w:tr>
      <w:tr>
        <w:trPr>
          <w:cantSplit/>
        </w:trPr>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w:t>
            </w:r>
          </w:p>
        </w:tc>
        <w:tc>
          <w:tcPr>
            <w:tcW w:type="dxa" w:w="4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Documented sources, validation, consistent frequency, data dictionary</w:t>
            </w:r>
          </w:p>
        </w:tc>
        <w:tc>
          <w:tcPr>
            <w:tcW w:type="dxa" w:w="2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DR-01 to DR-05</w:t>
            </w:r>
          </w:p>
        </w:tc>
      </w:tr>
      <w:tr>
        <w:trPr>
          <w:cantSplit/>
        </w:trPr>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Quality</w:t>
            </w:r>
          </w:p>
        </w:tc>
        <w:tc>
          <w:tcPr>
            <w:tcW w:type="dxa" w:w="4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Accuracy, performance under 5 s, usability, consistency, accessibility, reproducibility</w:t>
            </w:r>
          </w:p>
        </w:tc>
        <w:tc>
          <w:tcPr>
            <w:tcW w:type="dxa" w:w="2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NFR-01 to NFR-08</w:t>
            </w:r>
          </w:p>
        </w:tc>
      </w:tr>
    </w:tbl>
    <w:p>
      <w:pPr>
        <w:spacing w:after="120"/>
      </w:pPr>
    </w:p>
    <w:p>
      <w:pPr>
        <w:pStyle w:val="Heading1"/>
        <w:keepNext/>
      </w:pPr>
      <w:r>
        <w:rPr>
          <w:rFonts w:ascii="Calibri" w:cs="Calibri" w:eastAsia="Calibri" w:hAnsi="Calibri"/>
        </w:rPr>
        <w:t xml:space="preserve">5. Architecture</w:t>
      </w:r>
    </w:p>
    <w:p>
      <w:pPr>
        <w:spacing w:after="120" w:line="276"/>
      </w:pPr>
      <w:r>
        <w:rPr>
          <w:rFonts w:ascii="Calibri" w:cs="Calibri" w:eastAsia="Calibri" w:hAnsi="Calibri"/>
        </w:rPr>
        <w:t xml:space="preserve">The project uses a layered data-pipeline architecture. Each layer has one responsibility and its own output, which makes errors easier to find.</w:t>
      </w:r>
    </w:p>
    <w:p>
      <w:pPr>
        <w:keepNext/>
        <w:spacing w:after="60" w:before="80"/>
        <w:jc w:val="center"/>
      </w:pPr>
      <w:r>
        <w:drawing>
          <wp:inline distT="0" distB="0" distL="0" distR="0">
            <wp:extent cx="5905500" cy="23241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24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System architecture and data pipeline (also the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cantSplit/>
          <w:tblHeader/>
        </w:trPr>
        <w:tc>
          <w:tcPr>
            <w:tcW w:type="dxa" w:w="1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Layer</w:t>
            </w:r>
          </w:p>
        </w:tc>
        <w:tc>
          <w:tcPr>
            <w:tcW w:type="dxa" w:w="5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Responsibility</w:t>
            </w:r>
          </w:p>
        </w:tc>
        <w:tc>
          <w:tcPr>
            <w:tcW w:type="dxa" w:w="25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Output</w:t>
            </w:r>
          </w:p>
        </w:tc>
      </w:tr>
      <w:tr>
        <w:trPr>
          <w:cantSplit/>
        </w:trPr>
        <w:tc>
          <w:tcPr>
            <w:tcW w:type="dxa" w:w="1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 sources</w:t>
            </w:r>
          </w:p>
        </w:tc>
        <w:tc>
          <w:tcPr>
            <w:tcW w:type="dxa" w:w="5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Official and documented public sources: Central Bank of Egypt, CAPMAS, World Bank, IMF, and a documented market source for the parallel rate</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Downloaded files</w:t>
            </w:r>
          </w:p>
        </w:tc>
      </w:tr>
      <w:tr>
        <w:trPr>
          <w:cantSplit/>
        </w:trPr>
        <w:tc>
          <w:tcPr>
            <w:tcW w:type="dxa" w:w="1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Raw files</w:t>
            </w:r>
          </w:p>
        </w:tc>
        <w:tc>
          <w:tcPr>
            <w:tcW w:type="dxa" w:w="5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Unmodified copies of the downloads with source, link and retrieval date</w:t>
            </w:r>
          </w:p>
        </w:tc>
        <w:tc>
          <w:tcPr>
            <w:tcW w:type="dxa" w:w="2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Raw data folder</w:t>
            </w:r>
          </w:p>
        </w:tc>
      </w:tr>
      <w:tr>
        <w:trPr>
          <w:cantSplit/>
        </w:trPr>
        <w:tc>
          <w:tcPr>
            <w:tcW w:type="dxa" w:w="1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Python</w:t>
            </w:r>
          </w:p>
        </w:tc>
        <w:tc>
          <w:tcPr>
            <w:tcW w:type="dxa" w:w="5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Clean, standardise and derive indicators</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Cleaned CSV files and notebook</w:t>
            </w:r>
          </w:p>
        </w:tc>
      </w:tr>
      <w:tr>
        <w:trPr>
          <w:cantSplit/>
        </w:trPr>
        <w:tc>
          <w:tcPr>
            <w:tcW w:type="dxa" w:w="1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SQL Server</w:t>
            </w:r>
          </w:p>
        </w:tc>
        <w:tc>
          <w:tcPr>
            <w:tcW w:type="dxa" w:w="5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Star schema storage and analytical queries</w:t>
            </w:r>
          </w:p>
        </w:tc>
        <w:tc>
          <w:tcPr>
            <w:tcW w:type="dxa" w:w="2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Database and query results</w:t>
            </w:r>
          </w:p>
        </w:tc>
      </w:tr>
      <w:tr>
        <w:trPr>
          <w:cantSplit/>
        </w:trPr>
        <w:tc>
          <w:tcPr>
            <w:tcW w:type="dxa" w:w="1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Power BI</w:t>
            </w:r>
          </w:p>
        </w:tc>
        <w:tc>
          <w:tcPr>
            <w:tcW w:type="dxa" w:w="5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model, DAX measures and the four-page dashboard</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.pbix file and PDF export</w:t>
            </w:r>
          </w:p>
        </w:tc>
      </w:tr>
    </w:tbl>
    <w:p>
      <w:pPr>
        <w:spacing w:after="120"/>
      </w:pPr>
    </w:p>
    <w:p>
      <w:pPr>
        <w:pStyle w:val="Heading1"/>
        <w:keepNext/>
      </w:pPr>
      <w:r>
        <w:rPr>
          <w:rFonts w:ascii="Calibri" w:cs="Calibri" w:eastAsia="Calibri" w:hAnsi="Calibri"/>
        </w:rPr>
        <w:t xml:space="preserve">6. Database Design and Data Modeling</w:t>
      </w:r>
    </w:p>
    <w:p>
      <w:pPr>
        <w:spacing w:after="120" w:line="276"/>
      </w:pPr>
      <w:r>
        <w:rPr>
          <w:rFonts w:ascii="Calibri" w:cs="Calibri" w:eastAsia="Calibri" w:hAnsi="Calibri"/>
        </w:rPr>
        <w:t xml:space="preserve">A star schema was chosen because it is the structure Power BI handles best: small dimension tables describe the context (date, year, event), and fact tables hold the measurements. Facts with different frequencies (monthly and annual) are kept in separate tables to avoid mixing time levels.</w:t>
      </w:r>
    </w:p>
    <w:p>
      <w:pPr>
        <w:keepNext/>
        <w:spacing w:after="60" w:before="80"/>
        <w:jc w:val="center"/>
      </w:pPr>
      <w:r>
        <w:drawing>
          <wp:inline distT="0" distB="0" distL="0" distR="0">
            <wp:extent cx="5905500" cy="34671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67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Entity-relationship diagram (star schema)</w:t>
      </w:r>
    </w:p>
    <w:p>
      <w:pPr>
        <w:pStyle w:val="Heading2"/>
        <w:keepNext/>
      </w:pPr>
      <w:r>
        <w:rPr>
          <w:rFonts w:ascii="Calibri" w:cs="Calibri" w:eastAsia="Calibri" w:hAnsi="Calibri"/>
        </w:rPr>
        <w:t xml:space="preserve">6.1 Logical and physical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rPr>
          <w:cantSplit/>
          <w:tblHeader/>
        </w:trPr>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Table</w:t>
            </w:r>
          </w:p>
        </w:tc>
        <w:tc>
          <w:tcPr>
            <w:tcW w:type="dxa" w:w="42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Columns (type)</w:t>
            </w:r>
          </w:p>
        </w:tc>
        <w:tc>
          <w:tcPr>
            <w:tcW w:type="dxa" w:w="13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Keys</w:t>
            </w:r>
          </w:p>
        </w:tc>
        <w:tc>
          <w:tcPr>
            <w:tcW w:type="dxa" w:w="21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Notes</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dim_date</w:t>
            </w:r>
          </w:p>
        </w:tc>
        <w:tc>
          <w:tcPr>
            <w:tcW w:type="dxa" w:w="4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date_key (DATE), year (INT), quarter (INT), month_no (INT), month_name (VARCHAR), year_month (VARCHAR)</w:t>
            </w:r>
          </w:p>
        </w:tc>
        <w:tc>
          <w:tcPr>
            <w:tcW w:type="dxa" w:w="1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PK date_key</w:t>
            </w:r>
          </w:p>
        </w:tc>
        <w:tc>
          <w:tcPr>
            <w:tcW w:type="dxa" w:w="2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First day of each month</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dim_year</w:t>
            </w:r>
          </w:p>
        </w:tc>
        <w:tc>
          <w:tcPr>
            <w:tcW w:type="dxa" w:w="4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year (INT), period_label (VARCHAR)</w:t>
            </w:r>
          </w:p>
        </w:tc>
        <w:tc>
          <w:tcPr>
            <w:tcW w:type="dxa" w:w="1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PK year</w:t>
            </w:r>
          </w:p>
        </w:tc>
        <w:tc>
          <w:tcPr>
            <w:tcW w:type="dxa" w:w="2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Links annual data</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dim_event</w:t>
            </w:r>
          </w:p>
        </w:tc>
        <w:tc>
          <w:tcPr>
            <w:tcW w:type="dxa" w:w="4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event_id (INT), event_name (VARCHAR), event_date (DATE), event_type (VARCHAR), description (VARCHAR)</w:t>
            </w:r>
          </w:p>
        </w:tc>
        <w:tc>
          <w:tcPr>
            <w:tcW w:type="dxa" w:w="1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PK event_id</w:t>
            </w:r>
          </w:p>
        </w:tc>
        <w:tc>
          <w:tcPr>
            <w:tcW w:type="dxa" w:w="2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Floats, devaluations, IMF programmes, rate decisions, shocks</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fact_exchange_rate</w:t>
            </w:r>
          </w:p>
        </w:tc>
        <w:tc>
          <w:tcPr>
            <w:tcW w:type="dxa" w:w="4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date_key (DATE), official_rate_usd_egp (DECIMAL), parallel_rate_usd_egp (DECIMAL), parallel_premium_pct (DECIMAL), monthly_change_pct (DECIMAL)</w:t>
            </w:r>
          </w:p>
        </w:tc>
        <w:tc>
          <w:tcPr>
            <w:tcW w:type="dxa" w:w="1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FK date_key</w:t>
            </w:r>
          </w:p>
        </w:tc>
        <w:tc>
          <w:tcPr>
            <w:tcW w:type="dxa" w:w="2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Parallel columns flagged unofficial</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fact_inflation</w:t>
            </w:r>
          </w:p>
        </w:tc>
        <w:tc>
          <w:tcPr>
            <w:tcW w:type="dxa" w:w="4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date_key (DATE), headline_inflation_pct (DECIMAL), food_inflation_pct (DECIMAL), cpi_index (DECIMAL)</w:t>
            </w:r>
          </w:p>
        </w:tc>
        <w:tc>
          <w:tcPr>
            <w:tcW w:type="dxa" w:w="1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FK date_key</w:t>
            </w:r>
          </w:p>
        </w:tc>
        <w:tc>
          <w:tcPr>
            <w:tcW w:type="dxa" w:w="2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From CAPMAS / CBE</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fact_policy_rate</w:t>
            </w:r>
          </w:p>
        </w:tc>
        <w:tc>
          <w:tcPr>
            <w:tcW w:type="dxa" w:w="4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date_key (DATE), policy_rate_pct (DECIMAL)</w:t>
            </w:r>
          </w:p>
        </w:tc>
        <w:tc>
          <w:tcPr>
            <w:tcW w:type="dxa" w:w="1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FK date_key</w:t>
            </w:r>
          </w:p>
        </w:tc>
        <w:tc>
          <w:tcPr>
            <w:tcW w:type="dxa" w:w="2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Carried forward between decisions</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fact_external_sector</w:t>
            </w:r>
          </w:p>
        </w:tc>
        <w:tc>
          <w:tcPr>
            <w:tcW w:type="dxa" w:w="4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date_key (DATE), foreign_reserves_usd_bn, trade_balance_usd_bn, remittances_usd_bn, suez_revenue_usd_bn, tourism_revenue_usd_bn, fdi_usd_bn (all DECIMAL)</w:t>
            </w:r>
          </w:p>
        </w:tc>
        <w:tc>
          <w:tcPr>
            <w:tcW w:type="dxa" w:w="1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FK date_key</w:t>
            </w:r>
          </w:p>
        </w:tc>
        <w:tc>
          <w:tcPr>
            <w:tcW w:type="dxa" w:w="2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Frequency depends on source and is harmonised in Week 2</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fact_annual_macro</w:t>
            </w:r>
          </w:p>
        </w:tc>
        <w:tc>
          <w:tcPr>
            <w:tcW w:type="dxa" w:w="4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year (INT), gdp_usd_bn (DECIMAL), external_debt_usd_bn (DECIMAL)</w:t>
            </w:r>
          </w:p>
        </w:tc>
        <w:tc>
          <w:tcPr>
            <w:tcW w:type="dxa" w:w="1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FK year</w:t>
            </w:r>
          </w:p>
        </w:tc>
        <w:tc>
          <w:tcPr>
            <w:tcW w:type="dxa" w:w="2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Annual indicators</w:t>
            </w:r>
          </w:p>
        </w:tc>
      </w:tr>
    </w:tbl>
    <w:p>
      <w:pPr>
        <w:spacing w:after="120"/>
      </w:pPr>
    </w:p>
    <w:p>
      <w:pPr>
        <w:pStyle w:val="Heading2"/>
        <w:keepNext/>
      </w:pPr>
      <w:r>
        <w:rPr>
          <w:rFonts w:ascii="Calibri" w:cs="Calibri" w:eastAsia="Calibri" w:hAnsi="Calibri"/>
        </w:rPr>
        <w:t xml:space="preserve">6.2 Design considerations</w:t>
      </w:r>
    </w:p>
    <w:p>
      <w:pPr>
        <w:pStyle w:val="ListParagraph"/>
        <w:numPr>
          <w:ilvl w:val="0"/>
          <w:numId w:val="2"/>
        </w:numPr>
        <w:spacing w:after="60" w:line="268"/>
      </w:pPr>
      <w:r>
        <w:rPr>
          <w:rFonts w:ascii="Calibri" w:cs="Calibri" w:eastAsia="Calibri" w:hAnsi="Calibri"/>
          <w:b/>
          <w:bCs/>
        </w:rPr>
        <w:t xml:space="preserve">Normalisation:</w:t>
      </w:r>
      <w:r>
        <w:rPr>
          <w:rFonts w:ascii="Calibri" w:cs="Calibri" w:eastAsia="Calibri" w:hAnsi="Calibri"/>
        </w:rPr>
        <w:t xml:space="preserve"> descriptive attributes live in dimension tables; fact tables contain keys and numeric measures only (third normal form for dimensions).</w:t>
      </w:r>
    </w:p>
    <w:p>
      <w:pPr>
        <w:pStyle w:val="ListParagraph"/>
        <w:numPr>
          <w:ilvl w:val="0"/>
          <w:numId w:val="2"/>
        </w:numPr>
        <w:spacing w:after="60" w:line="268"/>
      </w:pPr>
      <w:r>
        <w:rPr>
          <w:rFonts w:ascii="Calibri" w:cs="Calibri" w:eastAsia="Calibri" w:hAnsi="Calibri"/>
          <w:b/>
          <w:bCs/>
        </w:rPr>
        <w:t xml:space="preserve">Units:</w:t>
      </w:r>
      <w:r>
        <w:rPr>
          <w:rFonts w:ascii="Calibri" w:cs="Calibri" w:eastAsia="Calibri" w:hAnsi="Calibri"/>
        </w:rPr>
        <w:t xml:space="preserve"> all currency values are stored in a documented unit (USD billions or EGP per USD); units are recorded in the data dictionary.</w:t>
      </w:r>
    </w:p>
    <w:p>
      <w:pPr>
        <w:pStyle w:val="ListParagraph"/>
        <w:numPr>
          <w:ilvl w:val="0"/>
          <w:numId w:val="2"/>
        </w:numPr>
        <w:spacing w:after="60" w:line="268"/>
      </w:pPr>
      <w:r>
        <w:rPr>
          <w:rFonts w:ascii="Calibri" w:cs="Calibri" w:eastAsia="Calibri" w:hAnsi="Calibri"/>
          <w:b/>
          <w:bCs/>
        </w:rPr>
        <w:t xml:space="preserve">Missing values:</w:t>
      </w:r>
      <w:r>
        <w:rPr>
          <w:rFonts w:ascii="Calibri" w:cs="Calibri" w:eastAsia="Calibri" w:hAnsi="Calibri"/>
        </w:rPr>
        <w:t xml:space="preserve"> never filled silently. Each treatment (leave blank, carry forward, interpolate) is recorded in the cleaning log.</w:t>
      </w:r>
    </w:p>
    <w:p>
      <w:pPr>
        <w:pStyle w:val="ListParagraph"/>
        <w:numPr>
          <w:ilvl w:val="0"/>
          <w:numId w:val="2"/>
        </w:numPr>
        <w:spacing w:after="60" w:line="268"/>
      </w:pPr>
      <w:r>
        <w:rPr>
          <w:rFonts w:ascii="Calibri" w:cs="Calibri" w:eastAsia="Calibri" w:hAnsi="Calibri"/>
          <w:b/>
          <w:bCs/>
        </w:rPr>
        <w:t xml:space="preserve">Derived columns:</w:t>
      </w:r>
      <w:r>
        <w:rPr>
          <w:rFonts w:ascii="Calibri" w:cs="Calibri" w:eastAsia="Calibri" w:hAnsi="Calibri"/>
        </w:rPr>
        <w:t xml:space="preserve"> computed in Python and verified in SQL, so the formula is visible in one place.</w:t>
      </w:r>
    </w:p>
    <w:p>
      <w:pPr>
        <w:pStyle w:val="Heading2"/>
        <w:keepNext/>
      </w:pPr>
      <w:r>
        <w:rPr>
          <w:rFonts w:ascii="Calibri" w:cs="Calibri" w:eastAsia="Calibri" w:hAnsi="Calibri"/>
        </w:rPr>
        <w:t xml:space="preserve">6.3 Planned data sources</w:t>
      </w:r>
    </w:p>
    <w:p>
      <w:pPr>
        <w:spacing w:after="120" w:line="276"/>
      </w:pPr>
      <w:r>
        <w:rPr>
          <w:rFonts w:ascii="Calibri" w:cs="Calibri" w:eastAsia="Calibri" w:hAnsi="Calibri"/>
        </w:rPr>
        <w:t xml:space="preserve">Sources are candidates and will be confirmed in Week 1 after checking availability, frequency and terms of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cantSplit/>
          <w:tblHeader/>
        </w:trPr>
        <w:tc>
          <w:tcPr>
            <w:tcW w:type="dxa" w:w="2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Indicator group</w:t>
            </w:r>
          </w:p>
        </w:tc>
        <w:tc>
          <w:tcPr>
            <w:tcW w:type="dxa" w:w="2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Candidate source</w:t>
            </w:r>
          </w:p>
        </w:tc>
        <w:tc>
          <w:tcPr>
            <w:tcW w:type="dxa" w:w="15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Frequency</w:t>
            </w:r>
          </w:p>
        </w:tc>
        <w:tc>
          <w:tcPr>
            <w:tcW w:type="dxa" w:w="22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Note</w:t>
            </w:r>
          </w:p>
        </w:tc>
      </w:tr>
      <w:tr>
        <w:trPr>
          <w:cantSplit/>
        </w:trPr>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Official exchange rate, reserves, policy rate</w:t>
            </w:r>
          </w:p>
        </w:tc>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Central Bank of Egypt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Daily / monthly</w:t>
            </w:r>
          </w:p>
        </w:tc>
        <w:tc>
          <w:tcPr>
            <w:tcW w:type="dxa" w:w="22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Official statistics</w:t>
            </w:r>
          </w:p>
        </w:tc>
      </w:tr>
      <w:tr>
        <w:trPr>
          <w:cantSplit/>
        </w:trPr>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Inflation and CPI</w:t>
            </w:r>
          </w:p>
        </w:tc>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CAPMAS; Central Bank of Egypt</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Monthly</w:t>
            </w:r>
          </w:p>
        </w:tc>
        <w:tc>
          <w:tcPr>
            <w:tcW w:type="dxa" w:w="22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Headline and food components</w:t>
            </w:r>
          </w:p>
        </w:tc>
      </w:tr>
      <w:tr>
        <w:trPr>
          <w:cantSplit/>
        </w:trPr>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Parallel-market rate</w:t>
            </w:r>
          </w:p>
        </w:tc>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Documented market-data source</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Daily / monthly</w:t>
            </w:r>
          </w:p>
        </w:tc>
        <w:tc>
          <w:tcPr>
            <w:tcW w:type="dxa" w:w="22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Unofficial; source and method must be stated</w:t>
            </w:r>
          </w:p>
        </w:tc>
      </w:tr>
      <w:tr>
        <w:trPr>
          <w:cantSplit/>
        </w:trPr>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Trade, remittances, tourism, Suez Canal, FDI</w:t>
            </w:r>
          </w:p>
        </w:tc>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Central Bank of Egypt (balance of payments); World Bank</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Quarterly / annual</w:t>
            </w:r>
          </w:p>
        </w:tc>
        <w:tc>
          <w:tcPr>
            <w:tcW w:type="dxa" w:w="22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Harmonise frequency</w:t>
            </w:r>
          </w:p>
        </w:tc>
      </w:tr>
      <w:tr>
        <w:trPr>
          <w:cantSplit/>
        </w:trPr>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GDP and external debt</w:t>
            </w:r>
          </w:p>
        </w:tc>
        <w:tc>
          <w:tcPr>
            <w:tcW w:type="dxa" w:w="2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World Bank; IMF</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Annual</w:t>
            </w:r>
          </w:p>
        </w:tc>
        <w:tc>
          <w:tcPr>
            <w:tcW w:type="dxa" w:w="22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r>
      <w:tr>
        <w:trPr>
          <w:cantSplit/>
        </w:trPr>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Event dates and descriptions</w:t>
            </w:r>
          </w:p>
        </w:tc>
        <w:tc>
          <w:tcPr>
            <w:tcW w:type="dxa" w:w="2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IMF and Central Bank of Egypt statements</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t>
            </w:r>
          </w:p>
        </w:tc>
        <w:tc>
          <w:tcPr>
            <w:tcW w:type="dxa" w:w="22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Verified from primary statements</w:t>
            </w:r>
          </w:p>
        </w:tc>
      </w:tr>
    </w:tbl>
    <w:p>
      <w:pPr>
        <w:spacing w:after="120"/>
      </w:pPr>
    </w:p>
    <w:p>
      <w:pPr>
        <w:pStyle w:val="Heading1"/>
        <w:keepNext/>
      </w:pPr>
      <w:r>
        <w:rPr>
          <w:rFonts w:ascii="Calibri" w:cs="Calibri" w:eastAsia="Calibri" w:hAnsi="Calibri"/>
        </w:rPr>
        <w:t xml:space="preserve">7. Data Flow and Workflow</w:t>
      </w:r>
    </w:p>
    <w:p>
      <w:pPr>
        <w:keepNext/>
        <w:spacing w:after="60" w:before="80"/>
        <w:jc w:val="center"/>
      </w:pPr>
      <w:r>
        <w:drawing>
          <wp:inline distT="0" distB="0" distL="0" distR="0">
            <wp:extent cx="4953000" cy="21336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336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DFD Level 0 (context diagram)</w:t>
      </w:r>
    </w:p>
    <w:p>
      <w:pPr>
        <w:keepNext/>
        <w:spacing w:after="60" w:before="80"/>
        <w:jc w:val="center"/>
      </w:pPr>
      <w:r>
        <w:drawing>
          <wp:inline distT="0" distB="0" distL="0" distR="0">
            <wp:extent cx="5905500" cy="25336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336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DFD Level 1</w:t>
      </w:r>
    </w:p>
    <w:p>
      <w:pPr>
        <w:pStyle w:val="Heading2"/>
        <w:keepNext/>
      </w:pPr>
      <w:r>
        <w:rPr>
          <w:rFonts w:ascii="Calibri" w:cs="Calibri" w:eastAsia="Calibri" w:hAnsi="Calibri"/>
        </w:rPr>
        <w:t xml:space="preserve">7.1 Analysis workflow (activity flow)</w:t>
      </w:r>
    </w:p>
    <w:p>
      <w:pPr>
        <w:pStyle w:val="ListParagraph"/>
        <w:numPr>
          <w:ilvl w:val="0"/>
          <w:numId w:val="4"/>
        </w:numPr>
        <w:spacing w:after="60" w:line="268"/>
      </w:pPr>
      <w:r>
        <w:rPr>
          <w:rFonts w:ascii="Calibri" w:cs="Calibri" w:eastAsia="Calibri" w:hAnsi="Calibri"/>
        </w:rPr>
        <w:t xml:space="preserve">Define the study period and indicators.</w:t>
      </w:r>
    </w:p>
    <w:p>
      <w:pPr>
        <w:pStyle w:val="ListParagraph"/>
        <w:numPr>
          <w:ilvl w:val="0"/>
          <w:numId w:val="4"/>
        </w:numPr>
        <w:spacing w:after="60" w:line="268"/>
      </w:pPr>
      <w:r>
        <w:rPr>
          <w:rFonts w:ascii="Calibri" w:cs="Calibri" w:eastAsia="Calibri" w:hAnsi="Calibri"/>
        </w:rPr>
        <w:t xml:space="preserve">Collect raw data and record the source, link and retrieval date.</w:t>
      </w:r>
    </w:p>
    <w:p>
      <w:pPr>
        <w:pStyle w:val="ListParagraph"/>
        <w:numPr>
          <w:ilvl w:val="0"/>
          <w:numId w:val="4"/>
        </w:numPr>
        <w:spacing w:after="60" w:line="268"/>
      </w:pPr>
      <w:r>
        <w:rPr>
          <w:rFonts w:ascii="Calibri" w:cs="Calibri" w:eastAsia="Calibri" w:hAnsi="Calibri"/>
        </w:rPr>
        <w:t xml:space="preserve">Inspect data quality (missing values, duplicates, date formats, units).</w:t>
      </w:r>
    </w:p>
    <w:p>
      <w:pPr>
        <w:pStyle w:val="ListParagraph"/>
        <w:numPr>
          <w:ilvl w:val="0"/>
          <w:numId w:val="4"/>
        </w:numPr>
        <w:spacing w:after="60" w:line="268"/>
      </w:pPr>
      <w:r>
        <w:rPr>
          <w:rFonts w:ascii="Calibri" w:cs="Calibri" w:eastAsia="Calibri" w:hAnsi="Calibri"/>
        </w:rPr>
        <w:t xml:space="preserve">Clean and standardise with Python, then derive indicators.</w:t>
      </w:r>
    </w:p>
    <w:p>
      <w:pPr>
        <w:pStyle w:val="ListParagraph"/>
        <w:numPr>
          <w:ilvl w:val="0"/>
          <w:numId w:val="4"/>
        </w:numPr>
        <w:spacing w:after="60" w:line="268"/>
      </w:pPr>
      <w:r>
        <w:rPr>
          <w:rFonts w:ascii="Calibri" w:cs="Calibri" w:eastAsia="Calibri" w:hAnsi="Calibri"/>
        </w:rPr>
        <w:t xml:space="preserve">Validate cleaned values against the original sources. If a check fails, return to step 3.</w:t>
      </w:r>
    </w:p>
    <w:p>
      <w:pPr>
        <w:pStyle w:val="ListParagraph"/>
        <w:numPr>
          <w:ilvl w:val="0"/>
          <w:numId w:val="4"/>
        </w:numPr>
        <w:spacing w:after="60" w:line="268"/>
      </w:pPr>
      <w:r>
        <w:rPr>
          <w:rFonts w:ascii="Calibri" w:cs="Calibri" w:eastAsia="Calibri" w:hAnsi="Calibri"/>
        </w:rPr>
        <w:t xml:space="preserve">Load into SQL Server and run the analytical queries.</w:t>
      </w:r>
    </w:p>
    <w:p>
      <w:pPr>
        <w:pStyle w:val="ListParagraph"/>
        <w:numPr>
          <w:ilvl w:val="0"/>
          <w:numId w:val="4"/>
        </w:numPr>
        <w:spacing w:after="60" w:line="268"/>
      </w:pPr>
      <w:r>
        <w:rPr>
          <w:rFonts w:ascii="Calibri" w:cs="Calibri" w:eastAsia="Calibri" w:hAnsi="Calibri"/>
        </w:rPr>
        <w:t xml:space="preserve">Build the Power BI model and the four pages.</w:t>
      </w:r>
    </w:p>
    <w:p>
      <w:pPr>
        <w:pStyle w:val="ListParagraph"/>
        <w:numPr>
          <w:ilvl w:val="0"/>
          <w:numId w:val="4"/>
        </w:numPr>
        <w:spacing w:after="60" w:line="268"/>
      </w:pPr>
      <w:r>
        <w:rPr>
          <w:rFonts w:ascii="Calibri" w:cs="Calibri" w:eastAsia="Calibri" w:hAnsi="Calibri"/>
        </w:rPr>
        <w:t xml:space="preserve">Test, fix, document and present.</w:t>
      </w:r>
    </w:p>
    <w:p>
      <w:pPr>
        <w:pStyle w:val="Heading1"/>
        <w:keepNext/>
      </w:pPr>
      <w:r>
        <w:rPr>
          <w:rFonts w:ascii="Calibri" w:cs="Calibri" w:eastAsia="Calibri" w:hAnsi="Calibri"/>
        </w:rPr>
        <w:t xml:space="preserve">8. Data Preparation and Analysis Plan</w:t>
      </w:r>
    </w:p>
    <w:p>
      <w:pPr>
        <w:pStyle w:val="Heading2"/>
        <w:keepNext/>
      </w:pPr>
      <w:r>
        <w:rPr>
          <w:rFonts w:ascii="Calibri" w:cs="Calibri" w:eastAsia="Calibri" w:hAnsi="Calibri"/>
        </w:rPr>
        <w:t xml:space="preserve">8.1 Python cleaning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Step</w:t>
            </w:r>
          </w:p>
        </w:tc>
        <w:tc>
          <w:tcPr>
            <w:tcW w:type="dxa" w:w="69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Action</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Standardise dates</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Convert every date to the first day of the month (or to the year for annual data)</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Types and units</w:t>
            </w:r>
          </w:p>
        </w:tc>
        <w:tc>
          <w:tcPr>
            <w:tcW w:type="dxa" w:w="6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Convert text to numbers; remove thousands separators and symbols; record the unit</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Missing values</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Report counts per column; decide and log the treatment</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Duplicates and outliers</w:t>
            </w:r>
          </w:p>
        </w:tc>
        <w:tc>
          <w:tcPr>
            <w:tcW w:type="dxa" w:w="6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Remove exact duplicates; flag extreme values and check them against the source rather than deleting them</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Merge</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Join indicators on date_key or year; keep a row count check before and after</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Export</w:t>
            </w:r>
          </w:p>
        </w:tc>
        <w:tc>
          <w:tcPr>
            <w:tcW w:type="dxa" w:w="6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Write cleaned CSV files with the same names as the SQL tables</w:t>
            </w:r>
          </w:p>
        </w:tc>
      </w:tr>
    </w:tbl>
    <w:p>
      <w:pPr>
        <w:spacing w:after="120"/>
      </w:pPr>
    </w:p>
    <w:p>
      <w:pPr>
        <w:pStyle w:val="Heading2"/>
        <w:keepNext/>
      </w:pPr>
      <w:r>
        <w:rPr>
          <w:rFonts w:ascii="Calibri" w:cs="Calibri" w:eastAsia="Calibri" w:hAnsi="Calibri"/>
        </w:rPr>
        <w:t xml:space="preserve">8.2 Derived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Indicator</w:t>
            </w:r>
          </w:p>
        </w:tc>
        <w:tc>
          <w:tcPr>
            <w:tcW w:type="dxa" w:w="63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Formula</w:t>
            </w:r>
          </w:p>
        </w:tc>
      </w:tr>
      <w:tr>
        <w:trPr>
          <w:cantSplit/>
        </w:trPr>
        <w:tc>
          <w:tcPr>
            <w:tcW w:type="dxa" w:w="30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monthly_change_pct</w:t>
            </w:r>
          </w:p>
        </w:tc>
        <w:tc>
          <w:tcPr>
            <w:tcW w:type="dxa" w:w="6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(rate this month ÷ rate previous month − 1) × 100</w:t>
            </w:r>
          </w:p>
        </w:tc>
      </w:tr>
      <w:tr>
        <w:trPr>
          <w:cantSplit/>
        </w:trPr>
        <w:tc>
          <w:tcPr>
            <w:tcW w:type="dxa" w:w="30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parallel_premium_pct</w:t>
            </w:r>
          </w:p>
        </w:tc>
        <w:tc>
          <w:tcPr>
            <w:tcW w:type="dxa" w:w="6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(parallel rate − official rate) ÷ official rate × 100</w:t>
            </w:r>
          </w:p>
        </w:tc>
      </w:tr>
      <w:tr>
        <w:trPr>
          <w:cantSplit/>
        </w:trPr>
        <w:tc>
          <w:tcPr>
            <w:tcW w:type="dxa" w:w="30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change_since_start_pct</w:t>
            </w:r>
          </w:p>
        </w:tc>
        <w:tc>
          <w:tcPr>
            <w:tcW w:type="dxa" w:w="6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(latest rate − first rate in period) ÷ first rate in period × 100</w:t>
            </w:r>
          </w:p>
        </w:tc>
      </w:tr>
    </w:tbl>
    <w:p>
      <w:pPr>
        <w:spacing w:after="120"/>
      </w:pPr>
    </w:p>
    <w:p>
      <w:pPr>
        <w:pStyle w:val="Heading2"/>
        <w:keepNext/>
      </w:pPr>
      <w:r>
        <w:rPr>
          <w:rFonts w:ascii="Calibri" w:cs="Calibri" w:eastAsia="Calibri" w:hAnsi="Calibri"/>
        </w:rPr>
        <w:t xml:space="preserve">8.3 Light SQL analysis (illustrative queries)</w:t>
      </w:r>
    </w:p>
    <w:p>
      <w:pPr>
        <w:spacing w:after="120" w:line="276"/>
      </w:pPr>
      <w:r>
        <w:rPr>
          <w:rFonts w:ascii="Calibri" w:cs="Calibri" w:eastAsia="Calibri" w:hAnsi="Calibri"/>
        </w:rPr>
        <w:t xml:space="preserve">The queries below show the planned analysis. They will be tested and adjusted on the final database in Week 2.</w:t>
      </w:r>
    </w:p>
    <w:p>
      <w:pPr>
        <w:shd w:fill="F3F5F8" w:color="auto" w:val="clear"/>
        <w:spacing w:after="0" w:line="240"/>
        <w:ind w:left="120" w:right="120"/>
      </w:pPr>
      <w:r>
        <w:rPr>
          <w:rFonts w:ascii="Consolas" w:cs="Consolas" w:eastAsia="Consolas" w:hAnsi="Consolas"/>
          <w:sz w:val="18"/>
          <w:szCs w:val="18"/>
        </w:rPr>
        <w:t xml:space="preserve">-- 1) Five largest monthly increases in the official rate</w:t>
      </w:r>
    </w:p>
    <w:p>
      <w:pPr>
        <w:shd w:fill="F3F5F8" w:color="auto" w:val="clear"/>
        <w:spacing w:after="0" w:line="240"/>
        <w:ind w:left="120" w:right="120"/>
      </w:pPr>
      <w:r>
        <w:rPr>
          <w:rFonts w:ascii="Consolas" w:cs="Consolas" w:eastAsia="Consolas" w:hAnsi="Consolas"/>
          <w:sz w:val="18"/>
          <w:szCs w:val="18"/>
        </w:rPr>
        <w:t xml:space="preserve">SELECT TOP 5 date_key, official_rate_usd_egp, monthly_change_pct</w:t>
      </w:r>
    </w:p>
    <w:p>
      <w:pPr>
        <w:shd w:fill="F3F5F8" w:color="auto" w:val="clear"/>
        <w:spacing w:after="0" w:line="240"/>
        <w:ind w:left="120" w:right="120"/>
      </w:pPr>
      <w:r>
        <w:rPr>
          <w:rFonts w:ascii="Consolas" w:cs="Consolas" w:eastAsia="Consolas" w:hAnsi="Consolas"/>
          <w:sz w:val="18"/>
          <w:szCs w:val="18"/>
        </w:rPr>
        <w:t xml:space="preserve">FROM fact_exchange_rate</w:t>
      </w:r>
    </w:p>
    <w:p>
      <w:pPr>
        <w:shd w:fill="F3F5F8" w:color="auto" w:val="clear"/>
        <w:spacing w:after="0" w:line="240"/>
        <w:ind w:left="120" w:right="120"/>
      </w:pPr>
      <w:r>
        <w:rPr>
          <w:rFonts w:ascii="Consolas" w:cs="Consolas" w:eastAsia="Consolas" w:hAnsi="Consolas"/>
          <w:sz w:val="18"/>
          <w:szCs w:val="18"/>
        </w:rPr>
        <w:t xml:space="preserve">ORDER BY monthly_change_pct DESC;</w:t>
      </w:r>
    </w:p>
    <w:p>
      <w:pPr>
        <w:shd w:fill="F3F5F8" w:color="auto" w:val="clear"/>
        <w:spacing w:after="0" w:line="240"/>
        <w:ind w:left="120" w:right="120"/>
      </w:pPr>
      <w:r>
        <w:rPr>
          <w:rFonts w:ascii="Consolas" w:cs="Consolas" w:eastAsia="Consolas" w:hAnsi="Consolas"/>
          <w:sz w:val="18"/>
          <w:szCs w:val="18"/>
        </w:rPr>
        <w:t xml:space="preserve"> </w:t>
      </w:r>
    </w:p>
    <w:p>
      <w:pPr>
        <w:shd w:fill="F3F5F8" w:color="auto" w:val="clear"/>
        <w:spacing w:after="0" w:line="240"/>
        <w:ind w:left="120" w:right="120"/>
      </w:pPr>
      <w:r>
        <w:rPr>
          <w:rFonts w:ascii="Consolas" w:cs="Consolas" w:eastAsia="Consolas" w:hAnsi="Consolas"/>
          <w:sz w:val="18"/>
          <w:szCs w:val="18"/>
        </w:rPr>
        <w:t xml:space="preserve">-- 2) Average inflation 12 months before and after each event</w:t>
      </w:r>
    </w:p>
    <w:p>
      <w:pPr>
        <w:shd w:fill="F3F5F8" w:color="auto" w:val="clear"/>
        <w:spacing w:after="0" w:line="240"/>
        <w:ind w:left="120" w:right="120"/>
      </w:pPr>
      <w:r>
        <w:rPr>
          <w:rFonts w:ascii="Consolas" w:cs="Consolas" w:eastAsia="Consolas" w:hAnsi="Consolas"/>
          <w:sz w:val="18"/>
          <w:szCs w:val="18"/>
        </w:rPr>
        <w:t xml:space="preserve">SELECT e.event_name, e.event_date,</w:t>
      </w:r>
    </w:p>
    <w:p>
      <w:pPr>
        <w:shd w:fill="F3F5F8" w:color="auto" w:val="clear"/>
        <w:spacing w:after="0" w:line="240"/>
        <w:ind w:left="120" w:right="120"/>
      </w:pPr>
      <w:r>
        <w:rPr>
          <w:rFonts w:ascii="Consolas" w:cs="Consolas" w:eastAsia="Consolas" w:hAnsi="Consolas"/>
          <w:sz w:val="18"/>
          <w:szCs w:val="18"/>
        </w:rPr>
        <w:t xml:space="preserve">  AVG(CASE WHEN i.date_key &gt;= DATEADD(MONTH,-12,e.event_date)</w:t>
      </w:r>
    </w:p>
    <w:p>
      <w:pPr>
        <w:shd w:fill="F3F5F8" w:color="auto" w:val="clear"/>
        <w:spacing w:after="0" w:line="240"/>
        <w:ind w:left="120" w:right="120"/>
      </w:pPr>
      <w:r>
        <w:rPr>
          <w:rFonts w:ascii="Consolas" w:cs="Consolas" w:eastAsia="Consolas" w:hAnsi="Consolas"/>
          <w:sz w:val="18"/>
          <w:szCs w:val="18"/>
        </w:rPr>
        <w:t xml:space="preserve">            AND i.date_key &lt;  e.event_date THEN i.headline_inflation_pct END) AS avg_before_12m,</w:t>
      </w:r>
    </w:p>
    <w:p>
      <w:pPr>
        <w:shd w:fill="F3F5F8" w:color="auto" w:val="clear"/>
        <w:spacing w:after="0" w:line="240"/>
        <w:ind w:left="120" w:right="120"/>
      </w:pPr>
      <w:r>
        <w:rPr>
          <w:rFonts w:ascii="Consolas" w:cs="Consolas" w:eastAsia="Consolas" w:hAnsi="Consolas"/>
          <w:sz w:val="18"/>
          <w:szCs w:val="18"/>
        </w:rPr>
        <w:t xml:space="preserve">  AVG(CASE WHEN i.date_key &gt;= e.event_date</w:t>
      </w:r>
    </w:p>
    <w:p>
      <w:pPr>
        <w:shd w:fill="F3F5F8" w:color="auto" w:val="clear"/>
        <w:spacing w:after="0" w:line="240"/>
        <w:ind w:left="120" w:right="120"/>
      </w:pPr>
      <w:r>
        <w:rPr>
          <w:rFonts w:ascii="Consolas" w:cs="Consolas" w:eastAsia="Consolas" w:hAnsi="Consolas"/>
          <w:sz w:val="18"/>
          <w:szCs w:val="18"/>
        </w:rPr>
        <w:t xml:space="preserve">            AND i.date_key &lt;  DATEADD(MONTH,12,e.event_date) THEN i.headline_inflation_pct END) AS avg_after_12m</w:t>
      </w:r>
    </w:p>
    <w:p>
      <w:pPr>
        <w:shd w:fill="F3F5F8" w:color="auto" w:val="clear"/>
        <w:spacing w:after="0" w:line="240"/>
        <w:ind w:left="120" w:right="120"/>
      </w:pPr>
      <w:r>
        <w:rPr>
          <w:rFonts w:ascii="Consolas" w:cs="Consolas" w:eastAsia="Consolas" w:hAnsi="Consolas"/>
          <w:sz w:val="18"/>
          <w:szCs w:val="18"/>
        </w:rPr>
        <w:t xml:space="preserve">FROM dim_event e CROSS JOIN fact_inflation i</w:t>
      </w:r>
    </w:p>
    <w:p>
      <w:pPr>
        <w:shd w:fill="F3F5F8" w:color="auto" w:val="clear"/>
        <w:spacing w:after="0" w:line="240"/>
        <w:ind w:left="120" w:right="120"/>
      </w:pPr>
      <w:r>
        <w:rPr>
          <w:rFonts w:ascii="Consolas" w:cs="Consolas" w:eastAsia="Consolas" w:hAnsi="Consolas"/>
          <w:sz w:val="18"/>
          <w:szCs w:val="18"/>
        </w:rPr>
        <w:t xml:space="preserve">GROUP BY e.event_name, e.event_date;</w:t>
      </w:r>
    </w:p>
    <w:p>
      <w:pPr>
        <w:shd w:fill="F3F5F8" w:color="auto" w:val="clear"/>
        <w:spacing w:after="0" w:line="240"/>
        <w:ind w:left="120" w:right="120"/>
      </w:pPr>
      <w:r>
        <w:rPr>
          <w:rFonts w:ascii="Consolas" w:cs="Consolas" w:eastAsia="Consolas" w:hAnsi="Consolas"/>
          <w:sz w:val="18"/>
          <w:szCs w:val="18"/>
        </w:rPr>
        <w:t xml:space="preserve"> </w:t>
      </w:r>
    </w:p>
    <w:p>
      <w:pPr>
        <w:shd w:fill="F3F5F8" w:color="auto" w:val="clear"/>
        <w:spacing w:after="0" w:line="240"/>
        <w:ind w:left="120" w:right="120"/>
      </w:pPr>
      <w:r>
        <w:rPr>
          <w:rFonts w:ascii="Consolas" w:cs="Consolas" w:eastAsia="Consolas" w:hAnsi="Consolas"/>
          <w:sz w:val="18"/>
          <w:szCs w:val="18"/>
        </w:rPr>
        <w:t xml:space="preserve">-- 3) Average parallel premium per year</w:t>
      </w:r>
    </w:p>
    <w:p>
      <w:pPr>
        <w:shd w:fill="F3F5F8" w:color="auto" w:val="clear"/>
        <w:spacing w:after="0" w:line="240"/>
        <w:ind w:left="120" w:right="120"/>
      </w:pPr>
      <w:r>
        <w:rPr>
          <w:rFonts w:ascii="Consolas" w:cs="Consolas" w:eastAsia="Consolas" w:hAnsi="Consolas"/>
          <w:sz w:val="18"/>
          <w:szCs w:val="18"/>
        </w:rPr>
        <w:t xml:space="preserve">SELECT d.year, AVG(f.parallel_premium_pct) AS avg_premium_pct</w:t>
      </w:r>
    </w:p>
    <w:p>
      <w:pPr>
        <w:shd w:fill="F3F5F8" w:color="auto" w:val="clear"/>
        <w:spacing w:after="0" w:line="240"/>
        <w:ind w:left="120" w:right="120"/>
      </w:pPr>
      <w:r>
        <w:rPr>
          <w:rFonts w:ascii="Consolas" w:cs="Consolas" w:eastAsia="Consolas" w:hAnsi="Consolas"/>
          <w:sz w:val="18"/>
          <w:szCs w:val="18"/>
        </w:rPr>
        <w:t xml:space="preserve">FROM fact_exchange_rate f JOIN dim_date d ON d.date_key = f.date_key</w:t>
      </w:r>
    </w:p>
    <w:p>
      <w:pPr>
        <w:shd w:fill="F3F5F8" w:color="auto" w:val="clear"/>
        <w:spacing w:after="0" w:line="240"/>
        <w:ind w:left="120" w:right="120"/>
      </w:pPr>
      <w:r>
        <w:rPr>
          <w:rFonts w:ascii="Consolas" w:cs="Consolas" w:eastAsia="Consolas" w:hAnsi="Consolas"/>
          <w:sz w:val="18"/>
          <w:szCs w:val="18"/>
        </w:rPr>
        <w:t xml:space="preserve">GROUP BY d.year ORDER BY d.year;</w:t>
      </w:r>
    </w:p>
    <w:p>
      <w:pPr>
        <w:shd w:fill="F3F5F8" w:color="auto" w:val="clear"/>
        <w:spacing w:after="0" w:line="240"/>
        <w:ind w:left="120" w:right="120"/>
      </w:pPr>
      <w:r>
        <w:rPr>
          <w:rFonts w:ascii="Consolas" w:cs="Consolas" w:eastAsia="Consolas" w:hAnsi="Consolas"/>
          <w:sz w:val="18"/>
          <w:szCs w:val="18"/>
        </w:rPr>
        <w:t xml:space="preserve"> </w:t>
      </w:r>
    </w:p>
    <w:p>
      <w:pPr>
        <w:shd w:fill="F3F5F8" w:color="auto" w:val="clear"/>
        <w:spacing w:after="0" w:line="240"/>
        <w:ind w:left="120" w:right="120"/>
      </w:pPr>
      <w:r>
        <w:rPr>
          <w:rFonts w:ascii="Consolas" w:cs="Consolas" w:eastAsia="Consolas" w:hAnsi="Consolas"/>
          <w:sz w:val="18"/>
          <w:szCs w:val="18"/>
        </w:rPr>
        <w:t xml:space="preserve">-- 4) Change in reserves compared with 12 months earlier</w:t>
      </w:r>
    </w:p>
    <w:p>
      <w:pPr>
        <w:shd w:fill="F3F5F8" w:color="auto" w:val="clear"/>
        <w:spacing w:after="0" w:line="240"/>
        <w:ind w:left="120" w:right="120"/>
      </w:pPr>
      <w:r>
        <w:rPr>
          <w:rFonts w:ascii="Consolas" w:cs="Consolas" w:eastAsia="Consolas" w:hAnsi="Consolas"/>
          <w:sz w:val="18"/>
          <w:szCs w:val="18"/>
        </w:rPr>
        <w:t xml:space="preserve">SELECT date_key, foreign_reserves_usd_bn,</w:t>
      </w:r>
    </w:p>
    <w:p>
      <w:pPr>
        <w:shd w:fill="F3F5F8" w:color="auto" w:val="clear"/>
        <w:spacing w:after="0" w:line="240"/>
        <w:ind w:left="120" w:right="120"/>
      </w:pPr>
      <w:r>
        <w:rPr>
          <w:rFonts w:ascii="Consolas" w:cs="Consolas" w:eastAsia="Consolas" w:hAnsi="Consolas"/>
          <w:sz w:val="18"/>
          <w:szCs w:val="18"/>
        </w:rPr>
        <w:t xml:space="preserve">  foreign_reserves_usd_bn - LAG(foreign_reserves_usd_bn, 12) OVER (ORDER BY date_key) AS change_vs_12m</w:t>
      </w:r>
    </w:p>
    <w:p>
      <w:pPr>
        <w:shd w:fill="F3F5F8" w:color="auto" w:val="clear"/>
        <w:spacing w:after="0" w:line="240"/>
        <w:ind w:left="120" w:right="120"/>
      </w:pPr>
      <w:r>
        <w:rPr>
          <w:rFonts w:ascii="Consolas" w:cs="Consolas" w:eastAsia="Consolas" w:hAnsi="Consolas"/>
          <w:sz w:val="18"/>
          <w:szCs w:val="18"/>
        </w:rPr>
        <w:t xml:space="preserve">FROM fact_external_sector;</w:t>
      </w:r>
    </w:p>
    <w:p>
      <w:pPr>
        <w:spacing w:after="120"/>
      </w:pPr>
    </w:p>
    <w:p>
      <w:pPr>
        <w:pStyle w:val="Heading1"/>
        <w:keepNext/>
      </w:pPr>
      <w:r>
        <w:rPr>
          <w:rFonts w:ascii="Calibri" w:cs="Calibri" w:eastAsia="Calibri" w:hAnsi="Calibri"/>
        </w:rPr>
        <w:t xml:space="preserve">9. UI/UX Design and Prototyping</w:t>
      </w:r>
    </w:p>
    <w:p>
      <w:pPr>
        <w:pStyle w:val="Heading2"/>
        <w:keepNext/>
      </w:pPr>
      <w:r>
        <w:rPr>
          <w:rFonts w:ascii="Calibri" w:cs="Calibri" w:eastAsia="Calibri" w:hAnsi="Calibri"/>
        </w:rPr>
        <w:t xml:space="preserve">9.1 Design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Element</w:t>
            </w:r>
          </w:p>
        </w:tc>
        <w:tc>
          <w:tcPr>
            <w:tcW w:type="dxa" w:w="74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Guideline</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Layout</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Header with page title and navigation tabs; slicer panel on the left; KPI row at the top; main chart in the centre; key-takeaways box at the right or bottom</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Colour palette</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Navy #1F3A5F (titles, main lines); teal #2A9D8F (highlights and positive indicators); sand #F4EBD9 (text boxes); red #C0392B (devaluation events and warnings); light grey #F7F9FB (background)</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Typography</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Segoe UI: page titles 20 pt bold, visual titles 12 pt, labels and body 10–11 pt</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Charts</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Line charts for time series; columns for comparisons; one message per visual; no 3D, no unnecessary gridlines</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Accessibility</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Contrast ratio suitable for reading; do not use colour alone to carry meaning; alt text on visuals; minimum 10 pt text</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Plain language</w:t>
            </w:r>
          </w:p>
        </w:tc>
        <w:tc>
          <w:tcPr>
            <w:tcW w:type="dxa" w:w="7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Titles state the message (for example “The pound lost value after each float”) only when the data supports it; terms are explained in tooltips</w:t>
            </w:r>
          </w:p>
        </w:tc>
      </w:tr>
      <w:tr>
        <w:trPr>
          <w:cantSplit/>
        </w:trPr>
        <w:tc>
          <w:tcPr>
            <w:tcW w:type="dxa" w:w="19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Source notes</w:t>
            </w:r>
          </w:p>
        </w:tc>
        <w:tc>
          <w:tcPr>
            <w:tcW w:type="dxa" w:w="7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 small footer on each page lists sources and the retrieval date</w:t>
            </w:r>
          </w:p>
        </w:tc>
      </w:tr>
    </w:tbl>
    <w:p>
      <w:pPr>
        <w:spacing w:after="120"/>
      </w:pPr>
    </w:p>
    <w:p>
      <w:pPr>
        <w:pStyle w:val="Heading2"/>
        <w:keepNext/>
      </w:pPr>
      <w:r>
        <w:rPr>
          <w:rFonts w:ascii="Calibri" w:cs="Calibri" w:eastAsia="Calibri" w:hAnsi="Calibri"/>
        </w:rPr>
        <w:t xml:space="preserve">9.2 Wireframes</w:t>
      </w:r>
    </w:p>
    <w:p>
      <w:pPr>
        <w:spacing w:after="120" w:line="276"/>
      </w:pPr>
      <w:r>
        <w:rPr>
          <w:rFonts w:ascii="Calibri" w:cs="Calibri" w:eastAsia="Calibri" w:hAnsi="Calibri"/>
        </w:rPr>
        <w:t xml:space="preserve">The wireframes show layout only. Final visuals and values will be defined after the data is cleaned.</w:t>
      </w:r>
    </w:p>
    <w:p>
      <w:pPr>
        <w:keepNext/>
        <w:spacing w:after="60" w:before="80"/>
        <w:jc w:val="center"/>
      </w:pPr>
      <w:r>
        <w:drawing>
          <wp:inline distT="0" distB="0" distL="0" distR="0">
            <wp:extent cx="5334000" cy="30289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Page 1 – Executive Overview</w:t>
      </w:r>
    </w:p>
    <w:p>
      <w:pPr>
        <w:keepNext/>
        <w:spacing w:after="60" w:before="80"/>
        <w:jc w:val="center"/>
      </w:pPr>
      <w:r>
        <w:drawing>
          <wp:inline distT="0" distB="0" distL="0" distR="0">
            <wp:extent cx="5334000" cy="30289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Page 2 – Drivers of the Crisis</w:t>
      </w:r>
    </w:p>
    <w:p>
      <w:pPr>
        <w:keepNext/>
        <w:spacing w:after="60" w:before="80"/>
        <w:jc w:val="center"/>
      </w:pPr>
      <w:r>
        <w:drawing>
          <wp:inline distT="0" distB="0" distL="0" distR="0">
            <wp:extent cx="5334000" cy="30289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Page 3 – Impact on Citizens</w:t>
      </w:r>
    </w:p>
    <w:p>
      <w:pPr>
        <w:keepNext/>
        <w:spacing w:after="60" w:before="80"/>
        <w:jc w:val="center"/>
      </w:pPr>
      <w:r>
        <w:drawing>
          <wp:inline distT="0" distB="0" distL="0" distR="0">
            <wp:extent cx="5334000" cy="30289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9: Page 4 – Parallel Market &amp; Policy</w:t>
      </w:r>
    </w:p>
    <w:p>
      <w:pPr>
        <w:pStyle w:val="Heading2"/>
        <w:keepNext/>
      </w:pPr>
      <w:r>
        <w:rPr>
          <w:rFonts w:ascii="Calibri" w:cs="Calibri" w:eastAsia="Calibri" w:hAnsi="Calibri"/>
        </w:rPr>
        <w:t xml:space="preserve">9.3 Planned DAX measures</w:t>
      </w:r>
    </w:p>
    <w:p>
      <w:pPr>
        <w:shd w:fill="F3F5F8" w:color="auto" w:val="clear"/>
        <w:spacing w:after="0" w:line="240"/>
        <w:ind w:left="120" w:right="120"/>
      </w:pPr>
      <w:r>
        <w:rPr>
          <w:rFonts w:ascii="Consolas" w:cs="Consolas" w:eastAsia="Consolas" w:hAnsi="Consolas"/>
          <w:sz w:val="18"/>
          <w:szCs w:val="18"/>
        </w:rPr>
        <w:t xml:space="preserve">Latest Official Rate =</w:t>
      </w:r>
    </w:p>
    <w:p>
      <w:pPr>
        <w:shd w:fill="F3F5F8" w:color="auto" w:val="clear"/>
        <w:spacing w:after="0" w:line="240"/>
        <w:ind w:left="120" w:right="120"/>
      </w:pPr>
      <w:r>
        <w:rPr>
          <w:rFonts w:ascii="Consolas" w:cs="Consolas" w:eastAsia="Consolas" w:hAnsi="Consolas"/>
          <w:sz w:val="18"/>
          <w:szCs w:val="18"/>
        </w:rPr>
        <w:t xml:space="preserve">VAR LastDate = MAX ( fact_exchange_rate[date_key] )</w:t>
      </w:r>
    </w:p>
    <w:p>
      <w:pPr>
        <w:shd w:fill="F3F5F8" w:color="auto" w:val="clear"/>
        <w:spacing w:after="0" w:line="240"/>
        <w:ind w:left="120" w:right="120"/>
      </w:pPr>
      <w:r>
        <w:rPr>
          <w:rFonts w:ascii="Consolas" w:cs="Consolas" w:eastAsia="Consolas" w:hAnsi="Consolas"/>
          <w:sz w:val="18"/>
          <w:szCs w:val="18"/>
        </w:rPr>
        <w:t xml:space="preserve">RETURN CALCULATE ( MAX ( fact_exchange_rate[official_rate_usd_egp] ), fact_exchange_rate[date_key] = LastDate )</w:t>
      </w:r>
    </w:p>
    <w:p>
      <w:pPr>
        <w:shd w:fill="F3F5F8" w:color="auto" w:val="clear"/>
        <w:spacing w:after="0" w:line="240"/>
        <w:ind w:left="120" w:right="120"/>
      </w:pPr>
      <w:r>
        <w:rPr>
          <w:rFonts w:ascii="Consolas" w:cs="Consolas" w:eastAsia="Consolas" w:hAnsi="Consolas"/>
          <w:sz w:val="18"/>
          <w:szCs w:val="18"/>
        </w:rPr>
        <w:t xml:space="preserve"> </w:t>
      </w:r>
    </w:p>
    <w:p>
      <w:pPr>
        <w:shd w:fill="F3F5F8" w:color="auto" w:val="clear"/>
        <w:spacing w:after="0" w:line="240"/>
        <w:ind w:left="120" w:right="120"/>
      </w:pPr>
      <w:r>
        <w:rPr>
          <w:rFonts w:ascii="Consolas" w:cs="Consolas" w:eastAsia="Consolas" w:hAnsi="Consolas"/>
          <w:sz w:val="18"/>
          <w:szCs w:val="18"/>
        </w:rPr>
        <w:t xml:space="preserve">Change Since Start % =</w:t>
      </w:r>
    </w:p>
    <w:p>
      <w:pPr>
        <w:shd w:fill="F3F5F8" w:color="auto" w:val="clear"/>
        <w:spacing w:after="0" w:line="240"/>
        <w:ind w:left="120" w:right="120"/>
      </w:pPr>
      <w:r>
        <w:rPr>
          <w:rFonts w:ascii="Consolas" w:cs="Consolas" w:eastAsia="Consolas" w:hAnsi="Consolas"/>
          <w:sz w:val="18"/>
          <w:szCs w:val="18"/>
        </w:rPr>
        <w:t xml:space="preserve">VAR FirstDate = MIN ( fact_exchange_rate[date_key] )</w:t>
      </w:r>
    </w:p>
    <w:p>
      <w:pPr>
        <w:shd w:fill="F3F5F8" w:color="auto" w:val="clear"/>
        <w:spacing w:after="0" w:line="240"/>
        <w:ind w:left="120" w:right="120"/>
      </w:pPr>
      <w:r>
        <w:rPr>
          <w:rFonts w:ascii="Consolas" w:cs="Consolas" w:eastAsia="Consolas" w:hAnsi="Consolas"/>
          <w:sz w:val="18"/>
          <w:szCs w:val="18"/>
        </w:rPr>
        <w:t xml:space="preserve">VAR LastDate  = MAX ( fact_exchange_rate[date_key] )</w:t>
      </w:r>
    </w:p>
    <w:p>
      <w:pPr>
        <w:shd w:fill="F3F5F8" w:color="auto" w:val="clear"/>
        <w:spacing w:after="0" w:line="240"/>
        <w:ind w:left="120" w:right="120"/>
      </w:pPr>
      <w:r>
        <w:rPr>
          <w:rFonts w:ascii="Consolas" w:cs="Consolas" w:eastAsia="Consolas" w:hAnsi="Consolas"/>
          <w:sz w:val="18"/>
          <w:szCs w:val="18"/>
        </w:rPr>
        <w:t xml:space="preserve">VAR FirstRate = CALCULATE ( MAX ( fact_exchange_rate[official_rate_usd_egp] ), fact_exchange_rate[date_key] = FirstDate )</w:t>
      </w:r>
    </w:p>
    <w:p>
      <w:pPr>
        <w:shd w:fill="F3F5F8" w:color="auto" w:val="clear"/>
        <w:spacing w:after="0" w:line="240"/>
        <w:ind w:left="120" w:right="120"/>
      </w:pPr>
      <w:r>
        <w:rPr>
          <w:rFonts w:ascii="Consolas" w:cs="Consolas" w:eastAsia="Consolas" w:hAnsi="Consolas"/>
          <w:sz w:val="18"/>
          <w:szCs w:val="18"/>
        </w:rPr>
        <w:t xml:space="preserve">VAR LastRate  = CALCULATE ( MAX ( fact_exchange_rate[official_rate_usd_egp] ), fact_exchange_rate[date_key] = LastDate )</w:t>
      </w:r>
    </w:p>
    <w:p>
      <w:pPr>
        <w:shd w:fill="F3F5F8" w:color="auto" w:val="clear"/>
        <w:spacing w:after="0" w:line="240"/>
        <w:ind w:left="120" w:right="120"/>
      </w:pPr>
      <w:r>
        <w:rPr>
          <w:rFonts w:ascii="Consolas" w:cs="Consolas" w:eastAsia="Consolas" w:hAnsi="Consolas"/>
          <w:sz w:val="18"/>
          <w:szCs w:val="18"/>
        </w:rPr>
        <w:t xml:space="preserve">RETURN DIVIDE ( LastRate - FirstRate, FirstRate )</w:t>
      </w:r>
    </w:p>
    <w:p>
      <w:pPr>
        <w:shd w:fill="F3F5F8" w:color="auto" w:val="clear"/>
        <w:spacing w:after="0" w:line="240"/>
        <w:ind w:left="120" w:right="120"/>
      </w:pPr>
      <w:r>
        <w:rPr>
          <w:rFonts w:ascii="Consolas" w:cs="Consolas" w:eastAsia="Consolas" w:hAnsi="Consolas"/>
          <w:sz w:val="18"/>
          <w:szCs w:val="18"/>
        </w:rPr>
        <w:t xml:space="preserve"> </w:t>
      </w:r>
    </w:p>
    <w:p>
      <w:pPr>
        <w:shd w:fill="F3F5F8" w:color="auto" w:val="clear"/>
        <w:spacing w:after="0" w:line="240"/>
        <w:ind w:left="120" w:right="120"/>
      </w:pPr>
      <w:r>
        <w:rPr>
          <w:rFonts w:ascii="Consolas" w:cs="Consolas" w:eastAsia="Consolas" w:hAnsi="Consolas"/>
          <w:sz w:val="18"/>
          <w:szCs w:val="18"/>
        </w:rPr>
        <w:t xml:space="preserve">Parallel Premium % =</w:t>
      </w:r>
    </w:p>
    <w:p>
      <w:pPr>
        <w:shd w:fill="F3F5F8" w:color="auto" w:val="clear"/>
        <w:spacing w:after="0" w:line="240"/>
        <w:ind w:left="120" w:right="120"/>
      </w:pPr>
      <w:r>
        <w:rPr>
          <w:rFonts w:ascii="Consolas" w:cs="Consolas" w:eastAsia="Consolas" w:hAnsi="Consolas"/>
          <w:sz w:val="18"/>
          <w:szCs w:val="18"/>
        </w:rPr>
        <w:t xml:space="preserve">DIVIDE (</w:t>
      </w:r>
    </w:p>
    <w:p>
      <w:pPr>
        <w:shd w:fill="F3F5F8" w:color="auto" w:val="clear"/>
        <w:spacing w:after="0" w:line="240"/>
        <w:ind w:left="120" w:right="120"/>
      </w:pPr>
      <w:r>
        <w:rPr>
          <w:rFonts w:ascii="Consolas" w:cs="Consolas" w:eastAsia="Consolas" w:hAnsi="Consolas"/>
          <w:sz w:val="18"/>
          <w:szCs w:val="18"/>
        </w:rPr>
        <w:t xml:space="preserve">    AVERAGE ( fact_exchange_rate[parallel_rate_usd_egp] ) - AVERAGE ( fact_exchange_rate[official_rate_usd_egp] ),</w:t>
      </w:r>
    </w:p>
    <w:p>
      <w:pPr>
        <w:shd w:fill="F3F5F8" w:color="auto" w:val="clear"/>
        <w:spacing w:after="0" w:line="240"/>
        <w:ind w:left="120" w:right="120"/>
      </w:pPr>
      <w:r>
        <w:rPr>
          <w:rFonts w:ascii="Consolas" w:cs="Consolas" w:eastAsia="Consolas" w:hAnsi="Consolas"/>
          <w:sz w:val="18"/>
          <w:szCs w:val="18"/>
        </w:rPr>
        <w:t xml:space="preserve">    AVERAGE ( fact_exchange_rate[official_rate_usd_egp] )</w:t>
      </w:r>
    </w:p>
    <w:p>
      <w:pPr>
        <w:shd w:fill="F3F5F8" w:color="auto" w:val="clear"/>
        <w:spacing w:after="0" w:line="240"/>
        <w:ind w:left="120" w:right="120"/>
      </w:pPr>
      <w:r>
        <w:rPr>
          <w:rFonts w:ascii="Consolas" w:cs="Consolas" w:eastAsia="Consolas" w:hAnsi="Consolas"/>
          <w:sz w:val="18"/>
          <w:szCs w:val="18"/>
        </w:rPr>
        <w:t xml:space="preserve">)</w:t>
      </w:r>
    </w:p>
    <w:p>
      <w:pPr>
        <w:spacing w:after="120"/>
      </w:pPr>
    </w:p>
    <w:p>
      <w:pPr>
        <w:pStyle w:val="Heading1"/>
        <w:keepNext/>
      </w:pPr>
      <w:r>
        <w:rPr>
          <w:rFonts w:ascii="Calibri" w:cs="Calibri" w:eastAsia="Calibri" w:hAnsi="Calibri"/>
        </w:rPr>
        <w:t xml:space="preserve">10. Technology Stack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cantSplit/>
          <w:tblHeader/>
        </w:trPr>
        <w:tc>
          <w:tcPr>
            <w:tcW w:type="dxa" w:w="2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Area</w:t>
            </w:r>
          </w:p>
        </w:tc>
        <w:tc>
          <w:tcPr>
            <w:tcW w:type="dxa" w:w="3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Technology</w:t>
            </w:r>
          </w:p>
        </w:tc>
        <w:tc>
          <w:tcPr>
            <w:tcW w:type="dxa" w:w="29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Use</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 collection and cleaning</w:t>
            </w:r>
          </w:p>
        </w:tc>
        <w:tc>
          <w:tcPr>
            <w:tcW w:type="dxa" w:w="3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Python 3 (pandas, NumPy), Jupyter Notebook</w:t>
            </w:r>
          </w:p>
        </w:tc>
        <w:tc>
          <w:tcPr>
            <w:tcW w:type="dxa" w:w="2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Collect, clean, derive indicators</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Database</w:t>
            </w:r>
          </w:p>
        </w:tc>
        <w:tc>
          <w:tcPr>
            <w:tcW w:type="dxa" w:w="3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SQL Server (T-SQL)</w:t>
            </w:r>
          </w:p>
        </w:tc>
        <w:tc>
          <w:tcPr>
            <w:tcW w:type="dxa" w:w="2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Star schema and analytical queries</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Business intelligence</w:t>
            </w:r>
          </w:p>
        </w:tc>
        <w:tc>
          <w:tcPr>
            <w:tcW w:type="dxa" w:w="3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Power BI Desktop, Power Query, DAX</w:t>
            </w:r>
          </w:p>
        </w:tc>
        <w:tc>
          <w:tcPr>
            <w:tcW w:type="dxa" w:w="2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Model and dashboard</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Staging</w:t>
            </w:r>
          </w:p>
        </w:tc>
        <w:tc>
          <w:tcPr>
            <w:tcW w:type="dxa" w:w="3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Excel / CSV</w:t>
            </w:r>
          </w:p>
        </w:tc>
        <w:tc>
          <w:tcPr>
            <w:tcW w:type="dxa" w:w="2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Raw and cleaned files</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Version control and sharing</w:t>
            </w:r>
          </w:p>
        </w:tc>
        <w:tc>
          <w:tcPr>
            <w:tcW w:type="dxa" w:w="3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GitHub (notebooks, SQL scripts, documentation); shared drive for the .pbix file</w:t>
            </w:r>
          </w:p>
        </w:tc>
        <w:tc>
          <w:tcPr>
            <w:tcW w:type="dxa" w:w="2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Collaboration and submission</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Documentation and presentation</w:t>
            </w:r>
          </w:p>
        </w:tc>
        <w:tc>
          <w:tcPr>
            <w:tcW w:type="dxa" w:w="3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Microsoft Word, PowerPoint</w:t>
            </w:r>
          </w:p>
        </w:tc>
        <w:tc>
          <w:tcPr>
            <w:tcW w:type="dxa" w:w="2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Deliverables</w:t>
            </w:r>
          </w:p>
        </w:tc>
      </w:tr>
    </w:tbl>
    <w:p>
      <w:pPr>
        <w:spacing w:after="120"/>
      </w:pPr>
    </w:p>
    <w:p>
      <w:pPr>
        <w:pStyle w:val="Heading2"/>
        <w:keepNext/>
      </w:pPr>
      <w:r>
        <w:rPr>
          <w:rFonts w:ascii="Calibri" w:cs="Calibri" w:eastAsia="Calibri" w:hAnsi="Calibri"/>
        </w:rPr>
        <w:t xml:space="preserve">10.1 Deployment strategy</w:t>
      </w:r>
    </w:p>
    <w:p>
      <w:pPr>
        <w:pStyle w:val="ListParagraph"/>
        <w:numPr>
          <w:ilvl w:val="0"/>
          <w:numId w:val="2"/>
        </w:numPr>
        <w:spacing w:after="60" w:line="268"/>
      </w:pPr>
      <w:r>
        <w:rPr>
          <w:rFonts w:ascii="Calibri" w:cs="Calibri" w:eastAsia="Calibri" w:hAnsi="Calibri"/>
        </w:rPr>
        <w:t xml:space="preserve">The final deliverable is the .pbix file plus a PDF export of the four pages.</w:t>
      </w:r>
    </w:p>
    <w:p>
      <w:pPr>
        <w:pStyle w:val="ListParagraph"/>
        <w:numPr>
          <w:ilvl w:val="0"/>
          <w:numId w:val="2"/>
        </w:numPr>
        <w:spacing w:after="60" w:line="268"/>
      </w:pPr>
      <w:r>
        <w:rPr>
          <w:rFonts w:ascii="Calibri" w:cs="Calibri" w:eastAsia="Calibri" w:hAnsi="Calibri"/>
        </w:rPr>
        <w:t xml:space="preserve">Publishing to the Power BI Service is optional and depends on the licence available to the team.</w:t>
      </w:r>
    </w:p>
    <w:p>
      <w:pPr>
        <w:pStyle w:val="ListParagraph"/>
        <w:numPr>
          <w:ilvl w:val="0"/>
          <w:numId w:val="2"/>
        </w:numPr>
        <w:spacing w:after="60" w:line="268"/>
      </w:pPr>
      <w:r>
        <w:rPr>
          <w:rFonts w:ascii="Calibri" w:cs="Calibri" w:eastAsia="Calibri" w:hAnsi="Calibri"/>
        </w:rPr>
        <w:t xml:space="preserve">The GitHub repository contains a README with the steps to rerun the cleaning notebook, load the SQL tables and refresh the report.</w:t>
      </w:r>
    </w:p>
    <w:p>
      <w:pPr>
        <w:pStyle w:val="ListParagraph"/>
        <w:numPr>
          <w:ilvl w:val="0"/>
          <w:numId w:val="2"/>
        </w:numPr>
        <w:spacing w:after="60" w:line="268"/>
      </w:pPr>
      <w:r>
        <w:rPr>
          <w:rFonts w:ascii="Calibri" w:cs="Calibri" w:eastAsia="Calibri" w:hAnsi="Calibri"/>
        </w:rPr>
        <w:t xml:space="preserve">Each release is tagged with a version number and the source retrieval dates.</w:t>
      </w:r>
    </w:p>
    <w:p>
      <w:pPr>
        <w:pStyle w:val="Heading1"/>
        <w:keepNext/>
      </w:pPr>
      <w:r>
        <w:rPr>
          <w:rFonts w:ascii="Calibri" w:cs="Calibri" w:eastAsia="Calibri" w:hAnsi="Calibri"/>
        </w:rPr>
        <w:t xml:space="preserve">11. Testing and Validation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300"/>
        <w:gridCol w:w="1760"/>
      </w:tblGrid>
      <w:tr>
        <w:trPr>
          <w:cantSplit/>
          <w:tblHeader/>
        </w:trPr>
        <w:tc>
          <w:tcPr>
            <w:tcW w:type="dxa" w:w="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34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Test</w:t>
            </w:r>
          </w:p>
        </w:tc>
        <w:tc>
          <w:tcPr>
            <w:tcW w:type="dxa" w:w="33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Expected result</w:t>
            </w:r>
          </w:p>
        </w:tc>
        <w:tc>
          <w:tcPr>
            <w:tcW w:type="dxa" w:w="1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Requirement</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TC-01</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Open every page and use the navigation buttons</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Four pages exist and navigation works</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FR-01, FR-17</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TC-02</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Compare KPI values with the source and SQL result</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Values match within rounding</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FR-02, DR-02</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TC-03</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Check event markers and event table</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Dates and descriptions match the primary statements</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FR-03, FR-13</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TC-04</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Compare driver charts with the source tables</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Values and units match</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FR-05</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TC-05</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Check inflation visuals and the before/after table</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Values match the SQL query results</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FR-06, FR-07</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TC-06</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Recalculate the premium for three sample months</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DAX result equals manual calculation</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FR-08, DR-03</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TC-07</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Check policy rate against central bank announcements</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Rates and dates match</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FR-09</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TC-08</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Change each slicer and check all related visuals</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Visuals update consistently</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FR-10</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TC-09</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Hover over terms and visuals; check key-takeaway text</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Tooltips and text are present and correct</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FR-04, FR-11, FR-12</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TC-10</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Check source notes on every page</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Sources and dates are listed</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FR-15</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TC-11</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Measure page load and slicer response</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Under 5 seconds on a standard laptop</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NFR-02</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TC-12</w:t>
            </w:r>
          </w:p>
        </w:tc>
        <w:tc>
          <w:tcPr>
            <w:tcW w:type="dxa" w:w="3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Run the notebook and SQL scripts from raw files</w:t>
            </w:r>
          </w:p>
        </w:tc>
        <w:tc>
          <w:tcPr>
            <w:tcW w:type="dxa" w:w="33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Same cleaned data is produced</w:t>
            </w:r>
          </w:p>
        </w:tc>
        <w:tc>
          <w:tcPr>
            <w:tcW w:type="dxa" w:w="1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FR-14, DR-04, DR-05, NFR-06</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TC-13</w:t>
            </w:r>
          </w:p>
        </w:tc>
        <w:tc>
          <w:tcPr>
            <w:tcW w:type="dxa" w:w="3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Export the report to PDF</w:t>
            </w:r>
          </w:p>
        </w:tc>
        <w:tc>
          <w:tcPr>
            <w:tcW w:type="dxa" w:w="3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four pages are exported readable</w:t>
            </w: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FR-16</w:t>
            </w:r>
          </w:p>
        </w:tc>
      </w:tr>
    </w:tbl>
    <w:p>
      <w:pPr>
        <w:spacing w:after="120"/>
      </w:pPr>
    </w:p>
    <w:p>
      <w:pPr>
        <w:pStyle w:val="Heading2"/>
        <w:keepNext/>
      </w:pPr>
      <w:r>
        <w:rPr>
          <w:rFonts w:ascii="Calibri" w:cs="Calibri" w:eastAsia="Calibri" w:hAnsi="Calibri"/>
        </w:rPr>
        <w:t xml:space="preserve">11.1 Usability test</w:t>
      </w:r>
    </w:p>
    <w:p>
      <w:pPr>
        <w:spacing w:after="120" w:line="276"/>
      </w:pPr>
      <w:r>
        <w:rPr>
          <w:rFonts w:ascii="Calibri" w:cs="Calibri" w:eastAsia="Calibri" w:hAnsi="Calibri"/>
        </w:rPr>
        <w:t xml:space="preserve">Five to ten non-economist peers will use the dashboard and try to answer three questions (for example: “When did the gap between the official and parallel rates close?”). The target is that at least 80% answer correctly without help (NFR-03).</w:t>
      </w:r>
    </w:p>
    <w:p>
      <w:pPr>
        <w:pStyle w:val="Heading2"/>
        <w:keepNext/>
      </w:pPr>
      <w:r>
        <w:rPr>
          <w:rFonts w:ascii="Calibri" w:cs="Calibri" w:eastAsia="Calibri" w:hAnsi="Calibri"/>
        </w:rPr>
        <w:t xml:space="preserve">11.2 Bug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300"/>
        <w:gridCol w:w="1000"/>
        <w:gridCol w:w="1100"/>
        <w:gridCol w:w="1000"/>
        <w:gridCol w:w="1760"/>
      </w:tblGrid>
      <w:tr>
        <w:trPr>
          <w:cantSplit/>
          <w:tblHeader/>
        </w:trPr>
        <w:tc>
          <w:tcPr>
            <w:tcW w:type="dxa" w:w="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13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Page / table</w:t>
            </w:r>
          </w:p>
        </w:tc>
        <w:tc>
          <w:tcPr>
            <w:tcW w:type="dxa" w:w="23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Description</w:t>
            </w:r>
          </w:p>
        </w:tc>
        <w:tc>
          <w:tcPr>
            <w:tcW w:type="dxa" w:w="1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Severity</w:t>
            </w:r>
          </w:p>
        </w:tc>
        <w:tc>
          <w:tcPr>
            <w:tcW w:type="dxa" w:w="11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Owner</w:t>
            </w:r>
          </w:p>
        </w:tc>
        <w:tc>
          <w:tcPr>
            <w:tcW w:type="dxa" w:w="1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Status</w:t>
            </w:r>
          </w:p>
        </w:tc>
        <w:tc>
          <w:tcPr>
            <w:tcW w:type="dxa" w:w="1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Resolution</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BUG-01</w:t>
            </w:r>
          </w:p>
        </w:tc>
        <w:tc>
          <w:tcPr>
            <w:tcW w:type="dxa" w:w="1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23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1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1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r>
    </w:tbl>
    <w:p>
      <w:pPr>
        <w:spacing w:after="120"/>
      </w:pPr>
    </w:p>
    <w:p>
      <w:pPr>
        <w:pStyle w:val="Heading1"/>
        <w:keepNext/>
      </w:pPr>
      <w:r>
        <w:rPr>
          <w:rFonts w:ascii="Calibri" w:cs="Calibri" w:eastAsia="Calibri" w:hAnsi="Calibri"/>
        </w:rPr>
        <w:t xml:space="preserve">12. Project Management</w:t>
      </w:r>
    </w:p>
    <w:p>
      <w:pPr>
        <w:pStyle w:val="Heading2"/>
        <w:keepNext/>
      </w:pPr>
      <w:r>
        <w:rPr>
          <w:rFonts w:ascii="Calibri" w:cs="Calibri" w:eastAsia="Calibri" w:hAnsi="Calibri"/>
        </w:rPr>
        <w:t xml:space="preserve">12.1 Team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cantSplit/>
          <w:tblHeader/>
        </w:trPr>
        <w:tc>
          <w:tcPr>
            <w:tcW w:type="dxa" w:w="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No.</w:t>
            </w:r>
          </w:p>
        </w:tc>
        <w:tc>
          <w:tcPr>
            <w:tcW w:type="dxa" w:w="4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Member</w:t>
            </w:r>
          </w:p>
        </w:tc>
        <w:tc>
          <w:tcPr>
            <w:tcW w:type="dxa" w:w="3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Role</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1</w:t>
            </w:r>
          </w:p>
        </w:tc>
        <w:tc>
          <w:tcPr>
            <w:tcW w:type="dxa" w:w="4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Malak Emad Kamal Soltan</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Team Lead &amp; Documentation</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2</w:t>
            </w:r>
          </w:p>
        </w:tc>
        <w:tc>
          <w:tcPr>
            <w:tcW w:type="dxa" w:w="4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Romysaa Khalid Abdelmajed Asfour</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Collection</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3</w:t>
            </w:r>
          </w:p>
        </w:tc>
        <w:tc>
          <w:tcPr>
            <w:tcW w:type="dxa" w:w="4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Malak Ibrahim Abdelmomean Mohammed</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Cleaning (Python)</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4</w:t>
            </w:r>
          </w:p>
        </w:tc>
        <w:tc>
          <w:tcPr>
            <w:tcW w:type="dxa" w:w="4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Radwa Essam Eldin Said Hashkeel</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SQL &amp; Data Modeling</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5</w:t>
            </w:r>
          </w:p>
        </w:tc>
        <w:tc>
          <w:tcPr>
            <w:tcW w:type="dxa" w:w="4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Israa El Husseini Mohamed Al Afify</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Power BI Developer</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6</w:t>
            </w:r>
          </w:p>
        </w:tc>
        <w:tc>
          <w:tcPr>
            <w:tcW w:type="dxa" w:w="4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Maryam Mohammad Ebraheem Eldosoky Hegazy</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Research &amp; Quality Assurance</w:t>
            </w:r>
          </w:p>
        </w:tc>
      </w:tr>
    </w:tbl>
    <w:p>
      <w:pPr>
        <w:spacing w:after="120"/>
      </w:pPr>
    </w:p>
    <w:p>
      <w:pPr>
        <w:pStyle w:val="Heading2"/>
        <w:keepNext/>
      </w:pPr>
      <w:r>
        <w:rPr>
          <w:rFonts w:ascii="Calibri" w:cs="Calibri" w:eastAsia="Calibri" w:hAnsi="Calibri"/>
        </w:rPr>
        <w:t xml:space="preserve">12.2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cantSplit/>
          <w:tblHeader/>
        </w:trPr>
        <w:tc>
          <w:tcPr>
            <w:tcW w:type="dxa" w:w="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Week</w:t>
            </w:r>
          </w:p>
        </w:tc>
        <w:tc>
          <w:tcPr>
            <w:tcW w:type="dxa" w:w="3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Focus</w:t>
            </w:r>
          </w:p>
        </w:tc>
        <w:tc>
          <w:tcPr>
            <w:tcW w:type="dxa" w:w="48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Main deliverables</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1</w:t>
            </w:r>
          </w:p>
        </w:tc>
        <w:tc>
          <w:tcPr>
            <w:tcW w:type="dxa" w:w="3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Planning, research and data collection</w:t>
            </w:r>
          </w:p>
        </w:tc>
        <w:tc>
          <w:tcPr>
            <w:tcW w:type="dxa" w:w="48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Scope, source list, raw data, Literature Review and Requirements Gathering</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2</w:t>
            </w:r>
          </w:p>
        </w:tc>
        <w:tc>
          <w:tcPr>
            <w:tcW w:type="dxa" w:w="3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cleaning, modeling and SQL</w:t>
            </w:r>
          </w:p>
        </w:tc>
        <w:tc>
          <w:tcPr>
            <w:tcW w:type="dxa" w:w="48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Cleaned data, notebook, ERD, SQL scripts, data dictionary</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3</w:t>
            </w:r>
          </w:p>
        </w:tc>
        <w:tc>
          <w:tcPr>
            <w:tcW w:type="dxa" w:w="3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design and development</w:t>
            </w:r>
          </w:p>
        </w:tc>
        <w:tc>
          <w:tcPr>
            <w:tcW w:type="dxa" w:w="48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Wireframes, .pbix with four pages, DAX measures</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4</w:t>
            </w:r>
          </w:p>
        </w:tc>
        <w:tc>
          <w:tcPr>
            <w:tcW w:type="dxa" w:w="3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Testing, documentation and presentation</w:t>
            </w:r>
          </w:p>
        </w:tc>
        <w:tc>
          <w:tcPr>
            <w:tcW w:type="dxa" w:w="48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Test report, final documentation, user manual, presentation</w:t>
            </w:r>
          </w:p>
        </w:tc>
      </w:tr>
    </w:tbl>
    <w:p>
      <w:pPr>
        <w:spacing w:after="120"/>
      </w:pPr>
    </w:p>
    <w:p>
      <w:pPr>
        <w:pStyle w:val="Heading2"/>
        <w:keepNext/>
      </w:pPr>
      <w:r>
        <w:rPr>
          <w:rFonts w:ascii="Calibri" w:cs="Calibri" w:eastAsia="Calibri" w:hAnsi="Calibri"/>
        </w:rPr>
        <w:t xml:space="preserve">12.3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1000"/>
        <w:gridCol w:w="3960"/>
      </w:tblGrid>
      <w:tr>
        <w:trPr>
          <w:cantSplit/>
          <w:tblHeader/>
        </w:trPr>
        <w:tc>
          <w:tcPr>
            <w:tcW w:type="dxa" w:w="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2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Risk</w:t>
            </w:r>
          </w:p>
        </w:tc>
        <w:tc>
          <w:tcPr>
            <w:tcW w:type="dxa" w:w="11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Likelihood</w:t>
            </w:r>
          </w:p>
        </w:tc>
        <w:tc>
          <w:tcPr>
            <w:tcW w:type="dxa" w:w="1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Impact</w:t>
            </w:r>
          </w:p>
        </w:tc>
        <w:tc>
          <w:tcPr>
            <w:tcW w:type="dxa" w:w="39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Mitigation</w:t>
            </w:r>
          </w:p>
        </w:tc>
      </w:tr>
      <w:tr>
        <w:trPr>
          <w:cantSplit/>
        </w:trPr>
        <w:tc>
          <w:tcPr>
            <w:tcW w:type="dxa" w:w="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R1</w:t>
            </w:r>
          </w:p>
        </w:tc>
        <w:tc>
          <w:tcPr>
            <w:tcW w:type="dxa" w:w="2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Parallel-market data is hard to find or unofficial</w:t>
            </w:r>
          </w:p>
        </w:tc>
        <w:tc>
          <w:tcPr>
            <w:tcW w:type="dxa" w:w="1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3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Use a documented market source, flag it as unofficial, state the method; fall back to official-only analysis with a note</w:t>
            </w:r>
          </w:p>
        </w:tc>
      </w:tr>
      <w:tr>
        <w:trPr>
          <w:cantSplit/>
        </w:trPr>
        <w:tc>
          <w:tcPr>
            <w:tcW w:type="dxa" w:w="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R2</w:t>
            </w:r>
          </w:p>
        </w:tc>
        <w:tc>
          <w:tcPr>
            <w:tcW w:type="dxa" w:w="2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Indicators have different frequencies</w:t>
            </w:r>
          </w:p>
        </w:tc>
        <w:tc>
          <w:tcPr>
            <w:tcW w:type="dxa" w:w="1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3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Harmonise to monthly where possible; link annual data by year; document each choice</w:t>
            </w:r>
          </w:p>
        </w:tc>
      </w:tr>
      <w:tr>
        <w:trPr>
          <w:cantSplit/>
        </w:trPr>
        <w:tc>
          <w:tcPr>
            <w:tcW w:type="dxa" w:w="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R3</w:t>
            </w:r>
          </w:p>
        </w:tc>
        <w:tc>
          <w:tcPr>
            <w:tcW w:type="dxa" w:w="2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Misinterpretation of economic concepts</w:t>
            </w:r>
          </w:p>
        </w:tc>
        <w:tc>
          <w:tcPr>
            <w:tcW w:type="dxa" w:w="1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3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Team glossary, research role, instructor review, careful wording (associations, not causes)</w:t>
            </w:r>
          </w:p>
        </w:tc>
      </w:tr>
      <w:tr>
        <w:trPr>
          <w:cantSplit/>
        </w:trPr>
        <w:tc>
          <w:tcPr>
            <w:tcW w:type="dxa" w:w="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R4</w:t>
            </w:r>
          </w:p>
        </w:tc>
        <w:tc>
          <w:tcPr>
            <w:tcW w:type="dxa" w:w="2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errors or wrong units</w:t>
            </w:r>
          </w:p>
        </w:tc>
        <w:tc>
          <w:tcPr>
            <w:tcW w:type="dxa" w:w="1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3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Validation log, cross-checks against sources, test cases TC-02 and TC-04</w:t>
            </w:r>
          </w:p>
        </w:tc>
      </w:tr>
      <w:tr>
        <w:trPr>
          <w:cantSplit/>
        </w:trPr>
        <w:tc>
          <w:tcPr>
            <w:tcW w:type="dxa" w:w="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R5</w:t>
            </w:r>
          </w:p>
        </w:tc>
        <w:tc>
          <w:tcPr>
            <w:tcW w:type="dxa" w:w="2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Scope creep</w:t>
            </w:r>
          </w:p>
        </w:tc>
        <w:tc>
          <w:tcPr>
            <w:tcW w:type="dxa" w:w="1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3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MoSCoW priorities and the change-control process</w:t>
            </w:r>
          </w:p>
        </w:tc>
      </w:tr>
      <w:tr>
        <w:trPr>
          <w:cantSplit/>
        </w:trPr>
        <w:tc>
          <w:tcPr>
            <w:tcW w:type="dxa" w:w="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R6</w:t>
            </w:r>
          </w:p>
        </w:tc>
        <w:tc>
          <w:tcPr>
            <w:tcW w:type="dxa" w:w="2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Limited time (four weeks)</w:t>
            </w:r>
          </w:p>
        </w:tc>
        <w:tc>
          <w:tcPr>
            <w:tcW w:type="dxa" w:w="1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3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Weekly deliverables, early start of Power BI wireframes, task tracker</w:t>
            </w:r>
          </w:p>
        </w:tc>
      </w:tr>
      <w:tr>
        <w:trPr>
          <w:cantSplit/>
        </w:trPr>
        <w:tc>
          <w:tcPr>
            <w:tcW w:type="dxa" w:w="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R7</w:t>
            </w:r>
          </w:p>
        </w:tc>
        <w:tc>
          <w:tcPr>
            <w:tcW w:type="dxa" w:w="2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File conflicts in the .pbix file</w:t>
            </w:r>
          </w:p>
        </w:tc>
        <w:tc>
          <w:tcPr>
            <w:tcW w:type="dxa" w:w="1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3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One owner per page; version the file on every change; keep scripts on GitHub</w:t>
            </w:r>
          </w:p>
        </w:tc>
      </w:tr>
      <w:tr>
        <w:trPr>
          <w:cantSplit/>
        </w:trPr>
        <w:tc>
          <w:tcPr>
            <w:tcW w:type="dxa" w:w="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R8</w:t>
            </w:r>
          </w:p>
        </w:tc>
        <w:tc>
          <w:tcPr>
            <w:tcW w:type="dxa" w:w="2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Sources revise past data</w:t>
            </w:r>
          </w:p>
        </w:tc>
        <w:tc>
          <w:tcPr>
            <w:tcW w:type="dxa" w:w="1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Low</w:t>
            </w:r>
          </w:p>
        </w:tc>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39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Record the retrieval date; do not mix versions</w:t>
            </w:r>
          </w:p>
        </w:tc>
      </w:tr>
    </w:tbl>
    <w:p>
      <w:pPr>
        <w:spacing w:after="120"/>
      </w:pPr>
    </w:p>
    <w:p>
      <w:pPr>
        <w:pStyle w:val="Heading2"/>
        <w:keepNext/>
      </w:pPr>
      <w:r>
        <w:rPr>
          <w:rFonts w:ascii="Calibri" w:cs="Calibri" w:eastAsia="Calibri" w:hAnsi="Calibri"/>
        </w:rPr>
        <w:t xml:space="preserve">12.4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KPI</w:t>
            </w:r>
          </w:p>
        </w:tc>
        <w:tc>
          <w:tcPr>
            <w:tcW w:type="dxa" w:w="3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Target</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Dashboard figures traceable to a source</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100%</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Dashboard pages completed</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4 of 4</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Weekly deliverables completed on time</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4 of 4 weeks</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Test cases passed at submission</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13 of 13; no open critical bugs</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Page load / slicer response time</w:t>
            </w:r>
          </w:p>
        </w:tc>
        <w:tc>
          <w:tcPr>
            <w:tcW w:type="dxa" w:w="3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Under 5 seconds</w:t>
            </w:r>
          </w:p>
        </w:tc>
      </w:tr>
      <w:tr>
        <w:trPr>
          <w:cantSplit/>
        </w:trPr>
        <w:tc>
          <w:tcPr>
            <w:tcW w:type="dxa" w:w="56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Non-economist users answering the test questions correctly</w:t>
            </w:r>
          </w:p>
        </w:tc>
        <w:tc>
          <w:tcPr>
            <w:tcW w:type="dxa" w:w="3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At least 80%</w:t>
            </w:r>
          </w:p>
        </w:tc>
      </w:tr>
    </w:tbl>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7C3" w:sz="4" w:space="4"/>
      </w:pBdr>
      <w:jc w:val="right"/>
    </w:pPr>
    <w:r>
      <w:rPr>
        <w:rFonts w:ascii="Calibri" w:cs="Calibri" w:eastAsia="Calibri" w:hAnsi="Calibri"/>
        <w:color w:val="666666"/>
        <w:sz w:val="17"/>
        <w:szCs w:val="17"/>
      </w:rPr>
      <w:t xml:space="preserve">DEPI – Data Analysis | Round 5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b5d2085492a72955caaee3d9348f1094f20e8f9.png"/><Relationship Id="rId12" Type="http://schemas.openxmlformats.org/officeDocument/2006/relationships/image" Target="media/678ea01c9d9b1334ba93097d715a50da1447c367.png"/><Relationship Id="rId13" Type="http://schemas.openxmlformats.org/officeDocument/2006/relationships/image" Target="media/990480caa8f66d8739b02f5e9699c202ade09756.png"/><Relationship Id="rId14" Type="http://schemas.openxmlformats.org/officeDocument/2006/relationships/image" Target="media/307e8eeb78a72c0f5f2e92857d4525fc0c8b88e1.png"/><Relationship Id="rId15" Type="http://schemas.openxmlformats.org/officeDocument/2006/relationships/image" Target="media/ac3f0aaf3ec68e19647f035d24073efdf9fbb967.png"/><Relationship Id="rId16" Type="http://schemas.openxmlformats.org/officeDocument/2006/relationships/image" Target="media/dcec593d3fa517c99dbe07f54613954c18d5275b.png"/><Relationship Id="rId17" Type="http://schemas.openxmlformats.org/officeDocument/2006/relationships/image" Target="media/dd407a662d9417b8927ec6bc19f3e15f1fbbf5df.png"/><Relationship Id="rId18" Type="http://schemas.openxmlformats.org/officeDocument/2006/relationships/image" Target="media/7dd1a3571d8277cde541425d753115f1fa81858b.png"/><Relationship Id="rId19" Type="http://schemas.openxmlformats.org/officeDocument/2006/relationships/image" Target="media/df83c008061ce5aeea35373529d918f6bb7c53b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 Dollar Crisis Analysis Project</dc:title>
  <dc:creator>DEPI Data Analysis Team – Round 5</dc:creator>
  <cp:lastModifiedBy>Un-named</cp:lastModifiedBy>
  <cp:revision>1</cp:revision>
  <dcterms:created xsi:type="dcterms:W3CDTF">2026-10-28T09:23:15.655Z</dcterms:created>
  <dcterms:modified xsi:type="dcterms:W3CDTF">2026-10-28T09:23:15.655Z</dcterms:modified>
</cp:coreProperties>
</file>

<file path=docProps/custom.xml><?xml version="1.0" encoding="utf-8"?>
<Properties xmlns="http://schemas.openxmlformats.org/officeDocument/2006/custom-properties" xmlns:vt="http://schemas.openxmlformats.org/officeDocument/2006/docPropsVTypes"/>
</file>