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C94F1F"/>
          <w:sz w:val="64"/>
          <w:szCs w:val="64"/>
        </w:rPr>
        <w:t xml:space="preserve">fenneky</w:t>
      </w:r>
    </w:p>
    <w:p>
      <w:pPr>
        <w:spacing w:after="80" w:before="0"/>
      </w:pPr>
      <w:r>
        <w:rPr>
          <w:rFonts w:ascii="Arial" w:cs="Arial" w:eastAsia="Arial" w:hAnsi="Arial"/>
          <w:color w:val="1A1A18"/>
          <w:sz w:val="40"/>
          <w:szCs w:val="40"/>
        </w:rPr>
        <w:t xml:space="preserve">XP System Reference</w:t>
      </w:r>
    </w:p>
    <w:p>
      <w:pPr>
        <w:spacing w:after="40" w:before="0"/>
      </w:pPr>
      <w:r>
        <w:rPr>
          <w:rFonts w:ascii="Arial" w:cs="Arial" w:eastAsia="Arial" w:hAnsi="Arial"/>
          <w:color w:val="777777"/>
          <w:sz w:val="22"/>
          <w:szCs w:val="22"/>
        </w:rPr>
        <w:t xml:space="preserve">Reputation, Levels &amp; Gamification — MVP Design</w:t>
      </w:r>
    </w:p>
    <w:p>
      <w:pPr>
        <w:spacing w:after="480" w:before="0"/>
      </w:pPr>
      <w:r>
        <w:rPr>
          <w:rFonts w:ascii="Arial" w:cs="Arial" w:eastAsia="Arial" w:hAnsi="Arial"/>
          <w:i/>
          <w:iCs/>
          <w:color w:val="888780"/>
          <w:sz w:val="20"/>
          <w:szCs w:val="20"/>
        </w:rPr>
        <w:t xml:space="preserve">Internal team document. Not for public distribution.</w:t>
      </w:r>
    </w:p>
    <w:p>
      <w:pPr>
        <w:pBdr>
          <w:bottom w:val="single" w:color="E5E5E0" w:sz="4" w:space="4"/>
        </w:pBdr>
        <w:spacing w:after="100" w:before="320"/>
      </w:pPr>
      <w:r>
        <w:rPr>
          <w:rFonts w:ascii="Arial" w:cs="Arial" w:eastAsia="Arial" w:hAnsi="Arial"/>
          <w:b/>
          <w:bCs/>
          <w:color w:val="888780"/>
          <w:sz w:val="18"/>
          <w:szCs w:val="18"/>
        </w:rPr>
        <w:t xml:space="preserve">PART 1 — CORE PRINCIPLE</w:t>
      </w:r>
    </w:p>
    <w:p>
      <w:pPr>
        <w:pStyle w:val="Heading2"/>
        <w:spacing w:after="100" w:before="200"/>
      </w:pPr>
      <w:r>
        <w:rPr>
          <w:rFonts w:ascii="Arial" w:cs="Arial" w:eastAsia="Arial" w:hAnsi="Arial"/>
          <w:b/>
          <w:bCs/>
          <w:color w:val="1A1A18"/>
          <w:sz w:val="28"/>
          <w:szCs w:val="28"/>
        </w:rPr>
        <w:t xml:space="preserve">XP = reputation signal. Credits = currency.</w:t>
      </w:r>
    </w:p>
    <w:p>
      <w:pPr>
        <w:spacing w:after="60" w:before="60"/>
      </w:pPr>
      <w:r>
        <w:rPr>
          <w:rFonts w:ascii="Arial" w:cs="Arial" w:eastAsia="Arial" w:hAnsi="Arial"/>
          <w:color w:val="555555"/>
          <w:sz w:val="22"/>
          <w:szCs w:val="22"/>
        </w:rPr>
        <w:t xml:space="preserve">They are not the same thing and must never be confused. Credits are what you spend to receive sessions — they are the platform economy. XP is what other people see on your public profile — it is your reputation signal, showing the community how active and experienced you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94F1F" w:val="clear"/>
          </w:tcPr>
          <w:p>
            <w:r>
              <w:t xml:space="preserve"/>
            </w:r>
          </w:p>
        </w:tc>
        <w:tc>
          <w:tcPr>
            <w:tcW w:type="dxa" w:w="924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r>
              <w:rPr>
                <w:rFonts w:ascii="Arial" w:cs="Arial" w:eastAsia="Arial" w:hAnsi="Arial"/>
                <w:color w:val="555555"/>
                <w:sz w:val="21"/>
                <w:szCs w:val="21"/>
              </w:rPr>
              <w:t xml:space="preserve">In MVP: XP and credits are connected. Every credit you earn automatically generates XP. Simple, automatic, no confusion.
In V2: XP becomes hybrid. Credits still generate XP, but XP also gets its own exclusive sources (validation events, challenge wins, community contributions).</w:t>
            </w:r>
          </w:p>
        </w:tc>
      </w:tr>
    </w:tbl>
    <w:p>
      <w:pPr>
        <w:pBdr>
          <w:bottom w:val="single" w:color="E5E5E0" w:sz="4" w:space="4"/>
        </w:pBdr>
        <w:spacing w:after="100" w:before="320"/>
      </w:pPr>
      <w:r>
        <w:rPr>
          <w:rFonts w:ascii="Arial" w:cs="Arial" w:eastAsia="Arial" w:hAnsi="Arial"/>
          <w:b/>
          <w:bCs/>
          <w:color w:val="888780"/>
          <w:sz w:val="18"/>
          <w:szCs w:val="18"/>
        </w:rPr>
        <w:t xml:space="preserve">PART 2 — THE CONVERSION RULE (MVP)</w:t>
      </w:r>
    </w:p>
    <w:p>
      <w:pPr>
        <w:pStyle w:val="Heading2"/>
        <w:spacing w:after="100" w:before="200"/>
      </w:pPr>
      <w:r>
        <w:rPr>
          <w:rFonts w:ascii="Arial" w:cs="Arial" w:eastAsia="Arial" w:hAnsi="Arial"/>
          <w:b/>
          <w:bCs/>
          <w:color w:val="1A1A18"/>
          <w:sz w:val="28"/>
          <w:szCs w:val="28"/>
        </w:rPr>
        <w:t xml:space="preserve">One rule. Automatic. No exceptions.</w:t>
      </w:r>
    </w:p>
    <w:p>
      <w:pPr>
        <w:spacing w:after="60" w:before="60"/>
      </w:pPr>
      <w:r>
        <w:rPr>
          <w:rFonts w:ascii="Arial" w:cs="Arial" w:eastAsia="Arial" w:hAnsi="Arial"/>
          <w:color w:val="555555"/>
          <w:sz w:val="22"/>
          <w:szCs w:val="22"/>
        </w:rPr>
        <w:t xml:space="preserve">Every time you earn credits from a session, the platform automatically converts them to XP at the same rate. You do not need to do anything. It happens in the background after every confirmed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1"/>
              <w:left w:val="single" w:color="E5E5E0" w:sz="1"/>
              <w:bottom w:val="single" w:color="E5E5E0" w:sz="1"/>
              <w:right w:val="single" w:color="E5E5E0" w:sz="1"/>
            </w:tcBorders>
            <w:shd w:fill="F1EFE8" w:val="clear"/>
            <w:tcMar>
              <w:top w:type="dxa" w:w="160"/>
              <w:left w:type="dxa" w:w="200"/>
              <w:bottom w:type="dxa" w:w="160"/>
              <w:right w:type="dxa" w:w="200"/>
            </w:tcMar>
            <w:vAlign w:val="center"/>
          </w:tcPr>
          <w:p>
            <w:pPr>
              <w:jc w:val="center"/>
            </w:pPr>
            <w:r>
              <w:rPr>
                <w:rFonts w:ascii="Courier New" w:cs="Courier New" w:eastAsia="Courier New" w:hAnsi="Courier New"/>
                <w:b/>
                <w:bCs/>
                <w:color w:val="C94F1F"/>
                <w:sz w:val="28"/>
                <w:szCs w:val="28"/>
              </w:rPr>
              <w:t xml:space="preserve">1 credit earned = 10 XP gained</w:t>
            </w:r>
          </w:p>
        </w:tc>
      </w:tr>
    </w:tbl>
    <w:p>
      <w:pPr>
        <w:spacing w:after="0" w:before="120"/>
      </w:pPr>
      <w:r>
        <w:t xml:space="preserve"/>
      </w:r>
    </w:p>
    <w:p>
      <w:pPr>
        <w:spacing w:after="80" w:before="160"/>
      </w:pPr>
      <w:r>
        <w:rPr>
          <w:rFonts w:ascii="Arial" w:cs="Arial" w:eastAsia="Arial" w:hAnsi="Arial"/>
          <w:b/>
          <w:bCs/>
          <w:color w:val="1A1A18"/>
          <w:sz w:val="23"/>
          <w:szCs w:val="23"/>
        </w:rPr>
        <w:t xml:space="preserve">What this means in practice</w:t>
      </w:r>
    </w:p>
    <w:p>
      <w:pPr>
        <w:spacing w:after="60" w:before="60"/>
      </w:pPr>
      <w:r>
        <w:rPr>
          <w:rFonts w:ascii="Arial" w:cs="Arial" w:eastAsia="Arial" w:hAnsi="Arial"/>
          <w:color w:val="555555"/>
          <w:sz w:val="22"/>
          <w:szCs w:val="22"/>
        </w:rPr>
        <w:t xml:space="preserve">Using our three confirmed characters from the credit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20"/>
        <w:gridCol w:w="1620"/>
        <w:gridCol w:w="1620"/>
      </w:tblGrid>
      <w:tr>
        <w:trPr>
          <w:tblHeader/>
        </w:trPr>
        <w:tc>
          <w:tcPr>
            <w:tcW w:type="dxa" w:w="420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c>
          <w:tcPr>
            <w:tcW w:type="dxa" w:w="192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Credits earned</w:t>
            </w:r>
          </w:p>
        </w:tc>
        <w:tc>
          <w:tcPr>
            <w:tcW w:type="dxa" w:w="162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XP gained</w:t>
            </w:r>
          </w:p>
        </w:tc>
        <w:tc>
          <w:tcPr>
            <w:tcW w:type="dxa" w:w="162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Why the difference</w:t>
            </w:r>
          </w:p>
        </w:tc>
      </w:tr>
      <w:tr>
        <w:tc>
          <w:tcPr>
            <w:tcW w:type="dxa" w:w="420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Karim — 1h data entry (Starter x Unverified)</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1.0 cr</w:t>
            </w:r>
          </w:p>
        </w:tc>
        <w:tc>
          <w:tcPr>
            <w:tcW w:type="dxa" w:w="16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10 XP</w:t>
            </w:r>
          </w:p>
        </w:tc>
        <w:tc>
          <w:tcPr>
            <w:tcW w:type="dxa" w:w="16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Just started, base rate</w:t>
            </w:r>
          </w:p>
        </w:tc>
      </w:tr>
      <w:tr>
        <w:tc>
          <w:tcPr>
            <w:tcW w:type="dxa" w:w="420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Yasmine — 2h Python tutoring (Intermediate x Gold)</w:t>
            </w:r>
          </w:p>
        </w:tc>
        <w:tc>
          <w:tcPr>
            <w:tcW w:type="dxa" w:w="192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3.6 cr</w:t>
            </w:r>
          </w:p>
        </w:tc>
        <w:tc>
          <w:tcPr>
            <w:tcW w:type="dxa" w:w="162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36 XP</w:t>
            </w:r>
          </w:p>
        </w:tc>
        <w:tc>
          <w:tcPr>
            <w:tcW w:type="dxa" w:w="162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Active contributor, validated</w:t>
            </w:r>
          </w:p>
        </w:tc>
      </w:tr>
      <w:tr>
        <w:tc>
          <w:tcPr>
            <w:tcW w:type="dxa" w:w="420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Rania — 3h ML architecture (Expert x Verified)</w:t>
            </w:r>
          </w:p>
        </w:tc>
        <w:tc>
          <w:tcPr>
            <w:tcW w:type="dxa" w:w="192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7.8 cr</w:t>
            </w:r>
          </w:p>
        </w:tc>
        <w:tc>
          <w:tcPr>
            <w:tcW w:type="dxa" w:w="162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78 XP</w:t>
            </w:r>
          </w:p>
        </w:tc>
        <w:tc>
          <w:tcPr>
            <w:tcW w:type="dxa" w:w="162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Months of real work invested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F6E56" w:val="clear"/>
          </w:tcPr>
          <w:p>
            <w:r>
              <w:t xml:space="preserve"/>
            </w:r>
          </w:p>
        </w:tc>
        <w:tc>
          <w:tcPr>
            <w:tcW w:type="dxa" w:w="92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085041"/>
                <w:sz w:val="21"/>
                <w:szCs w:val="21"/>
              </w:rPr>
              <w:t xml:space="preserve">The XP gap between Karim and Rania is intentional. Rania invested months of real work, real project completions, and real mentor validation to reach Expert x Verified. Her public reputation on the platform should clearly reflect that difference. The system rewards genuine growth.</w:t>
            </w:r>
          </w:p>
        </w:tc>
      </w:tr>
    </w:tbl>
    <w:p>
      <w:pPr>
        <w:pBdr>
          <w:bottom w:val="single" w:color="E5E5E0" w:sz="4" w:space="4"/>
        </w:pBdr>
        <w:spacing w:after="100" w:before="320"/>
      </w:pPr>
      <w:r>
        <w:rPr>
          <w:rFonts w:ascii="Arial" w:cs="Arial" w:eastAsia="Arial" w:hAnsi="Arial"/>
          <w:b/>
          <w:bCs/>
          <w:color w:val="888780"/>
          <w:sz w:val="18"/>
          <w:szCs w:val="18"/>
        </w:rPr>
        <w:t xml:space="preserve">PART 3 — LEVEL SYSTEM</w:t>
      </w:r>
    </w:p>
    <w:p>
      <w:pPr>
        <w:pStyle w:val="Heading2"/>
        <w:spacing w:after="100" w:before="200"/>
      </w:pPr>
      <w:r>
        <w:rPr>
          <w:rFonts w:ascii="Arial" w:cs="Arial" w:eastAsia="Arial" w:hAnsi="Arial"/>
          <w:b/>
          <w:bCs/>
          <w:color w:val="1A1A18"/>
          <w:sz w:val="28"/>
          <w:szCs w:val="28"/>
        </w:rPr>
        <w:t xml:space="preserve">6 levels. Fast early, slow at the top.</w:t>
      </w:r>
    </w:p>
    <w:p>
      <w:pPr>
        <w:spacing w:after="60" w:before="60"/>
      </w:pPr>
      <w:r>
        <w:rPr>
          <w:rFonts w:ascii="Arial" w:cs="Arial" w:eastAsia="Arial" w:hAnsi="Arial"/>
          <w:color w:val="555555"/>
          <w:sz w:val="22"/>
          <w:szCs w:val="22"/>
        </w:rPr>
        <w:t xml:space="preserve">Early levels are easy to reach so that new users feel progress quickly and stay motivated. The top levels require sustained real activity over months — this keeps them meaningful and hard to fake.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80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XP range &amp; progress</w:t>
            </w:r>
          </w:p>
        </w:tc>
        <w:tc>
          <w:tcPr>
            <w:tcW w:type="dxa" w:w="280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56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Approx. sessions to reach</w:t>
            </w:r>
          </w:p>
        </w:tc>
      </w:tr>
      <w:tr>
        <w:tc>
          <w:tcPr>
            <w:tcW w:type="dxa" w:w="120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vAlign w:val="center"/>
          </w:tcPr>
          <w:p>
            <w:pPr>
              <w:jc w:val="center"/>
            </w:pPr>
            <w:r>
              <w:rPr>
                <w:rFonts w:ascii="Arial" w:cs="Arial" w:eastAsia="Arial" w:hAnsi="Arial"/>
                <w:b/>
                <w:bCs/>
                <w:color w:val="888780"/>
                <w:sz w:val="22"/>
                <w:szCs w:val="22"/>
              </w:rPr>
              <w:t xml:space="preserve">Lv 1</w:t>
            </w:r>
          </w:p>
        </w:tc>
        <w:tc>
          <w:tcPr>
            <w:tcW w:type="dxa" w:w="2800"/>
            <w:tcBorders>
              <w:top w:val="single" w:color="E5E5E0" w:sz="1"/>
              <w:left w:val="single" w:color="E5E5E0" w:sz="1"/>
              <w:bottom w:val="single" w:color="E5E5E0" w:sz="1"/>
              <w:right w:val="single" w:color="E5E5E0" w:sz="1"/>
            </w:tcBorders>
            <w:tcMar>
              <w:top w:type="dxa" w:w="80"/>
              <w:left w:type="dxa" w:w="100"/>
              <w:bottom w:type="dxa" w:w="80"/>
              <w:right w:type="dxa" w:w="100"/>
            </w:tcMar>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468"/>
              <w:gridCol w:w="8892"/>
            </w:tblGrid>
            <w:tr>
              <w:tc>
                <w:tcPr>
                  <w:tcW w:type="dxa" w:w="468"/>
                  <w:tcBorders>
                    <w:top w:val="none" w:color="FFFFFF" w:sz="0"/>
                    <w:left w:val="none" w:color="FFFFFF" w:sz="0"/>
                    <w:bottom w:val="none" w:color="FFFFFF" w:sz="0"/>
                    <w:right w:val="none" w:color="FFFFFF" w:sz="0"/>
                  </w:tcBorders>
                  <w:shd w:fill="C94F1F" w:val="clear"/>
                </w:tcPr>
                <w:p>
                  <w:r>
                    <w:t xml:space="preserve"/>
                  </w:r>
                </w:p>
              </w:tc>
              <w:tc>
                <w:tcPr>
                  <w:tcW w:type="dxa" w:w="8892"/>
                  <w:tcBorders>
                    <w:top w:val="none" w:color="FFFFFF" w:sz="0"/>
                    <w:left w:val="none" w:color="FFFFFF" w:sz="0"/>
                    <w:bottom w:val="none" w:color="FFFFFF" w:sz="0"/>
                    <w:right w:val="none" w:color="FFFFFF" w:sz="0"/>
                  </w:tcBorders>
                  <w:shd w:fill="F1EFE8" w:val="clear"/>
                </w:tcPr>
                <w:p>
                  <w:r>
                    <w:t xml:space="preserve"/>
                  </w:r>
                </w:p>
              </w:tc>
            </w:tr>
          </w:tbl>
          <w:p>
            <w:pPr>
              <w:spacing w:after="0" w:before="40"/>
            </w:pPr>
            <w:r>
              <w:rPr>
                <w:rFonts w:ascii="Arial" w:cs="Arial" w:eastAsia="Arial" w:hAnsi="Arial"/>
                <w:color w:val="777777"/>
                <w:sz w:val="19"/>
                <w:szCs w:val="19"/>
              </w:rPr>
              <w:t xml:space="preserve">0 – 100 XP</w:t>
            </w:r>
          </w:p>
        </w:tc>
        <w:tc>
          <w:tcPr>
            <w:tcW w:type="dxa" w:w="280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555555"/>
                <w:sz w:val="22"/>
                <w:szCs w:val="22"/>
              </w:rPr>
              <w:t xml:space="preserve">Seed — Starting point</w:t>
            </w:r>
          </w:p>
        </w:tc>
        <w:tc>
          <w:tcPr>
            <w:tcW w:type="dxa" w:w="256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777777"/>
                <w:sz w:val="21"/>
                <w:szCs w:val="21"/>
              </w:rPr>
              <w:t xml:space="preserve">Starting point</w:t>
            </w:r>
          </w:p>
        </w:tc>
      </w:tr>
      <w:tr>
        <w:tc>
          <w:tcPr>
            <w:tcW w:type="dxa" w:w="1200"/>
            <w:tcBorders>
              <w:top w:val="single" w:color="E5E5E0" w:sz="1"/>
              <w:left w:val="single" w:color="E5E5E0" w:sz="1"/>
              <w:bottom w:val="single" w:color="E5E5E0" w:sz="1"/>
              <w:right w:val="single" w:color="E5E5E0"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22"/>
                <w:szCs w:val="22"/>
              </w:rPr>
              <w:t xml:space="preserve">Lv 2</w:t>
            </w:r>
          </w:p>
        </w:tc>
        <w:tc>
          <w:tcPr>
            <w:tcW w:type="dxa" w:w="2800"/>
            <w:tcBorders>
              <w:top w:val="single" w:color="E5E5E0" w:sz="1"/>
              <w:left w:val="single" w:color="E5E5E0" w:sz="1"/>
              <w:bottom w:val="single" w:color="E5E5E0" w:sz="1"/>
              <w:right w:val="single" w:color="E5E5E0" w:sz="1"/>
            </w:tcBorders>
            <w:tcMar>
              <w:top w:type="dxa" w:w="80"/>
              <w:left w:type="dxa" w:w="100"/>
              <w:bottom w:type="dxa" w:w="80"/>
              <w:right w:type="dxa" w:w="100"/>
            </w:tcMar>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none" w:color="FFFFFF" w:sz="0"/>
                    <w:left w:val="none" w:color="FFFFFF" w:sz="0"/>
                    <w:bottom w:val="none" w:color="FFFFFF" w:sz="0"/>
                    <w:right w:val="none" w:color="FFFFFF" w:sz="0"/>
                  </w:tcBorders>
                  <w:shd w:fill="C94F1F" w:val="clear"/>
                </w:tcPr>
                <w:p>
                  <w:r>
                    <w:t xml:space="preserve"/>
                  </w:r>
                </w:p>
              </w:tc>
              <w:tc>
                <w:tcPr>
                  <w:tcW w:type="dxa" w:w="7488"/>
                  <w:tcBorders>
                    <w:top w:val="none" w:color="FFFFFF" w:sz="0"/>
                    <w:left w:val="none" w:color="FFFFFF" w:sz="0"/>
                    <w:bottom w:val="none" w:color="FFFFFF" w:sz="0"/>
                    <w:right w:val="none" w:color="FFFFFF" w:sz="0"/>
                  </w:tcBorders>
                  <w:shd w:fill="F1EFE8" w:val="clear"/>
                </w:tcPr>
                <w:p>
                  <w:r>
                    <w:t xml:space="preserve"/>
                  </w:r>
                </w:p>
              </w:tc>
            </w:tr>
          </w:tbl>
          <w:p>
            <w:pPr>
              <w:spacing w:after="0" w:before="40"/>
            </w:pPr>
            <w:r>
              <w:rPr>
                <w:rFonts w:ascii="Arial" w:cs="Arial" w:eastAsia="Arial" w:hAnsi="Arial"/>
                <w:color w:val="777777"/>
                <w:sz w:val="19"/>
                <w:szCs w:val="19"/>
              </w:rPr>
              <w:t xml:space="preserve">100 – 350 XP</w:t>
            </w:r>
          </w:p>
        </w:tc>
        <w:tc>
          <w:tcPr>
            <w:tcW w:type="dxa" w:w="280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555555"/>
                <w:sz w:val="22"/>
                <w:szCs w:val="22"/>
              </w:rPr>
              <w:t xml:space="preserve">Sprout — First contributions</w:t>
            </w:r>
          </w:p>
        </w:tc>
        <w:tc>
          <w:tcPr>
            <w:tcW w:type="dxa" w:w="256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777777"/>
                <w:sz w:val="21"/>
                <w:szCs w:val="21"/>
              </w:rPr>
              <w:t xml:space="preserve">~10 sessions</w:t>
            </w:r>
          </w:p>
        </w:tc>
      </w:tr>
      <w:tr>
        <w:tc>
          <w:tcPr>
            <w:tcW w:type="dxa" w:w="120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22"/>
                <w:szCs w:val="22"/>
              </w:rPr>
              <w:t xml:space="preserve">Lv 3</w:t>
            </w:r>
          </w:p>
        </w:tc>
        <w:tc>
          <w:tcPr>
            <w:tcW w:type="dxa" w:w="2800"/>
            <w:tcBorders>
              <w:top w:val="single" w:color="E5E5E0" w:sz="1"/>
              <w:left w:val="single" w:color="E5E5E0" w:sz="1"/>
              <w:bottom w:val="single" w:color="E5E5E0" w:sz="1"/>
              <w:right w:val="single" w:color="E5E5E0" w:sz="1"/>
            </w:tcBorders>
            <w:tcMar>
              <w:top w:type="dxa" w:w="80"/>
              <w:left w:type="dxa" w:w="100"/>
              <w:bottom w:type="dxa" w:w="80"/>
              <w:right w:type="dxa" w:w="100"/>
            </w:tcMar>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c>
                <w:tcPr>
                  <w:tcW w:type="dxa" w:w="3557"/>
                  <w:tcBorders>
                    <w:top w:val="none" w:color="FFFFFF" w:sz="0"/>
                    <w:left w:val="none" w:color="FFFFFF" w:sz="0"/>
                    <w:bottom w:val="none" w:color="FFFFFF" w:sz="0"/>
                    <w:right w:val="none" w:color="FFFFFF" w:sz="0"/>
                  </w:tcBorders>
                  <w:shd w:fill="C94F1F" w:val="clear"/>
                </w:tcPr>
                <w:p>
                  <w:r>
                    <w:t xml:space="preserve"/>
                  </w:r>
                </w:p>
              </w:tc>
              <w:tc>
                <w:tcPr>
                  <w:tcW w:type="dxa" w:w="5803"/>
                  <w:tcBorders>
                    <w:top w:val="none" w:color="FFFFFF" w:sz="0"/>
                    <w:left w:val="none" w:color="FFFFFF" w:sz="0"/>
                    <w:bottom w:val="none" w:color="FFFFFF" w:sz="0"/>
                    <w:right w:val="none" w:color="FFFFFF" w:sz="0"/>
                  </w:tcBorders>
                  <w:shd w:fill="F1EFE8" w:val="clear"/>
                </w:tcPr>
                <w:p>
                  <w:r>
                    <w:t xml:space="preserve"/>
                  </w:r>
                </w:p>
              </w:tc>
            </w:tr>
          </w:tbl>
          <w:p>
            <w:pPr>
              <w:spacing w:after="0" w:before="40"/>
            </w:pPr>
            <w:r>
              <w:rPr>
                <w:rFonts w:ascii="Arial" w:cs="Arial" w:eastAsia="Arial" w:hAnsi="Arial"/>
                <w:color w:val="777777"/>
                <w:sz w:val="19"/>
                <w:szCs w:val="19"/>
              </w:rPr>
              <w:t xml:space="preserve">350 – 800 XP</w:t>
            </w:r>
          </w:p>
        </w:tc>
        <w:tc>
          <w:tcPr>
            <w:tcW w:type="dxa" w:w="280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555555"/>
                <w:sz w:val="22"/>
                <w:szCs w:val="22"/>
              </w:rPr>
              <w:t xml:space="preserve">Grower — Regular contributor</w:t>
            </w:r>
          </w:p>
        </w:tc>
        <w:tc>
          <w:tcPr>
            <w:tcW w:type="dxa" w:w="256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777777"/>
                <w:sz w:val="21"/>
                <w:szCs w:val="21"/>
              </w:rPr>
              <w:t xml:space="preserve">~35 sessions</w:t>
            </w:r>
          </w:p>
        </w:tc>
      </w:tr>
      <w:tr>
        <w:tc>
          <w:tcPr>
            <w:tcW w:type="dxa" w:w="1200"/>
            <w:tcBorders>
              <w:top w:val="single" w:color="E5E5E0" w:sz="1"/>
              <w:left w:val="single" w:color="E5E5E0" w:sz="1"/>
              <w:bottom w:val="single" w:color="E5E5E0" w:sz="1"/>
              <w:right w:val="single" w:color="E5E5E0"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3C3489"/>
                <w:sz w:val="22"/>
                <w:szCs w:val="22"/>
              </w:rPr>
              <w:t xml:space="preserve">Lv 4</w:t>
            </w:r>
          </w:p>
        </w:tc>
        <w:tc>
          <w:tcPr>
            <w:tcW w:type="dxa" w:w="2800"/>
            <w:tcBorders>
              <w:top w:val="single" w:color="E5E5E0" w:sz="1"/>
              <w:left w:val="single" w:color="E5E5E0" w:sz="1"/>
              <w:bottom w:val="single" w:color="E5E5E0" w:sz="1"/>
              <w:right w:val="single" w:color="E5E5E0" w:sz="1"/>
            </w:tcBorders>
            <w:tcMar>
              <w:top w:type="dxa" w:w="80"/>
              <w:left w:type="dxa" w:w="100"/>
              <w:bottom w:type="dxa" w:w="80"/>
              <w:right w:type="dxa" w:w="100"/>
            </w:tcMar>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5429"/>
              <w:gridCol w:w="3931"/>
            </w:tblGrid>
            <w:tr>
              <w:tc>
                <w:tcPr>
                  <w:tcW w:type="dxa" w:w="5429"/>
                  <w:tcBorders>
                    <w:top w:val="none" w:color="FFFFFF" w:sz="0"/>
                    <w:left w:val="none" w:color="FFFFFF" w:sz="0"/>
                    <w:bottom w:val="none" w:color="FFFFFF" w:sz="0"/>
                    <w:right w:val="none" w:color="FFFFFF" w:sz="0"/>
                  </w:tcBorders>
                  <w:shd w:fill="C94F1F" w:val="clear"/>
                </w:tcPr>
                <w:p>
                  <w:r>
                    <w:t xml:space="preserve"/>
                  </w:r>
                </w:p>
              </w:tc>
              <w:tc>
                <w:tcPr>
                  <w:tcW w:type="dxa" w:w="3931"/>
                  <w:tcBorders>
                    <w:top w:val="none" w:color="FFFFFF" w:sz="0"/>
                    <w:left w:val="none" w:color="FFFFFF" w:sz="0"/>
                    <w:bottom w:val="none" w:color="FFFFFF" w:sz="0"/>
                    <w:right w:val="none" w:color="FFFFFF" w:sz="0"/>
                  </w:tcBorders>
                  <w:shd w:fill="F1EFE8" w:val="clear"/>
                </w:tcPr>
                <w:p>
                  <w:r>
                    <w:t xml:space="preserve"/>
                  </w:r>
                </w:p>
              </w:tc>
            </w:tr>
          </w:tbl>
          <w:p>
            <w:pPr>
              <w:spacing w:after="0" w:before="40"/>
            </w:pPr>
            <w:r>
              <w:rPr>
                <w:rFonts w:ascii="Arial" w:cs="Arial" w:eastAsia="Arial" w:hAnsi="Arial"/>
                <w:color w:val="777777"/>
                <w:sz w:val="19"/>
                <w:szCs w:val="19"/>
              </w:rPr>
              <w:t xml:space="preserve">800 – 1,500 XP</w:t>
            </w:r>
          </w:p>
        </w:tc>
        <w:tc>
          <w:tcPr>
            <w:tcW w:type="dxa" w:w="280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555555"/>
                <w:sz w:val="22"/>
                <w:szCs w:val="22"/>
              </w:rPr>
              <w:t xml:space="preserve">Builder — Established member</w:t>
            </w:r>
          </w:p>
        </w:tc>
        <w:tc>
          <w:tcPr>
            <w:tcW w:type="dxa" w:w="256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777777"/>
                <w:sz w:val="21"/>
                <w:szCs w:val="21"/>
              </w:rPr>
              <w:t xml:space="preserve">~80 sessions</w:t>
            </w:r>
          </w:p>
        </w:tc>
      </w:tr>
      <w:tr>
        <w:tc>
          <w:tcPr>
            <w:tcW w:type="dxa" w:w="1200"/>
            <w:tcBorders>
              <w:top w:val="single" w:color="E5E5E0" w:sz="1"/>
              <w:left w:val="single" w:color="E5E5E0" w:sz="1"/>
              <w:bottom w:val="single" w:color="E5E5E0" w:sz="1"/>
              <w:right w:val="single" w:color="E5E5E0" w:sz="1"/>
            </w:tcBorders>
            <w:shd w:fill="FAECE7" w:val="clear"/>
            <w:tcMar>
              <w:top w:type="dxa" w:w="100"/>
              <w:left w:type="dxa" w:w="140"/>
              <w:bottom w:type="dxa" w:w="100"/>
              <w:right w:type="dxa" w:w="140"/>
            </w:tcMar>
            <w:vAlign w:val="center"/>
          </w:tcPr>
          <w:p>
            <w:pPr>
              <w:jc w:val="center"/>
            </w:pPr>
            <w:r>
              <w:rPr>
                <w:rFonts w:ascii="Arial" w:cs="Arial" w:eastAsia="Arial" w:hAnsi="Arial"/>
                <w:b/>
                <w:bCs/>
                <w:color w:val="712B13"/>
                <w:sz w:val="22"/>
                <w:szCs w:val="22"/>
              </w:rPr>
              <w:t xml:space="preserve">Lv 5</w:t>
            </w:r>
          </w:p>
        </w:tc>
        <w:tc>
          <w:tcPr>
            <w:tcW w:type="dxa" w:w="2800"/>
            <w:tcBorders>
              <w:top w:val="single" w:color="E5E5E0" w:sz="1"/>
              <w:left w:val="single" w:color="E5E5E0" w:sz="1"/>
              <w:bottom w:val="single" w:color="E5E5E0" w:sz="1"/>
              <w:right w:val="single" w:color="E5E5E0" w:sz="1"/>
            </w:tcBorders>
            <w:tcMar>
              <w:top w:type="dxa" w:w="80"/>
              <w:left w:type="dxa" w:w="100"/>
              <w:bottom w:type="dxa" w:w="80"/>
              <w:right w:type="dxa" w:w="100"/>
            </w:tcMar>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7301"/>
              <w:gridCol w:w="2059"/>
            </w:tblGrid>
            <w:tr>
              <w:tc>
                <w:tcPr>
                  <w:tcW w:type="dxa" w:w="7301"/>
                  <w:tcBorders>
                    <w:top w:val="none" w:color="FFFFFF" w:sz="0"/>
                    <w:left w:val="none" w:color="FFFFFF" w:sz="0"/>
                    <w:bottom w:val="none" w:color="FFFFFF" w:sz="0"/>
                    <w:right w:val="none" w:color="FFFFFF" w:sz="0"/>
                  </w:tcBorders>
                  <w:shd w:fill="C94F1F" w:val="clear"/>
                </w:tcPr>
                <w:p>
                  <w:r>
                    <w:t xml:space="preserve"/>
                  </w:r>
                </w:p>
              </w:tc>
              <w:tc>
                <w:tcPr>
                  <w:tcW w:type="dxa" w:w="2059"/>
                  <w:tcBorders>
                    <w:top w:val="none" w:color="FFFFFF" w:sz="0"/>
                    <w:left w:val="none" w:color="FFFFFF" w:sz="0"/>
                    <w:bottom w:val="none" w:color="FFFFFF" w:sz="0"/>
                    <w:right w:val="none" w:color="FFFFFF" w:sz="0"/>
                  </w:tcBorders>
                  <w:shd w:fill="F1EFE8" w:val="clear"/>
                </w:tcPr>
                <w:p>
                  <w:r>
                    <w:t xml:space="preserve"/>
                  </w:r>
                </w:p>
              </w:tc>
            </w:tr>
          </w:tbl>
          <w:p>
            <w:pPr>
              <w:spacing w:after="0" w:before="40"/>
            </w:pPr>
            <w:r>
              <w:rPr>
                <w:rFonts w:ascii="Arial" w:cs="Arial" w:eastAsia="Arial" w:hAnsi="Arial"/>
                <w:color w:val="777777"/>
                <w:sz w:val="19"/>
                <w:szCs w:val="19"/>
              </w:rPr>
              <w:t xml:space="preserve">1,500 – 3,000 XP</w:t>
            </w:r>
          </w:p>
        </w:tc>
        <w:tc>
          <w:tcPr>
            <w:tcW w:type="dxa" w:w="280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555555"/>
                <w:sz w:val="22"/>
                <w:szCs w:val="22"/>
              </w:rPr>
              <w:t xml:space="preserve">Guide — Experienced mentor</w:t>
            </w:r>
          </w:p>
        </w:tc>
        <w:tc>
          <w:tcPr>
            <w:tcW w:type="dxa" w:w="256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777777"/>
                <w:sz w:val="21"/>
                <w:szCs w:val="21"/>
              </w:rPr>
              <w:t xml:space="preserve">~150 sessions</w:t>
            </w:r>
          </w:p>
        </w:tc>
      </w:tr>
      <w:tr>
        <w:tc>
          <w:tcPr>
            <w:tcW w:type="dxa" w:w="120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Lv 6</w:t>
            </w:r>
          </w:p>
        </w:tc>
        <w:tc>
          <w:tcPr>
            <w:tcW w:type="dxa" w:w="2800"/>
            <w:tcBorders>
              <w:top w:val="single" w:color="E5E5E0" w:sz="1"/>
              <w:left w:val="single" w:color="E5E5E0" w:sz="1"/>
              <w:bottom w:val="single" w:color="E5E5E0" w:sz="1"/>
              <w:right w:val="single" w:color="E5E5E0" w:sz="1"/>
            </w:tcBorders>
            <w:tcMar>
              <w:top w:type="dxa" w:w="80"/>
              <w:left w:type="dxa" w:w="100"/>
              <w:bottom w:type="dxa" w:w="80"/>
              <w:right w:type="dxa" w:w="100"/>
            </w:tcMar>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4F1F" w:val="clear"/>
                </w:tcPr>
                <w:p>
                  <w:r>
                    <w:t xml:space="preserve"/>
                  </w:r>
                </w:p>
              </w:tc>
            </w:tr>
          </w:tbl>
          <w:p>
            <w:pPr>
              <w:spacing w:after="0" w:before="40"/>
            </w:pPr>
            <w:r>
              <w:rPr>
                <w:rFonts w:ascii="Arial" w:cs="Arial" w:eastAsia="Arial" w:hAnsi="Arial"/>
                <w:color w:val="777777"/>
                <w:sz w:val="19"/>
                <w:szCs w:val="19"/>
              </w:rPr>
              <w:t xml:space="preserve">3,000+ XP</w:t>
            </w:r>
          </w:p>
        </w:tc>
        <w:tc>
          <w:tcPr>
            <w:tcW w:type="dxa" w:w="280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555555"/>
                <w:sz w:val="22"/>
                <w:szCs w:val="22"/>
              </w:rPr>
              <w:t xml:space="preserve">Oasis — Platform pillar</w:t>
            </w:r>
          </w:p>
        </w:tc>
        <w:tc>
          <w:tcPr>
            <w:tcW w:type="dxa" w:w="2560"/>
            <w:tcBorders>
              <w:top w:val="single" w:color="E5E5E0" w:sz="1"/>
              <w:left w:val="single" w:color="E5E5E0" w:sz="1"/>
              <w:bottom w:val="single" w:color="E5E5E0" w:sz="1"/>
              <w:right w:val="single" w:color="E5E5E0" w:sz="1"/>
            </w:tcBorders>
            <w:tcMar>
              <w:top w:type="dxa" w:w="100"/>
              <w:left w:type="dxa" w:w="140"/>
              <w:bottom w:type="dxa" w:w="100"/>
              <w:right w:type="dxa" w:w="140"/>
            </w:tcMar>
            <w:vAlign w:val="center"/>
          </w:tcPr>
          <w:p>
            <w:r>
              <w:rPr>
                <w:rFonts w:ascii="Arial" w:cs="Arial" w:eastAsia="Arial" w:hAnsi="Arial"/>
                <w:color w:val="777777"/>
                <w:sz w:val="21"/>
                <w:szCs w:val="21"/>
              </w:rPr>
              <w:t xml:space="preserve">~300+ sessions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34AB7" w:val="clear"/>
          </w:tcPr>
          <w:p>
            <w:r>
              <w:t xml:space="preserve"/>
            </w:r>
          </w:p>
        </w:tc>
        <w:tc>
          <w:tcPr>
            <w:tcW w:type="dxa" w:w="924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r>
              <w:rPr>
                <w:rFonts w:ascii="Arial" w:cs="Arial" w:eastAsia="Arial" w:hAnsi="Arial"/>
                <w:color w:val="3C3489"/>
                <w:sz w:val="21"/>
                <w:szCs w:val="21"/>
              </w:rPr>
              <w:t xml:space="preserve">Session count estimates are based on an average earn of ~2 credits/session = 20 XP. A Starter user earning 1.0 cr/session will level more slowly. An Expert earning 7.8 cr/session will progress significantly faster. The system naturally rewards skill growth — getting validated and climbing skill tiers accelerates your XP level too.</w:t>
            </w:r>
          </w:p>
        </w:tc>
      </w:tr>
    </w:tbl>
    <w:p>
      <w:pPr>
        <w:spacing w:after="0" w:before="120"/>
      </w:pPr>
      <w:r>
        <w:t xml:space="preserve"/>
      </w:r>
    </w:p>
    <w:p>
      <w:pPr>
        <w:spacing w:after="80" w:before="160"/>
      </w:pPr>
      <w:r>
        <w:rPr>
          <w:rFonts w:ascii="Arial" w:cs="Arial" w:eastAsia="Arial" w:hAnsi="Arial"/>
          <w:b/>
          <w:bCs/>
          <w:color w:val="1A1A18"/>
          <w:sz w:val="23"/>
          <w:szCs w:val="23"/>
        </w:rPr>
        <w:t xml:space="preserve">Why these level names?</w:t>
      </w:r>
    </w:p>
    <w:p>
      <w:pPr>
        <w:spacing w:after="60" w:before="60"/>
      </w:pPr>
      <w:r>
        <w:rPr>
          <w:rFonts w:ascii="Arial" w:cs="Arial" w:eastAsia="Arial" w:hAnsi="Arial"/>
          <w:color w:val="555555"/>
          <w:sz w:val="22"/>
          <w:szCs w:val="22"/>
        </w:rPr>
        <w:t xml:space="preserve">The six titles follow the Fenneky brand narrative — the desert-to-oasis journey. Every user starts as a Seed in the desert. Through real work and real collaboration they grow, build, guide, and eventually become an Oasis — a source of value for others around them. The names are not random, they map to the brand story.</w:t>
      </w:r>
    </w:p>
    <w:p>
      <w:pPr>
        <w:pBdr>
          <w:bottom w:val="single" w:color="E5E5E0" w:sz="4" w:space="4"/>
        </w:pBdr>
        <w:spacing w:after="100" w:before="320"/>
      </w:pPr>
      <w:r>
        <w:rPr>
          <w:rFonts w:ascii="Arial" w:cs="Arial" w:eastAsia="Arial" w:hAnsi="Arial"/>
          <w:b/>
          <w:bCs/>
          <w:color w:val="888780"/>
          <w:sz w:val="18"/>
          <w:szCs w:val="18"/>
        </w:rPr>
        <w:t xml:space="preserve">PART 4 — WHAT THE LEVEL SHOWS ON THE PUBLIC PROFILE</w:t>
      </w:r>
    </w:p>
    <w:p>
      <w:pPr>
        <w:pStyle w:val="Heading2"/>
        <w:spacing w:after="100" w:before="200"/>
      </w:pPr>
      <w:r>
        <w:rPr>
          <w:rFonts w:ascii="Arial" w:cs="Arial" w:eastAsia="Arial" w:hAnsi="Arial"/>
          <w:b/>
          <w:bCs/>
          <w:color w:val="1A1A18"/>
          <w:sz w:val="28"/>
          <w:szCs w:val="28"/>
        </w:rPr>
        <w:t xml:space="preserve">Two separate reputation signals shown together</w:t>
      </w:r>
    </w:p>
    <w:p>
      <w:pPr>
        <w:spacing w:after="60" w:before="60"/>
      </w:pPr>
      <w:r>
        <w:rPr>
          <w:rFonts w:ascii="Arial" w:cs="Arial" w:eastAsia="Arial" w:hAnsi="Arial"/>
          <w:color w:val="555555"/>
          <w:sz w:val="22"/>
          <w:szCs w:val="22"/>
        </w:rPr>
        <w:t xml:space="preserve">The XP level and the trust score are both visible on a user's public profile. They answer different questions and must be understood as separate signals.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EEEDFE" w:val="clear"/>
            <w:tcMar>
              <w:top w:type="dxa" w:w="100"/>
              <w:left w:type="dxa" w:w="140"/>
              <w:bottom w:type="dxa" w:w="100"/>
              <w:right w:type="dxa" w:w="140"/>
            </w:tcMar>
          </w:tcPr>
          <w:p>
            <w:pPr>
              <w:spacing w:after="80" w:before="0"/>
            </w:pPr>
            <w:r>
              <w:rPr>
                <w:rFonts w:ascii="Arial" w:cs="Arial" w:eastAsia="Arial" w:hAnsi="Arial"/>
                <w:b/>
                <w:bCs/>
                <w:color w:val="3C3489"/>
                <w:sz w:val="23"/>
                <w:szCs w:val="23"/>
              </w:rPr>
              <w:t xml:space="preserve">XP Level</w:t>
            </w:r>
          </w:p>
          <w:p>
            <w:pPr>
              <w:spacing w:after="60" w:before="0"/>
            </w:pPr>
            <w:r>
              <w:rPr>
                <w:rFonts w:ascii="Arial" w:cs="Arial" w:eastAsia="Arial" w:hAnsi="Arial"/>
                <w:b/>
                <w:bCs/>
                <w:color w:val="534AB7"/>
                <w:sz w:val="21"/>
                <w:szCs w:val="21"/>
              </w:rPr>
              <w:t xml:space="preserve">Global — one level for the whole account.</w:t>
            </w:r>
          </w:p>
          <w:p>
            <w:pPr>
              <w:spacing w:after="0" w:before="0"/>
            </w:pPr>
            <w:r>
              <w:rPr>
                <w:rFonts w:ascii="Arial" w:cs="Arial" w:eastAsia="Arial" w:hAnsi="Arial"/>
                <w:color w:val="555555"/>
                <w:sz w:val="21"/>
                <w:szCs w:val="21"/>
              </w:rPr>
              <w:t xml:space="preserve">Shows total platform activity and contribution regardless of which skill the person teaches. Answers: how active and engaged is this person overall?</w:t>
            </w:r>
          </w:p>
        </w:tc>
        <w:tc>
          <w:tcPr>
            <w:tcW w:type="dxa" w:w="468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pPr>
              <w:spacing w:after="80" w:before="0"/>
            </w:pPr>
            <w:r>
              <w:rPr>
                <w:rFonts w:ascii="Arial" w:cs="Arial" w:eastAsia="Arial" w:hAnsi="Arial"/>
                <w:b/>
                <w:bCs/>
                <w:color w:val="085041"/>
                <w:sz w:val="23"/>
                <w:szCs w:val="23"/>
              </w:rPr>
              <w:t xml:space="preserve">Trust Score Badge</w:t>
            </w:r>
          </w:p>
          <w:p>
            <w:pPr>
              <w:spacing w:after="60" w:before="0"/>
            </w:pPr>
            <w:r>
              <w:rPr>
                <w:rFonts w:ascii="Arial" w:cs="Arial" w:eastAsia="Arial" w:hAnsi="Arial"/>
                <w:b/>
                <w:bCs/>
                <w:color w:val="0F6E56"/>
                <w:sz w:val="21"/>
                <w:szCs w:val="21"/>
              </w:rPr>
              <w:t xml:space="preserve">Per skill — separate badge for each skill.</w:t>
            </w:r>
          </w:p>
          <w:p>
            <w:pPr>
              <w:spacing w:after="0" w:before="0"/>
            </w:pPr>
            <w:r>
              <w:rPr>
                <w:rFonts w:ascii="Arial" w:cs="Arial" w:eastAsia="Arial" w:hAnsi="Arial"/>
                <w:color w:val="555555"/>
                <w:sz w:val="21"/>
                <w:szCs w:val="21"/>
              </w:rPr>
              <w:t xml:space="preserve">Shows verified credibility in a specific skill area (Python: Gold, UI/UX: Bronze). Answers: how verified and credible is this person in this particular skill?</w:t>
            </w:r>
          </w:p>
        </w:tc>
      </w:tr>
    </w:tbl>
    <w:p>
      <w:pPr>
        <w:spacing w:after="0" w:before="120"/>
      </w:pPr>
      <w:r>
        <w:t xml:space="preserve"/>
      </w:r>
    </w:p>
    <w:p>
      <w:pPr>
        <w:spacing w:after="80" w:before="160"/>
      </w:pPr>
      <w:r>
        <w:rPr>
          <w:rFonts w:ascii="Arial" w:cs="Arial" w:eastAsia="Arial" w:hAnsi="Arial"/>
          <w:b/>
          <w:bCs/>
          <w:color w:val="1A1A18"/>
          <w:sz w:val="23"/>
          <w:szCs w:val="23"/>
        </w:rPr>
        <w:t xml:space="preserve">Example profile header — what users see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1"/>
              <w:left w:val="single" w:color="E5E5E0" w:sz="1"/>
              <w:bottom w:val="single" w:color="E5E5E0" w:sz="1"/>
              <w:right w:val="single" w:color="E5E5E0" w:sz="1"/>
            </w:tcBorders>
            <w:shd w:fill="F1EFE8" w:val="clear"/>
            <w:tcMar>
              <w:top w:type="dxa" w:w="200"/>
              <w:left w:type="dxa" w:w="240"/>
              <w:bottom w:type="dxa" w:w="200"/>
              <w:right w:type="dxa" w:w="240"/>
            </w:tcMar>
          </w:tcPr>
          <w:p>
            <w:pPr>
              <w:spacing w:after="80" w:before="0"/>
            </w:pPr>
            <w:r>
              <w:rPr>
                <w:rFonts w:ascii="Arial" w:cs="Arial" w:eastAsia="Arial" w:hAnsi="Arial"/>
                <w:b/>
                <w:bCs/>
                <w:color w:val="1A1A18"/>
                <w:sz w:val="28"/>
                <w:szCs w:val="28"/>
              </w:rPr>
              <w:t xml:space="preserve">Yasmine B.</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600"/>
            </w:tblGrid>
            <w:tr>
              <w:tc>
                <w:tcPr>
                  <w:tcW w:type="dxa" w:w="24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tcPr>
                <w:p>
                  <w:r>
                    <w:rPr>
                      <w:rFonts w:ascii="Arial" w:cs="Arial" w:eastAsia="Arial" w:hAnsi="Arial"/>
                      <w:b/>
                      <w:bCs/>
                      <w:color w:val="085041"/>
                      <w:sz w:val="20"/>
                      <w:szCs w:val="20"/>
                    </w:rPr>
                    <w:t xml:space="preserve">Lv 3  Grower</w:t>
                  </w:r>
                </w:p>
              </w:tc>
              <w:tc>
                <w:tcPr>
                  <w:tcW w:type="dxa" w:w="2000"/>
                  <w:tcBorders>
                    <w:top w:val="none" w:color="FFFFFF" w:sz="0"/>
                    <w:left w:val="none" w:color="FFFFFF" w:sz="0"/>
                    <w:bottom w:val="none" w:color="FFFFFF" w:sz="0"/>
                    <w:right w:val="none" w:color="FFFFFF" w:sz="0"/>
                  </w:tcBorders>
                  <w:shd w:fill="EEEDFE" w:val="clear"/>
                  <w:tcMar>
                    <w:top w:type="dxa" w:w="60"/>
                    <w:left w:type="dxa" w:w="120"/>
                    <w:bottom w:type="dxa" w:w="60"/>
                    <w:right w:type="dxa" w:w="120"/>
                  </w:tcMar>
                </w:tcPr>
                <w:p>
                  <w:r>
                    <w:rPr>
                      <w:rFonts w:ascii="Arial" w:cs="Arial" w:eastAsia="Arial" w:hAnsi="Arial"/>
                      <w:color w:val="3C3489"/>
                      <w:sz w:val="20"/>
                      <w:szCs w:val="20"/>
                    </w:rPr>
                    <w:t xml:space="preserve">680 XP total</w:t>
                  </w:r>
                </w:p>
              </w:tc>
              <w:tc>
                <w:tcPr>
                  <w:tcW w:type="dxa" w:w="2000"/>
                  <w:tcBorders>
                    <w:top w:val="none" w:color="FFFFFF" w:sz="0"/>
                    <w:left w:val="none" w:color="FFFFFF" w:sz="0"/>
                    <w:bottom w:val="none" w:color="FFFFFF" w:sz="0"/>
                    <w:right w:val="none" w:color="FFFFFF" w:sz="0"/>
                  </w:tcBorders>
                  <w:shd w:fill="FAC775" w:val="clear"/>
                  <w:tcMar>
                    <w:top w:type="dxa" w:w="60"/>
                    <w:left w:type="dxa" w:w="120"/>
                    <w:bottom w:type="dxa" w:w="60"/>
                    <w:right w:type="dxa" w:w="120"/>
                  </w:tcMar>
                </w:tcPr>
                <w:p>
                  <w:r>
                    <w:rPr>
                      <w:rFonts w:ascii="Arial" w:cs="Arial" w:eastAsia="Arial" w:hAnsi="Arial"/>
                      <w:b/>
                      <w:bCs/>
                      <w:color w:val="412402"/>
                      <w:sz w:val="20"/>
                      <w:szCs w:val="20"/>
                    </w:rPr>
                    <w:t xml:space="preserve">Python  Gold</w:t>
                  </w:r>
                </w:p>
              </w:tc>
              <w:tc>
                <w:tcPr>
                  <w:tcW w:type="dxa" w:w="1600"/>
                  <w:tcBorders>
                    <w:top w:val="none" w:color="FFFFFF" w:sz="0"/>
                    <w:left w:val="none" w:color="FFFFFF" w:sz="0"/>
                    <w:bottom w:val="none" w:color="FFFFFF" w:sz="0"/>
                    <w:right w:val="none" w:color="FFFFFF" w:sz="0"/>
                  </w:tcBorders>
                  <w:shd w:fill="D3D1C7" w:val="clear"/>
                  <w:tcMar>
                    <w:top w:type="dxa" w:w="60"/>
                    <w:left w:type="dxa" w:w="120"/>
                    <w:bottom w:type="dxa" w:w="60"/>
                    <w:right w:type="dxa" w:w="120"/>
                  </w:tcMar>
                </w:tcPr>
                <w:p>
                  <w:r>
                    <w:rPr>
                      <w:rFonts w:ascii="Arial" w:cs="Arial" w:eastAsia="Arial" w:hAnsi="Arial"/>
                      <w:color w:val="444441"/>
                      <w:sz w:val="20"/>
                      <w:szCs w:val="20"/>
                    </w:rPr>
                    <w:t xml:space="preserve">UI/UX  Bronze</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F6E56" w:val="clear"/>
          </w:tcPr>
          <w:p>
            <w:r>
              <w:t xml:space="preserve"/>
            </w:r>
          </w:p>
        </w:tc>
        <w:tc>
          <w:tcPr>
            <w:tcW w:type="dxa" w:w="92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085041"/>
                <w:sz w:val="21"/>
                <w:szCs w:val="21"/>
              </w:rPr>
              <w:t xml:space="preserve">Reading Yasmine's profile: she is a Lv 3 Grower (moderately active overall), Gold-verified in Python (strong credibility, real project history), Bronze in UI/UX (validated but early stage). Two skills, two separate trust levels, one global XP level. All three signals visible at a glance.</w:t>
            </w:r>
          </w:p>
        </w:tc>
      </w:tr>
    </w:tbl>
    <w:p>
      <w:pPr>
        <w:pBdr>
          <w:bottom w:val="single" w:color="E5E5E0" w:sz="4" w:space="4"/>
        </w:pBdr>
        <w:spacing w:after="100" w:before="320"/>
      </w:pPr>
      <w:r>
        <w:rPr>
          <w:rFonts w:ascii="Arial" w:cs="Arial" w:eastAsia="Arial" w:hAnsi="Arial"/>
          <w:b/>
          <w:bCs/>
          <w:color w:val="888780"/>
          <w:sz w:val="18"/>
          <w:szCs w:val="18"/>
        </w:rPr>
        <w:t xml:space="preserve">PART 5 — V2 PLANNED: EXCLUSIVE XP SOURCES</w:t>
      </w:r>
    </w:p>
    <w:p>
      <w:pPr>
        <w:pStyle w:val="Heading2"/>
        <w:spacing w:after="100" w:before="200"/>
      </w:pPr>
      <w:r>
        <w:rPr>
          <w:rFonts w:ascii="Arial" w:cs="Arial" w:eastAsia="Arial" w:hAnsi="Arial"/>
          <w:b/>
          <w:bCs/>
          <w:color w:val="1A1A18"/>
          <w:sz w:val="28"/>
          <w:szCs w:val="28"/>
        </w:rPr>
        <w:t xml:space="preserve">Hybrid model — what changes in V2</w:t>
      </w:r>
    </w:p>
    <w:p>
      <w:pPr>
        <w:spacing w:after="60" w:before="60"/>
      </w:pPr>
      <w:r>
        <w:rPr>
          <w:rFonts w:ascii="Arial" w:cs="Arial" w:eastAsia="Arial" w:hAnsi="Arial"/>
          <w:color w:val="555555"/>
          <w:sz w:val="22"/>
          <w:szCs w:val="22"/>
        </w:rPr>
        <w:t xml:space="preserve">In V2, XP will gain its own sources that go beyond the credit conversion. This is where the hybrid model activates. Credits still generate XP automatically, but certain platform events will also award bonus XP independently of credits earned.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pPr>
              <w:spacing w:after="80" w:before="0"/>
            </w:pPr>
            <w:r>
              <w:rPr>
                <w:rFonts w:ascii="Arial" w:cs="Arial" w:eastAsia="Arial" w:hAnsi="Arial"/>
                <w:b/>
                <w:bCs/>
                <w:color w:val="888780"/>
                <w:sz w:val="22"/>
                <w:szCs w:val="22"/>
              </w:rPr>
              <w:t xml:space="preserve">MVP — credit conversion only</w:t>
            </w:r>
          </w:p>
          <w:p>
            <w:pPr>
              <w:pStyle w:val="ListParagraph"/>
              <w:numPr>
                <w:ilvl w:val="0"/>
                <w:numId w:val="2"/>
              </w:numPr>
              <w:spacing w:after="40" w:before="40"/>
            </w:pPr>
            <w:r>
              <w:rPr>
                <w:rFonts w:ascii="Arial" w:cs="Arial" w:eastAsia="Arial" w:hAnsi="Arial"/>
                <w:color w:val="555555"/>
                <w:sz w:val="21"/>
                <w:szCs w:val="21"/>
              </w:rPr>
              <w:t xml:space="preserve">Every credit earned = 10 XP (automatic)</w:t>
            </w:r>
          </w:p>
          <w:p>
            <w:pPr>
              <w:pStyle w:val="ListParagraph"/>
              <w:numPr>
                <w:ilvl w:val="0"/>
                <w:numId w:val="2"/>
              </w:numPr>
              <w:spacing w:after="40" w:before="40"/>
            </w:pPr>
            <w:r>
              <w:rPr>
                <w:rFonts w:ascii="Arial" w:cs="Arial" w:eastAsia="Arial" w:hAnsi="Arial"/>
                <w:color w:val="555555"/>
                <w:sz w:val="21"/>
                <w:szCs w:val="21"/>
              </w:rPr>
              <w:t xml:space="preserve">No other XP sources in MVP</w:t>
            </w:r>
          </w:p>
          <w:p>
            <w:pPr>
              <w:pStyle w:val="ListParagraph"/>
              <w:numPr>
                <w:ilvl w:val="0"/>
                <w:numId w:val="2"/>
              </w:numPr>
              <w:spacing w:after="40" w:before="40"/>
            </w:pPr>
            <w:r>
              <w:rPr>
                <w:rFonts w:ascii="Arial" w:cs="Arial" w:eastAsia="Arial" w:hAnsi="Arial"/>
                <w:color w:val="555555"/>
                <w:sz w:val="21"/>
                <w:szCs w:val="21"/>
              </w:rPr>
              <w:t xml:space="preserve">Simple, no confusion, easy to explain</w:t>
            </w:r>
          </w:p>
        </w:tc>
        <w:tc>
          <w:tcPr>
            <w:tcW w:type="dxa" w:w="4680"/>
            <w:tcBorders>
              <w:top w:val="single" w:color="E5E5E0" w:sz="1"/>
              <w:left w:val="single" w:color="E5E5E0" w:sz="1"/>
              <w:bottom w:val="single" w:color="E5E5E0" w:sz="1"/>
              <w:right w:val="single" w:color="E5E5E0" w:sz="1"/>
            </w:tcBorders>
            <w:shd w:fill="EEEDFE" w:val="clear"/>
            <w:tcMar>
              <w:top w:type="dxa" w:w="100"/>
              <w:left w:type="dxa" w:w="140"/>
              <w:bottom w:type="dxa" w:w="100"/>
              <w:right w:type="dxa" w:w="140"/>
            </w:tcMar>
          </w:tcPr>
          <w:p>
            <w:pPr>
              <w:spacing w:after="80" w:before="0"/>
            </w:pPr>
            <w:r>
              <w:rPr>
                <w:rFonts w:ascii="Arial" w:cs="Arial" w:eastAsia="Arial" w:hAnsi="Arial"/>
                <w:b/>
                <w:bCs/>
                <w:color w:val="3C3489"/>
                <w:sz w:val="22"/>
                <w:szCs w:val="22"/>
              </w:rPr>
              <w:t xml:space="preserve">V2 — exclusive bonus XP events</w:t>
            </w:r>
          </w:p>
          <w:p>
            <w:pPr>
              <w:pStyle w:val="ListParagraph"/>
              <w:numPr>
                <w:ilvl w:val="0"/>
                <w:numId w:val="2"/>
              </w:numPr>
              <w:spacing w:after="40" w:before="40"/>
            </w:pPr>
            <w:r>
              <w:rPr>
                <w:rFonts w:ascii="Arial" w:cs="Arial" w:eastAsia="Arial" w:hAnsi="Arial"/>
                <w:color w:val="555555"/>
                <w:sz w:val="21"/>
                <w:szCs w:val="21"/>
              </w:rPr>
              <w:t xml:space="preserve">Getting mentor-validated in a skill</w:t>
            </w:r>
          </w:p>
          <w:p>
            <w:pPr>
              <w:pStyle w:val="ListParagraph"/>
              <w:numPr>
                <w:ilvl w:val="0"/>
                <w:numId w:val="2"/>
              </w:numPr>
              <w:spacing w:after="40" w:before="40"/>
            </w:pPr>
            <w:r>
              <w:rPr>
                <w:rFonts w:ascii="Arial" w:cs="Arial" w:eastAsia="Arial" w:hAnsi="Arial"/>
                <w:color w:val="555555"/>
                <w:sz w:val="21"/>
                <w:szCs w:val="21"/>
              </w:rPr>
              <w:t xml:space="preserve">Winning a skill challenge</w:t>
            </w:r>
          </w:p>
          <w:p>
            <w:pPr>
              <w:pStyle w:val="ListParagraph"/>
              <w:numPr>
                <w:ilvl w:val="0"/>
                <w:numId w:val="2"/>
              </w:numPr>
              <w:spacing w:after="40" w:before="40"/>
            </w:pPr>
            <w:r>
              <w:rPr>
                <w:rFonts w:ascii="Arial" w:cs="Arial" w:eastAsia="Arial" w:hAnsi="Arial"/>
                <w:color w:val="555555"/>
                <w:sz w:val="21"/>
                <w:szCs w:val="21"/>
              </w:rPr>
              <w:t xml:space="preserve">Completing your profile 100%</w:t>
            </w:r>
          </w:p>
          <w:p>
            <w:pPr>
              <w:pStyle w:val="ListParagraph"/>
              <w:numPr>
                <w:ilvl w:val="0"/>
                <w:numId w:val="2"/>
              </w:numPr>
              <w:spacing w:after="40" w:before="40"/>
            </w:pPr>
            <w:r>
              <w:rPr>
                <w:rFonts w:ascii="Arial" w:cs="Arial" w:eastAsia="Arial" w:hAnsi="Arial"/>
                <w:color w:val="555555"/>
                <w:sz w:val="21"/>
                <w:szCs w:val="21"/>
              </w:rPr>
              <w:t xml:space="preserve">Giving endorsements to collaborators</w:t>
            </w:r>
          </w:p>
          <w:p>
            <w:pPr>
              <w:pStyle w:val="ListParagraph"/>
              <w:numPr>
                <w:ilvl w:val="0"/>
                <w:numId w:val="2"/>
              </w:numPr>
              <w:spacing w:after="40" w:before="40"/>
            </w:pPr>
            <w:r>
              <w:rPr>
                <w:rFonts w:ascii="Arial" w:cs="Arial" w:eastAsia="Arial" w:hAnsi="Arial"/>
                <w:color w:val="555555"/>
                <w:sz w:val="21"/>
                <w:szCs w:val="21"/>
              </w:rPr>
              <w:t xml:space="preserve">Contributing to the community feed</w:t>
            </w:r>
          </w:p>
          <w:p>
            <w:pPr>
              <w:pStyle w:val="ListParagraph"/>
              <w:numPr>
                <w:ilvl w:val="0"/>
                <w:numId w:val="2"/>
              </w:numPr>
              <w:spacing w:after="40" w:before="40"/>
            </w:pPr>
            <w:r>
              <w:rPr>
                <w:rFonts w:ascii="Arial" w:cs="Arial" w:eastAsia="Arial" w:hAnsi="Arial"/>
                <w:color w:val="555555"/>
                <w:sz w:val="21"/>
                <w:szCs w:val="21"/>
              </w:rPr>
              <w:t xml:space="preserve">Reaching a new trust score badge</w:t>
            </w:r>
          </w:p>
        </w:tc>
      </w:tr>
    </w:tbl>
    <w:p>
      <w:pPr>
        <w:pBdr>
          <w:bottom w:val="single" w:color="E5E5E0" w:sz="4" w:space="4"/>
        </w:pBdr>
        <w:spacing w:after="100" w:before="320"/>
      </w:pPr>
      <w:r>
        <w:rPr>
          <w:rFonts w:ascii="Arial" w:cs="Arial" w:eastAsia="Arial" w:hAnsi="Arial"/>
          <w:b/>
          <w:bCs/>
          <w:color w:val="888780"/>
          <w:sz w:val="18"/>
          <w:szCs w:val="18"/>
        </w:rPr>
        <w:t xml:space="preserve">PART 6 — THE THREE THINGS THAT ARE SEPARATE</w:t>
      </w:r>
    </w:p>
    <w:p>
      <w:pPr>
        <w:pStyle w:val="Heading2"/>
        <w:spacing w:after="100" w:before="200"/>
      </w:pPr>
      <w:r>
        <w:rPr>
          <w:rFonts w:ascii="Arial" w:cs="Arial" w:eastAsia="Arial" w:hAnsi="Arial"/>
          <w:b/>
          <w:bCs/>
          <w:color w:val="1A1A18"/>
          <w:sz w:val="28"/>
          <w:szCs w:val="28"/>
        </w:rPr>
        <w:t xml:space="preserve">Never confuse these three. They are completely independent.</w:t>
      </w:r>
    </w:p>
    <w:p>
      <w:pPr>
        <w:spacing w:after="60" w:before="60"/>
      </w:pPr>
      <w:r>
        <w:rPr>
          <w:rFonts w:ascii="Arial" w:cs="Arial" w:eastAsia="Arial" w:hAnsi="Arial"/>
          <w:color w:val="555555"/>
          <w:sz w:val="22"/>
          <w:szCs w:val="22"/>
        </w:rPr>
        <w:t xml:space="preserve">This is the most important concept for the whole team to understand. XP level, trust score, and credits are three different systems that coexist on the platform. They grow independently and answer different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0" w:sz="1"/>
              <w:left w:val="single" w:color="E5E5E0" w:sz="1"/>
              <w:bottom w:val="single" w:color="E5E5E0" w:sz="1"/>
              <w:right w:val="single" w:color="E5E5E0" w:sz="1"/>
            </w:tcBorders>
            <w:shd w:fill="EEEDFE" w:val="clear"/>
            <w:tcMar>
              <w:top w:type="dxa" w:w="140"/>
              <w:left w:type="dxa" w:w="140"/>
              <w:bottom w:type="dxa" w:w="140"/>
              <w:right w:type="dxa" w:w="140"/>
            </w:tcMar>
          </w:tcPr>
          <w:p>
            <w:pPr>
              <w:spacing w:after="60" w:before="0"/>
              <w:jc w:val="center"/>
            </w:pPr>
            <w:r>
              <w:rPr>
                <w:rFonts w:ascii="Arial" w:cs="Arial" w:eastAsia="Arial" w:hAnsi="Arial"/>
                <w:color w:val="3C3489"/>
                <w:sz w:val="28"/>
                <w:szCs w:val="28"/>
              </w:rPr>
              <w:t xml:space="preserve">[ XP ]</w:t>
            </w:r>
          </w:p>
          <w:p>
            <w:pPr>
              <w:spacing w:after="60" w:before="0"/>
              <w:jc w:val="center"/>
            </w:pPr>
            <w:r>
              <w:rPr>
                <w:rFonts w:ascii="Arial" w:cs="Arial" w:eastAsia="Arial" w:hAnsi="Arial"/>
                <w:b/>
                <w:bCs/>
                <w:color w:val="3C3489"/>
                <w:sz w:val="22"/>
                <w:szCs w:val="22"/>
              </w:rPr>
              <w:t xml:space="preserve">XP Level</w:t>
            </w:r>
          </w:p>
          <w:p>
            <w:pPr>
              <w:spacing w:after="0" w:before="0"/>
              <w:jc w:val="center"/>
            </w:pPr>
            <w:r>
              <w:rPr>
                <w:rFonts w:ascii="Arial" w:cs="Arial" w:eastAsia="Arial" w:hAnsi="Arial"/>
                <w:color w:val="534AB7"/>
                <w:sz w:val="20"/>
                <w:szCs w:val="20"/>
              </w:rPr>
              <w:t xml:space="preserve">Global activity signal. How engaged are you overall on the platform. One number for the whole account.</w:t>
            </w:r>
          </w:p>
        </w:tc>
        <w:tc>
          <w:tcPr>
            <w:tcW w:type="dxa" w:w="3120"/>
            <w:tcBorders>
              <w:top w:val="single" w:color="E5E5E0" w:sz="1"/>
              <w:left w:val="single" w:color="E5E5E0" w:sz="1"/>
              <w:bottom w:val="single" w:color="E5E5E0" w:sz="1"/>
              <w:right w:val="single" w:color="E5E5E0" w:sz="1"/>
            </w:tcBorders>
            <w:shd w:fill="E1F5EE" w:val="clear"/>
            <w:tcMar>
              <w:top w:type="dxa" w:w="140"/>
              <w:left w:type="dxa" w:w="140"/>
              <w:bottom w:type="dxa" w:w="140"/>
              <w:right w:type="dxa" w:w="140"/>
            </w:tcMar>
          </w:tcPr>
          <w:p>
            <w:pPr>
              <w:spacing w:after="60" w:before="0"/>
              <w:jc w:val="center"/>
            </w:pPr>
            <w:r>
              <w:rPr>
                <w:rFonts w:ascii="Arial" w:cs="Arial" w:eastAsia="Arial" w:hAnsi="Arial"/>
                <w:color w:val="085041"/>
                <w:sz w:val="28"/>
                <w:szCs w:val="28"/>
              </w:rPr>
              <w:t xml:space="preserve">[ TS ]</w:t>
            </w:r>
          </w:p>
          <w:p>
            <w:pPr>
              <w:spacing w:after="60" w:before="0"/>
              <w:jc w:val="center"/>
            </w:pPr>
            <w:r>
              <w:rPr>
                <w:rFonts w:ascii="Arial" w:cs="Arial" w:eastAsia="Arial" w:hAnsi="Arial"/>
                <w:b/>
                <w:bCs/>
                <w:color w:val="085041"/>
                <w:sz w:val="22"/>
                <w:szCs w:val="22"/>
              </w:rPr>
              <w:t xml:space="preserve">Trust Score</w:t>
            </w:r>
          </w:p>
          <w:p>
            <w:pPr>
              <w:spacing w:after="0" w:before="0"/>
              <w:jc w:val="center"/>
            </w:pPr>
            <w:r>
              <w:rPr>
                <w:rFonts w:ascii="Arial" w:cs="Arial" w:eastAsia="Arial" w:hAnsi="Arial"/>
                <w:color w:val="0F6E56"/>
                <w:sz w:val="20"/>
                <w:szCs w:val="20"/>
              </w:rPr>
              <w:t xml:space="preserve">Per-skill credibility. How verified are you in this specific skill. Separate score per skill, separate badge.</w:t>
            </w:r>
          </w:p>
        </w:tc>
        <w:tc>
          <w:tcPr>
            <w:tcW w:type="dxa" w:w="3120"/>
            <w:tcBorders>
              <w:top w:val="single" w:color="E5E5E0" w:sz="1"/>
              <w:left w:val="single" w:color="E5E5E0" w:sz="1"/>
              <w:bottom w:val="single" w:color="E5E5E0" w:sz="1"/>
              <w:right w:val="single" w:color="E5E5E0" w:sz="1"/>
            </w:tcBorders>
            <w:shd w:fill="FAECE7" w:val="clear"/>
            <w:tcMar>
              <w:top w:type="dxa" w:w="140"/>
              <w:left w:type="dxa" w:w="140"/>
              <w:bottom w:type="dxa" w:w="140"/>
              <w:right w:type="dxa" w:w="140"/>
            </w:tcMar>
          </w:tcPr>
          <w:p>
            <w:pPr>
              <w:spacing w:after="60" w:before="0"/>
              <w:jc w:val="center"/>
            </w:pPr>
            <w:r>
              <w:rPr>
                <w:rFonts w:ascii="Arial" w:cs="Arial" w:eastAsia="Arial" w:hAnsi="Arial"/>
                <w:color w:val="712B13"/>
                <w:sz w:val="28"/>
                <w:szCs w:val="28"/>
              </w:rPr>
              <w:t xml:space="preserve">[ CR ]</w:t>
            </w:r>
          </w:p>
          <w:p>
            <w:pPr>
              <w:spacing w:after="60" w:before="0"/>
              <w:jc w:val="center"/>
            </w:pPr>
            <w:r>
              <w:rPr>
                <w:rFonts w:ascii="Arial" w:cs="Arial" w:eastAsia="Arial" w:hAnsi="Arial"/>
                <w:b/>
                <w:bCs/>
                <w:color w:val="712B13"/>
                <w:sz w:val="22"/>
                <w:szCs w:val="22"/>
              </w:rPr>
              <w:t xml:space="preserve">Credits</w:t>
            </w:r>
          </w:p>
          <w:p>
            <w:pPr>
              <w:spacing w:after="0" w:before="0"/>
              <w:jc w:val="center"/>
            </w:pPr>
            <w:r>
              <w:rPr>
                <w:rFonts w:ascii="Arial" w:cs="Arial" w:eastAsia="Arial" w:hAnsi="Arial"/>
                <w:color w:val="993C1D"/>
                <w:sz w:val="20"/>
                <w:szCs w:val="20"/>
              </w:rPr>
              <w:t xml:space="preserve">Currency. What you spend to receive sessions from others. Earned by teaching, spent by learning.</w:t>
            </w:r>
          </w:p>
        </w:tc>
      </w:tr>
    </w:tbl>
    <w:p>
      <w:pPr>
        <w:spacing w:after="0" w:before="120"/>
      </w:pPr>
      <w:r>
        <w:t xml:space="preserve"/>
      </w:r>
    </w:p>
    <w:p>
      <w:pPr>
        <w:spacing w:after="80" w:before="160"/>
      </w:pPr>
      <w:r>
        <w:rPr>
          <w:rFonts w:ascii="Arial" w:cs="Arial" w:eastAsia="Arial" w:hAnsi="Arial"/>
          <w:b/>
          <w:bCs/>
          <w:color w:val="1A1A18"/>
          <w:sz w:val="23"/>
          <w:szCs w:val="23"/>
        </w:rPr>
        <w:t xml:space="preserve">Four scenarios to make this concrete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192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XP level</w:t>
            </w:r>
          </w:p>
        </w:tc>
        <w:tc>
          <w:tcPr>
            <w:tcW w:type="dxa" w:w="192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Trust score</w:t>
            </w:r>
          </w:p>
        </w:tc>
        <w:tc>
          <w:tcPr>
            <w:tcW w:type="dxa" w:w="1920"/>
            <w:tcBorders>
              <w:top w:val="single" w:color="E5E5E0" w:sz="1"/>
              <w:left w:val="single" w:color="E5E5E0" w:sz="1"/>
              <w:bottom w:val="single" w:color="E5E5E0" w:sz="1"/>
              <w:right w:val="single" w:color="E5E5E0" w:sz="1"/>
            </w:tcBorders>
            <w:shd w:fill="1A1A18" w:val="clear"/>
            <w:tcMar>
              <w:top w:type="dxa" w:w="100"/>
              <w:left w:type="dxa" w:w="140"/>
              <w:bottom w:type="dxa" w:w="100"/>
              <w:right w:type="dxa" w:w="140"/>
            </w:tcMar>
          </w:tcPr>
          <w:p>
            <w:r>
              <w:rPr>
                <w:rFonts w:ascii="Arial" w:cs="Arial" w:eastAsia="Arial" w:hAnsi="Arial"/>
                <w:b/>
                <w:bCs/>
                <w:color w:val="FFFFFF"/>
                <w:sz w:val="20"/>
                <w:szCs w:val="20"/>
              </w:rPr>
              <w:t xml:space="preserve">Credits</w:t>
            </w:r>
          </w:p>
        </w:tc>
      </w:tr>
      <w:tr>
        <w:tc>
          <w:tcPr>
            <w:tcW w:type="dxa" w:w="360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Active but not yet validated in any skill</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High (Lv 4)</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Unverified</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Many earned</w:t>
            </w:r>
          </w:p>
        </w:tc>
      </w:tr>
      <w:tr>
        <w:tc>
          <w:tcPr>
            <w:tcW w:type="dxa" w:w="360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Just got mentor-validated, few sessions done</w:t>
            </w:r>
          </w:p>
        </w:tc>
        <w:tc>
          <w:tcPr>
            <w:tcW w:type="dxa" w:w="192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Low (Lv 1-2)</w:t>
            </w:r>
          </w:p>
        </w:tc>
        <w:tc>
          <w:tcPr>
            <w:tcW w:type="dxa" w:w="192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Bronze/Silver</w:t>
            </w:r>
          </w:p>
        </w:tc>
        <w:tc>
          <w:tcPr>
            <w:tcW w:type="dxa" w:w="1920"/>
            <w:tcBorders>
              <w:top w:val="single" w:color="E5E5E0" w:sz="1"/>
              <w:left w:val="single" w:color="E5E5E0" w:sz="1"/>
              <w:bottom w:val="single" w:color="E5E5E0" w:sz="1"/>
              <w:right w:val="single" w:color="E5E5E0" w:sz="1"/>
            </w:tcBorders>
            <w:shd w:fill="F1EFE8" w:val="clear"/>
            <w:tcMar>
              <w:top w:type="dxa" w:w="100"/>
              <w:left w:type="dxa" w:w="140"/>
              <w:bottom w:type="dxa" w:w="100"/>
              <w:right w:type="dxa" w:w="140"/>
            </w:tcMar>
          </w:tcPr>
          <w:p>
            <w:r>
              <w:rPr>
                <w:rFonts w:ascii="Arial" w:cs="Arial" w:eastAsia="Arial" w:hAnsi="Arial"/>
                <w:color w:val="555555"/>
                <w:sz w:val="21"/>
                <w:szCs w:val="21"/>
              </w:rPr>
              <w:t xml:space="preserve">Few earned</w:t>
            </w:r>
          </w:p>
        </w:tc>
      </w:tr>
      <w:tr>
        <w:tc>
          <w:tcPr>
            <w:tcW w:type="dxa" w:w="360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Earns a lot but spends immediately on learning</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High (Lv 5)</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Gold</w:t>
            </w:r>
          </w:p>
        </w:tc>
        <w:tc>
          <w:tcPr>
            <w:tcW w:type="dxa" w:w="1920"/>
            <w:tcBorders>
              <w:top w:val="single" w:color="E5E5E0" w:sz="1"/>
              <w:left w:val="single" w:color="E5E5E0" w:sz="1"/>
              <w:bottom w:val="single" w:color="E5E5E0" w:sz="1"/>
              <w:right w:val="single" w:color="E5E5E0"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Low balance</w:t>
            </w:r>
          </w:p>
        </w:tc>
      </w:tr>
      <w:tr>
        <w:tc>
          <w:tcPr>
            <w:tcW w:type="dxa" w:w="360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Consistent teacher for months — all three grow</w:t>
            </w:r>
          </w:p>
        </w:tc>
        <w:tc>
          <w:tcPr>
            <w:tcW w:type="dxa" w:w="192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Lv 5-6</w:t>
            </w:r>
          </w:p>
        </w:tc>
        <w:tc>
          <w:tcPr>
            <w:tcW w:type="dxa" w:w="192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Gold/Verified</w:t>
            </w:r>
          </w:p>
        </w:tc>
        <w:tc>
          <w:tcPr>
            <w:tcW w:type="dxa" w:w="1920"/>
            <w:tcBorders>
              <w:top w:val="single" w:color="E5E5E0" w:sz="1"/>
              <w:left w:val="single" w:color="E5E5E0" w:sz="1"/>
              <w:bottom w:val="single" w:color="E5E5E0" w:sz="1"/>
              <w:right w:val="single" w:color="E5E5E0" w:sz="1"/>
            </w:tcBorders>
            <w:shd w:fill="E1F5EE" w:val="clear"/>
            <w:tcMar>
              <w:top w:type="dxa" w:w="100"/>
              <w:left w:type="dxa" w:w="140"/>
              <w:bottom w:type="dxa" w:w="100"/>
              <w:right w:type="dxa" w:w="140"/>
            </w:tcMar>
          </w:tcPr>
          <w:p>
            <w:r>
              <w:rPr>
                <w:rFonts w:ascii="Arial" w:cs="Arial" w:eastAsia="Arial" w:hAnsi="Arial"/>
                <w:b/>
                <w:bCs/>
                <w:color w:val="085041"/>
                <w:sz w:val="21"/>
                <w:szCs w:val="21"/>
              </w:rPr>
              <w:t xml:space="preserve">High balance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94F1F" w:val="clear"/>
          </w:tcPr>
          <w:p>
            <w:r>
              <w:t xml:space="preserve"/>
            </w:r>
          </w:p>
        </w:tc>
        <w:tc>
          <w:tcPr>
            <w:tcW w:type="dxa" w:w="924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r>
              <w:rPr>
                <w:rFonts w:ascii="Arial" w:cs="Arial" w:eastAsia="Arial" w:hAnsi="Arial"/>
                <w:color w:val="555555"/>
                <w:sz w:val="21"/>
                <w:szCs w:val="21"/>
              </w:rPr>
              <w:t xml:space="preserve">The fourth scenario is the ideal Fenneky user — someone who teaches consistently, earns validation, and accumulates both reputation and credits through genuine platform contribution. All three metrics grow together naturally through real activity.</w:t>
            </w:r>
          </w:p>
        </w:tc>
      </w:tr>
    </w:tbl>
    <w:p>
      <w:pPr>
        <w:spacing w:after="0" w:before="200"/>
      </w:pPr>
      <w:r>
        <w:t xml:space="preserve"/>
      </w:r>
    </w:p>
    <w:p>
      <w:pPr>
        <w:jc w:val="center"/>
      </w:pPr>
      <w:r>
        <w:rPr>
          <w:rFonts w:ascii="Arial" w:cs="Arial" w:eastAsia="Arial" w:hAnsi="Arial"/>
          <w:i/>
          <w:iCs/>
          <w:color w:val="8887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0" w:sz="4" w:space="4"/>
      </w:pBdr>
    </w:pPr>
    <w:r>
      <w:rPr>
        <w:rFonts w:ascii="Arial" w:cs="Arial" w:eastAsia="Arial" w:hAnsi="Arial"/>
        <w:color w:val="888780"/>
        <w:sz w:val="18"/>
        <w:szCs w:val="18"/>
      </w:rPr>
      <w:t xml:space="preserve">Confidential — Fenneky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C94F1F"/>
              <w:sz w:val="20"/>
              <w:szCs w:val="20"/>
            </w:rPr>
            <w:t xml:space="preserve">fenneky</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888780"/>
              <w:sz w:val="20"/>
              <w:szCs w:val="20"/>
            </w:rPr>
            <w:t xml:space="preserve">XP System — Internal Reference</w:t>
          </w:r>
        </w:p>
      </w:tc>
    </w:tr>
  </w:tbl>
  <w:p>
    <w:pPr>
      <w:pBdr>
        <w:bottom w:val="single" w:color="C94F1F" w:sz="6"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A18"/>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1A1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2026-05-17T19:58:38.993Z</dcterms:created>
  <dcterms:modified xsi:type="dcterms:W3CDTF">2026-05-17T19:58:39.006Z</dcterms:modified>
</cp:coreProperties>
</file>

<file path=docProps/custom.xml><?xml version="1.0" encoding="utf-8"?>
<Properties xmlns="http://schemas.openxmlformats.org/officeDocument/2006/custom-properties" xmlns:vt="http://schemas.openxmlformats.org/officeDocument/2006/docPropsVTypes"/>
</file>