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83E00" w14:textId="77777777" w:rsidR="00404C32" w:rsidRPr="00404C32" w:rsidRDefault="00404C32" w:rsidP="00404C32">
      <w:pPr>
        <w:rPr>
          <w:b/>
          <w:bCs/>
          <w:sz w:val="28"/>
          <w:szCs w:val="28"/>
        </w:rPr>
      </w:pPr>
      <w:r w:rsidRPr="00404C32">
        <w:rPr>
          <w:b/>
          <w:bCs/>
          <w:sz w:val="28"/>
          <w:szCs w:val="28"/>
        </w:rPr>
        <w:t>Financial Health Dashboard — Insights &amp; Recommendations</w:t>
      </w:r>
    </w:p>
    <w:p w14:paraId="271F6888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pict w14:anchorId="61879DF8">
          <v:rect id="_x0000_i1025" style="width:0;height:.75pt" o:hralign="center" o:hrstd="t" o:hr="t" fillcolor="#a0a0a0" stroked="f"/>
        </w:pict>
      </w:r>
    </w:p>
    <w:p w14:paraId="7AF9FDC6" w14:textId="77777777" w:rsidR="00404C32" w:rsidRPr="00404C32" w:rsidRDefault="00404C32" w:rsidP="00404C32">
      <w:pPr>
        <w:rPr>
          <w:b/>
          <w:bCs/>
          <w:sz w:val="28"/>
          <w:szCs w:val="28"/>
        </w:rPr>
      </w:pPr>
      <w:r w:rsidRPr="00404C32">
        <w:rPr>
          <w:b/>
          <w:bCs/>
          <w:sz w:val="28"/>
          <w:szCs w:val="28"/>
        </w:rPr>
        <w:t>KEY INSIGHTS</w:t>
      </w:r>
    </w:p>
    <w:p w14:paraId="638982FF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1. Revenue Growth</w:t>
      </w:r>
    </w:p>
    <w:p w14:paraId="2D736A66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Revenue increased from 250M in 2020 to 381.85M in 2023, showing a steady 15% year-over-year growth. This indicates strong market demand and effective sales strategies.</w:t>
      </w:r>
    </w:p>
    <w:p w14:paraId="3FC584E6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2. Healthy Gross Margin</w:t>
      </w:r>
    </w:p>
    <w:p w14:paraId="17884E17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Gross Margin stands at 45.46%, which indicates strong pricing power and efficient cost management. This is well above the industry average for SMEs.</w:t>
      </w:r>
    </w:p>
    <w:p w14:paraId="6328765C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3. Strong Profitability</w:t>
      </w:r>
    </w:p>
    <w:p w14:paraId="2251957E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Net Income reached 72.34M with a net profit margin of 18.94%. This is a healthy profitability level that provides room for reinvestment and growth.</w:t>
      </w:r>
    </w:p>
    <w:p w14:paraId="2EE0D618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4. Cash Position Growth</w:t>
      </w:r>
    </w:p>
    <w:p w14:paraId="02822FF6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Closing Cash grew from 1.2bn in 2020 to 1.69bn in 2023, reflecting strong liquidity and effective cash management. This provides a solid buffer for unexpected expenses.</w:t>
      </w:r>
    </w:p>
    <w:p w14:paraId="5776B0A8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5. Manageable Debt</w:t>
      </w:r>
    </w:p>
    <w:p w14:paraId="7F63F106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Total Liabilities stand at 145.5M, representing only 5.6% of Total Assets (2.60bn). This indicates low financial risk and strong solvency.</w:t>
      </w:r>
    </w:p>
    <w:p w14:paraId="38227BC6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6. Sector Concentration</w:t>
      </w:r>
    </w:p>
    <w:p w14:paraId="1DF339DE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The Technology sector leads revenue generation at 381.85M, indicating potential concentration risk if the sector experiences a slowdown.</w:t>
      </w:r>
    </w:p>
    <w:p w14:paraId="16FFB272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7. Positive Operating Cash Flow</w:t>
      </w:r>
    </w:p>
    <w:p w14:paraId="6A6D8D1D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lastRenderedPageBreak/>
        <w:t>Operating Cash Flow is at 84.88M, confirming healthy core business operations and the ability to generate cash from regular activities.</w:t>
      </w:r>
    </w:p>
    <w:p w14:paraId="07CB793D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8. Equity Growth</w:t>
      </w:r>
    </w:p>
    <w:p w14:paraId="23F6DBA0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Total Equity grew to 2.45bn, showing strong shareholder value and a solid financial foundation for future growth.</w:t>
      </w:r>
    </w:p>
    <w:p w14:paraId="50544105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pict w14:anchorId="2AC41088">
          <v:rect id="_x0000_i1026" style="width:0;height:.75pt" o:hralign="center" o:hrstd="t" o:hr="t" fillcolor="#a0a0a0" stroked="f"/>
        </w:pict>
      </w:r>
    </w:p>
    <w:p w14:paraId="4B4F49FD" w14:textId="77777777" w:rsidR="00404C32" w:rsidRPr="00404C32" w:rsidRDefault="00404C32" w:rsidP="00404C32">
      <w:pPr>
        <w:rPr>
          <w:b/>
          <w:bCs/>
          <w:sz w:val="28"/>
          <w:szCs w:val="28"/>
        </w:rPr>
      </w:pPr>
      <w:r w:rsidRPr="00404C32">
        <w:rPr>
          <w:b/>
          <w:bCs/>
          <w:sz w:val="28"/>
          <w:szCs w:val="28"/>
        </w:rPr>
        <w:t>ACTIONABLE RECOMMENDATIONS</w:t>
      </w:r>
    </w:p>
    <w:p w14:paraId="3BD63B56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1. Invest More in Technology Sector</w:t>
      </w:r>
    </w:p>
    <w:p w14:paraId="24AF3693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The Technology sector generates the highest revenue. The company should expand its offerings in this sector to capitalize on its strength.</w:t>
      </w:r>
    </w:p>
    <w:p w14:paraId="70CD6131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2. Maintain Gross Margin Above 45%</w:t>
      </w:r>
    </w:p>
    <w:p w14:paraId="1216930F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Keep pricing strategy and cost control tight to sustain the current gross margin level, which is a key indicator of financial health.</w:t>
      </w:r>
    </w:p>
    <w:p w14:paraId="07145C7A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3. Build Cash Reserves</w:t>
      </w:r>
    </w:p>
    <w:p w14:paraId="332C6660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With cash at 1.69bn, the company should use a portion for strategic investments while maintaining a healthy reserve for emergencies.</w:t>
      </w:r>
    </w:p>
    <w:p w14:paraId="4960313D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4. Reduce Liabilities by 10% Annually</w:t>
      </w:r>
    </w:p>
    <w:p w14:paraId="0A4DCC20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Target reducing liabilities to 130M by end of 2024. This will further improve the debt-to-asset ratio and financial stability.</w:t>
      </w:r>
    </w:p>
    <w:p w14:paraId="659CAEBB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5. Use Forecast for Budgeting</w:t>
      </w:r>
    </w:p>
    <w:p w14:paraId="46E8243C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Implement Power BI forecasting for monthly and quarterly financial planning. This will improve budget accuracy and resource allocation.</w:t>
      </w:r>
    </w:p>
    <w:p w14:paraId="52C2E5A4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6. Diversify Revenue Across Sectors</w:t>
      </w:r>
    </w:p>
    <w:p w14:paraId="19F0A83C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lastRenderedPageBreak/>
        <w:t>Reduce dependence on the Technology sector by investing in other promising sectors like Energy and Healthcare.</w:t>
      </w:r>
    </w:p>
    <w:p w14:paraId="4072CF9A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7. Monitor Operating Cash Flow Monthly</w:t>
      </w:r>
    </w:p>
    <w:p w14:paraId="0F931D91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Ensure Operating Cash Flow stays above 80M monthly. This is critical for maintaining liquidity and funding operations.</w:t>
      </w:r>
    </w:p>
    <w:p w14:paraId="19E1F641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b/>
          <w:bCs/>
          <w:sz w:val="28"/>
          <w:szCs w:val="28"/>
        </w:rPr>
        <w:t>8. Set KPIs for Profitability</w:t>
      </w:r>
    </w:p>
    <w:p w14:paraId="0CB0E665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Set a Net Profit Margin target of 20% by 2024. This will drive efficiency and improve bottom-line performance.</w:t>
      </w:r>
    </w:p>
    <w:p w14:paraId="79836ECE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pict w14:anchorId="3EBAF84A">
          <v:rect id="_x0000_i1027" style="width:0;height:.75pt" o:hralign="center" o:hrstd="t" o:hr="t" fillcolor="#a0a0a0" stroked="f"/>
        </w:pict>
      </w:r>
    </w:p>
    <w:p w14:paraId="423EC4EE" w14:textId="77777777" w:rsidR="00404C32" w:rsidRPr="00404C32" w:rsidRDefault="00404C32" w:rsidP="00404C32">
      <w:pPr>
        <w:rPr>
          <w:b/>
          <w:bCs/>
          <w:sz w:val="28"/>
          <w:szCs w:val="28"/>
        </w:rPr>
      </w:pPr>
      <w:r w:rsidRPr="00404C32">
        <w:rPr>
          <w:b/>
          <w:bCs/>
          <w:sz w:val="28"/>
          <w:szCs w:val="28"/>
        </w:rPr>
        <w:t>SUMMARY</w:t>
      </w:r>
    </w:p>
    <w:p w14:paraId="7D15AE1B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The Financial Health Dashboard reveals a strong financial position with consistent revenue growth, healthy profit margins, and low debt levels. The company is well-positioned for future growth, with positive cash flow and growing equity. Key recommendations focus on diversifying revenue, maintaining profitability, and using forecasting tools for better financial planning.</w:t>
      </w:r>
    </w:p>
    <w:p w14:paraId="43C5453C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pict w14:anchorId="25D40248">
          <v:rect id="_x0000_i1028" style="width:0;height:.75pt" o:hralign="center" o:hrstd="t" o:hr="t" fillcolor="#a0a0a0" stroked="f"/>
        </w:pict>
      </w:r>
    </w:p>
    <w:p w14:paraId="01FDD95B" w14:textId="77777777" w:rsidR="00404C32" w:rsidRPr="00404C32" w:rsidRDefault="00404C32" w:rsidP="00404C32">
      <w:pPr>
        <w:rPr>
          <w:b/>
          <w:bCs/>
          <w:sz w:val="28"/>
          <w:szCs w:val="28"/>
        </w:rPr>
      </w:pPr>
      <w:r w:rsidRPr="00404C32">
        <w:rPr>
          <w:b/>
          <w:bCs/>
          <w:sz w:val="28"/>
          <w:szCs w:val="28"/>
        </w:rPr>
        <w:t>FINANCIAL HIGHLIGHTS</w:t>
      </w:r>
    </w:p>
    <w:p w14:paraId="02882146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Total Revenue: 381.85M</w:t>
      </w:r>
    </w:p>
    <w:p w14:paraId="3B712A29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Total Net Income: 72.34M</w:t>
      </w:r>
    </w:p>
    <w:p w14:paraId="7F6B4C6A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Total Gross Profit: 173.61M</w:t>
      </w:r>
    </w:p>
    <w:p w14:paraId="525F7BCA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Total Operating Income: 93.43M</w:t>
      </w:r>
    </w:p>
    <w:p w14:paraId="341CC2D5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Total Assets: 2.60bn</w:t>
      </w:r>
    </w:p>
    <w:p w14:paraId="4E6B4609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Total Equity: 2.45bn</w:t>
      </w:r>
    </w:p>
    <w:p w14:paraId="046AAD40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Total Liabilities: 145.50M</w:t>
      </w:r>
    </w:p>
    <w:p w14:paraId="0B852BE5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lastRenderedPageBreak/>
        <w:t>Closing Cash: 1.69bn</w:t>
      </w:r>
    </w:p>
    <w:p w14:paraId="0EF1BA26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Operating Cash Flow: 84.88M</w:t>
      </w:r>
    </w:p>
    <w:p w14:paraId="6A7F01FE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Investing Cash Flow: -25.31M</w:t>
      </w:r>
    </w:p>
    <w:p w14:paraId="257C6456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Financing Cash Flow: -28.45K</w:t>
      </w:r>
    </w:p>
    <w:p w14:paraId="302202C5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Gross Margin: 45.46%</w:t>
      </w:r>
    </w:p>
    <w:p w14:paraId="23D11D01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Forecasted Revenue: 420.03M</w:t>
      </w:r>
    </w:p>
    <w:p w14:paraId="2852763F" w14:textId="77777777" w:rsidR="00404C32" w:rsidRPr="00404C32" w:rsidRDefault="00404C32" w:rsidP="00404C32">
      <w:pPr>
        <w:rPr>
          <w:sz w:val="28"/>
          <w:szCs w:val="28"/>
        </w:rPr>
      </w:pPr>
      <w:r w:rsidRPr="00404C32">
        <w:rPr>
          <w:sz w:val="28"/>
          <w:szCs w:val="28"/>
        </w:rPr>
        <w:t>Forecasted Net Income: 79.57M</w:t>
      </w:r>
    </w:p>
    <w:p w14:paraId="0A69630F" w14:textId="77777777" w:rsidR="00511003" w:rsidRPr="00404C32" w:rsidRDefault="00404C32">
      <w:pPr>
        <w:rPr>
          <w:sz w:val="28"/>
          <w:szCs w:val="28"/>
        </w:rPr>
      </w:pPr>
    </w:p>
    <w:sectPr w:rsidR="00511003" w:rsidRPr="00404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9021D"/>
    <w:rsid w:val="0009021D"/>
    <w:rsid w:val="00404C32"/>
    <w:rsid w:val="004A4B2C"/>
    <w:rsid w:val="009A0AFA"/>
    <w:rsid w:val="00A7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0CD6775-5436-4BA8-8F4A-FCB7B0F3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6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</dc:creator>
  <cp:keywords/>
  <dc:description/>
  <cp:lastModifiedBy>Malak</cp:lastModifiedBy>
  <cp:revision>2</cp:revision>
  <dcterms:created xsi:type="dcterms:W3CDTF">2026-10-07T19:15:00Z</dcterms:created>
  <dcterms:modified xsi:type="dcterms:W3CDTF">2026-10-07T19:16:00Z</dcterms:modified>
</cp:coreProperties>
</file>