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i w:val="0"/>
          <w:color w:val="C40012"/>
          <w:sz w:val="24"/>
        </w:rPr>
        <w:t>Hijaz Hospital Trust</w:t>
      </w:r>
    </w:p>
    <w:p>
      <w:pPr>
        <w:spacing w:after="80"/>
      </w:pPr>
      <w:r>
        <w:rPr>
          <w:rFonts w:ascii="Calibri" w:hAnsi="Calibri" w:eastAsia="Calibri"/>
          <w:b/>
          <w:i w:val="0"/>
          <w:color w:val="1B2441"/>
          <w:sz w:val="44"/>
        </w:rPr>
        <w:t>Website Messaging Updates</w:t>
      </w:r>
    </w:p>
    <w:p>
      <w:pPr>
        <w:spacing w:after="40"/>
      </w:pPr>
      <w:r>
        <w:rPr>
          <w:rFonts w:ascii="Calibri" w:hAnsi="Calibri" w:eastAsia="Calibri"/>
          <w:b w:val="0"/>
          <w:i/>
          <w:color w:val="5B6173"/>
          <w:sz w:val="24"/>
        </w:rPr>
        <w:t>A plain-language summary of content and wording changes</w:t>
      </w:r>
    </w:p>
    <w:p>
      <w:pPr>
        <w:spacing w:after="240"/>
      </w:pPr>
      <w:r>
        <w:rPr>
          <w:rFonts w:ascii="Calibri" w:hAnsi="Calibri" w:eastAsia="Calibri"/>
          <w:b w:val="0"/>
          <w:i w:val="0"/>
          <w:color w:val="5B6173"/>
          <w:sz w:val="20"/>
        </w:rPr>
        <w:t>Prepared for hospital leadership  ·  13 August 2026</w:t>
        <w:br/>
        <w:t>Prepared by NorthWest Innovations Labs / TwoCX LLC</w:t>
      </w:r>
    </w:p>
    <w:p>
      <w:pPr>
        <w:spacing w:before="0" w:after="160" w:line="300" w:lineRule="auto"/>
      </w:pPr>
      <w:r>
        <w:rPr>
          <w:rFonts w:ascii="Calibri" w:hAnsi="Calibri" w:eastAsia="Calibri"/>
          <w:b w:val="0"/>
          <w:i w:val="0"/>
          <w:color w:val="1B2441"/>
          <w:sz w:val="22"/>
        </w:rPr>
        <w:t>This note explains, in everyday language, what changed on the public website’s wording — titles, short introductions, and section labels — and why. It is not a technical document. Page names (the main titles at the top of each page) were kept as they were.</w:t>
      </w:r>
    </w:p>
    <w:p>
      <w:pPr>
        <w:spacing w:before="320" w:after="160"/>
      </w:pPr>
      <w:r>
        <w:rPr>
          <w:rFonts w:ascii="Calibri" w:hAnsi="Calibri" w:eastAsia="Calibri"/>
          <w:b/>
          <w:i w:val="0"/>
          <w:color w:val="1B2441"/>
          <w:sz w:val="28"/>
        </w:rPr>
        <w:t>1. Why we made these changes</w:t>
      </w:r>
    </w:p>
    <w:p>
      <w:pPr>
        <w:spacing w:before="0" w:after="160" w:line="300" w:lineRule="auto"/>
      </w:pPr>
      <w:r>
        <w:rPr>
          <w:rFonts w:ascii="Calibri" w:hAnsi="Calibri" w:eastAsia="Calibri"/>
          <w:b w:val="0"/>
          <w:i w:val="0"/>
          <w:color w:val="1B2441"/>
          <w:sz w:val="22"/>
        </w:rPr>
        <w:t>As the website grew, the same sentence often appeared two or three times on one page — once as a small red label, again as the section title, and again as the short paragraph under the main heading. Visitors and donors should not have to read the same line repeatedly. We also wanted every page to sound like one hospital: clear, dignified, and compassionate.</w:t>
      </w:r>
    </w:p>
    <w:p>
      <w:pPr>
        <w:pStyle w:val="ListBullet"/>
        <w:spacing w:after="80"/>
      </w:pPr>
      <w:r>
        <w:rPr>
          <w:rFonts w:ascii="Calibri" w:hAnsi="Calibri" w:eastAsia="Calibri"/>
          <w:b w:val="0"/>
          <w:i w:val="0"/>
          <w:color w:val="1B2441"/>
          <w:sz w:val="22"/>
        </w:rPr>
        <w:t>Remove repeated wording on the same page.</w:t>
      </w:r>
    </w:p>
    <w:p>
      <w:pPr>
        <w:pStyle w:val="ListBullet"/>
        <w:spacing w:after="80"/>
      </w:pPr>
      <w:r>
        <w:rPr>
          <w:rFonts w:ascii="Calibri" w:hAnsi="Calibri" w:eastAsia="Calibri"/>
          <w:b w:val="0"/>
          <w:i w:val="0"/>
          <w:color w:val="1B2441"/>
          <w:sz w:val="22"/>
        </w:rPr>
        <w:t>Keep a consistent voice across About, Patient Care, Donate, and Welfare pages.</w:t>
      </w:r>
    </w:p>
    <w:p>
      <w:pPr>
        <w:pStyle w:val="ListBullet"/>
        <w:spacing w:after="80"/>
      </w:pPr>
      <w:r>
        <w:rPr>
          <w:rFonts w:ascii="Calibri" w:hAnsi="Calibri" w:eastAsia="Calibri"/>
          <w:b w:val="0"/>
          <w:i w:val="0"/>
          <w:color w:val="1B2441"/>
          <w:sz w:val="22"/>
        </w:rPr>
        <w:t>Keep small labels useful for orientation (“where am I?”) without copying the page title.</w:t>
      </w:r>
    </w:p>
    <w:p>
      <w:pPr>
        <w:pStyle w:val="ListBullet"/>
        <w:spacing w:after="80"/>
      </w:pPr>
      <w:r>
        <w:rPr>
          <w:rFonts w:ascii="Calibri" w:hAnsi="Calibri" w:eastAsia="Calibri"/>
          <w:b w:val="0"/>
          <w:i w:val="0"/>
          <w:color w:val="1B2441"/>
          <w:sz w:val="22"/>
        </w:rPr>
        <w:t>Keep main page titles unchanged so bookmarks, printouts, and staff habits stay familiar.</w:t>
      </w:r>
    </w:p>
    <w:p>
      <w:pPr>
        <w:spacing w:before="320" w:after="160"/>
      </w:pPr>
      <w:r>
        <w:rPr>
          <w:rFonts w:ascii="Calibri" w:hAnsi="Calibri" w:eastAsia="Calibri"/>
          <w:b/>
          <w:i w:val="0"/>
          <w:color w:val="1B2441"/>
          <w:sz w:val="28"/>
        </w:rPr>
        <w:t>2. What we deliberately did not change</w:t>
      </w:r>
    </w:p>
    <w:p>
      <w:pPr>
        <w:pStyle w:val="ListBullet"/>
        <w:spacing w:after="80"/>
      </w:pPr>
      <w:r>
        <w:rPr>
          <w:rFonts w:ascii="Calibri" w:hAnsi="Calibri" w:eastAsia="Calibri"/>
          <w:b w:val="0"/>
          <w:i w:val="0"/>
          <w:color w:val="1B2441"/>
          <w:sz w:val="22"/>
        </w:rPr>
        <w:t>Main page titles (the large heading at the top of each page) — left as agreed.</w:t>
      </w:r>
    </w:p>
    <w:p>
      <w:pPr>
        <w:pStyle w:val="ListBullet"/>
        <w:spacing w:after="80"/>
      </w:pPr>
      <w:r>
        <w:rPr>
          <w:rFonts w:ascii="Calibri" w:hAnsi="Calibri" w:eastAsia="Calibri"/>
          <w:b w:val="0"/>
          <w:i w:val="0"/>
          <w:color w:val="1B2441"/>
          <w:sz w:val="22"/>
        </w:rPr>
        <w:t>Doctors directory wording — not part of this pass.</w:t>
      </w:r>
    </w:p>
    <w:p>
      <w:pPr>
        <w:pStyle w:val="ListBullet"/>
        <w:spacing w:after="80"/>
      </w:pPr>
      <w:r>
        <w:rPr>
          <w:rFonts w:ascii="Calibri" w:hAnsi="Calibri" w:eastAsia="Calibri"/>
          <w:b w:val="0"/>
          <w:i w:val="0"/>
          <w:color w:val="1B2441"/>
          <w:sz w:val="22"/>
        </w:rPr>
        <w:t>Lab tests catalogue wording — not part of this pass.</w:t>
      </w:r>
    </w:p>
    <w:p>
      <w:pPr>
        <w:pStyle w:val="ListBullet"/>
        <w:spacing w:after="80"/>
      </w:pPr>
      <w:r>
        <w:rPr>
          <w:rFonts w:ascii="Calibri" w:hAnsi="Calibri" w:eastAsia="Calibri"/>
          <w:b w:val="0"/>
          <w:i w:val="0"/>
          <w:color w:val="1B2441"/>
          <w:sz w:val="22"/>
        </w:rPr>
        <w:t>Long historical narratives (for example the founding journey) — only fixed where the same sentence was duplicated on the page.</w:t>
      </w:r>
    </w:p>
    <w:p>
      <w:pPr>
        <w:pStyle w:val="ListBullet"/>
        <w:spacing w:after="80"/>
      </w:pPr>
      <w:r>
        <w:rPr>
          <w:rFonts w:ascii="Calibri" w:hAnsi="Calibri" w:eastAsia="Calibri"/>
          <w:b w:val="0"/>
          <w:i w:val="0"/>
          <w:color w:val="1B2441"/>
          <w:sz w:val="22"/>
        </w:rPr>
        <w:t>About Us filter labels (Our Purpose, Leadership &amp; Governance, Messages, Our Impact) — kept as the official page names visitors expect.</w:t>
      </w:r>
    </w:p>
    <w:p>
      <w:pPr>
        <w:spacing w:before="320" w:after="160"/>
      </w:pPr>
      <w:r>
        <w:rPr>
          <w:rFonts w:ascii="Calibri" w:hAnsi="Calibri" w:eastAsia="Calibri"/>
          <w:b/>
          <w:i w:val="0"/>
          <w:color w:val="1B2441"/>
          <w:sz w:val="28"/>
        </w:rPr>
        <w:t>3. The guiding message</w:t>
      </w:r>
    </w:p>
    <w:p>
      <w:pPr>
        <w:spacing w:before="0" w:after="160" w:line="300" w:lineRule="auto"/>
      </w:pPr>
      <w:r>
        <w:rPr>
          <w:rFonts w:ascii="Calibri" w:hAnsi="Calibri" w:eastAsia="Calibri"/>
          <w:b w:val="0"/>
          <w:i w:val="0"/>
          <w:color w:val="1B2441"/>
          <w:sz w:val="22"/>
        </w:rPr>
        <w:t>Care within reach. Hijaz Hospital Trust is a non-profit, trust-based hospital where healthcare is treated as a right, not a privilege — delivered with compassion, dignity, and clarity. We use that idea across the site without pasting the identical sentence on every page.</w:t>
      </w:r>
    </w:p>
    <w:p>
      <w:pPr>
        <w:spacing w:before="320" w:after="160"/>
      </w:pPr>
      <w:r>
        <w:rPr>
          <w:rFonts w:ascii="Calibri" w:hAnsi="Calibri" w:eastAsia="Calibri"/>
          <w:b/>
          <w:i w:val="0"/>
          <w:color w:val="1B2441"/>
          <w:sz w:val="28"/>
        </w:rPr>
        <w:t>4. What changed, by area of the website</w:t>
      </w:r>
    </w:p>
    <w:p>
      <w:pPr>
        <w:spacing w:before="0" w:after="80" w:line="300" w:lineRule="auto"/>
      </w:pPr>
      <w:r>
        <w:rPr>
          <w:rFonts w:ascii="Calibri" w:hAnsi="Calibri" w:eastAsia="Calibri"/>
          <w:b/>
          <w:i w:val="0"/>
          <w:color w:val="1B2441"/>
          <w:sz w:val="22"/>
        </w:rPr>
        <w:t>About the hospital (Purpose, Leadership, Messages, Impact, Supporters)</w:t>
      </w:r>
    </w:p>
    <w:p>
      <w:pPr>
        <w:spacing w:before="0" w:after="160" w:line="300" w:lineRule="auto"/>
      </w:pPr>
      <w:r>
        <w:rPr>
          <w:rFonts w:ascii="Calibri" w:hAnsi="Calibri" w:eastAsia="Calibri"/>
          <w:b w:val="0"/>
          <w:i w:val="0"/>
          <w:color w:val="1B2441"/>
          <w:sz w:val="22"/>
        </w:rPr>
        <w:t>Short introductions under the main titles were rewritten so they no longer copy the search-engine description word-for-word. Leadership and chairman/president message pages now open with a clearer one-line summary of what the visitor is about to read.</w:t>
      </w:r>
    </w:p>
    <w:p>
      <w:pPr>
        <w:spacing w:before="0" w:after="80" w:line="300" w:lineRule="auto"/>
      </w:pPr>
      <w:r>
        <w:rPr>
          <w:rFonts w:ascii="Calibri" w:hAnsi="Calibri" w:eastAsia="Calibri"/>
          <w:b/>
          <w:i w:val="0"/>
          <w:color w:val="1B2441"/>
          <w:sz w:val="22"/>
        </w:rPr>
        <w:t>Donate and ways to give</w:t>
      </w:r>
    </w:p>
    <w:p>
      <w:pPr>
        <w:spacing w:before="0" w:after="160" w:line="300" w:lineRule="auto"/>
      </w:pPr>
      <w:r>
        <w:rPr>
          <w:rFonts w:ascii="Calibri" w:hAnsi="Calibri" w:eastAsia="Calibri"/>
          <w:b w:val="0"/>
          <w:i w:val="0"/>
          <w:color w:val="1B2441"/>
          <w:sz w:val="22"/>
        </w:rPr>
        <w:t>On the main Donate page, the Qur’anic verse remains the single supporting line under “Ways to Give.” The long paragraph that repeated the same idea underneath was removed so the verse can stand with dignity. Individual giving pages (Zakat, Sadaqah, meals, sponsorships, and so on) keep their campaign lines on the page, while behind-the-scenes search descriptions were clarified so they are not identical copies.</w:t>
      </w:r>
    </w:p>
    <w:p>
      <w:pPr>
        <w:spacing w:before="0" w:after="80" w:line="300" w:lineRule="auto"/>
      </w:pPr>
      <w:r>
        <w:rPr>
          <w:rFonts w:ascii="Calibri" w:hAnsi="Calibri" w:eastAsia="Calibri"/>
          <w:b/>
          <w:i w:val="0"/>
          <w:color w:val="1B2441"/>
          <w:sz w:val="22"/>
        </w:rPr>
        <w:t>Patient Care (hospital services such as OPD, IPD, ICU, Emergency, Laboratory)</w:t>
      </w:r>
    </w:p>
    <w:p>
      <w:pPr>
        <w:spacing w:before="0" w:after="160" w:line="300" w:lineRule="auto"/>
      </w:pPr>
      <w:r>
        <w:rPr>
          <w:rFonts w:ascii="Calibri" w:hAnsi="Calibri" w:eastAsia="Calibri"/>
          <w:b w:val="0"/>
          <w:i w:val="0"/>
          <w:color w:val="1B2441"/>
          <w:sz w:val="22"/>
        </w:rPr>
        <w:t>Many service pages previously showed two almost identical lines under the title — a short slogan and then the same idea again as a description. Those are now merged into one clear supporting sentence. All Patient Care service pages also use the same refined presentation style for that sentence (the italic “quote-style” introduction already used on department pages), so the family of pages feels consistent.</w:t>
      </w:r>
    </w:p>
    <w:p>
      <w:pPr>
        <w:spacing w:before="0" w:after="80" w:line="300" w:lineRule="auto"/>
      </w:pPr>
      <w:r>
        <w:rPr>
          <w:rFonts w:ascii="Calibri" w:hAnsi="Calibri" w:eastAsia="Calibri"/>
          <w:b/>
          <w:i w:val="0"/>
          <w:color w:val="1B2441"/>
          <w:sz w:val="22"/>
        </w:rPr>
        <w:t>Clinical departments</w:t>
      </w:r>
    </w:p>
    <w:p>
      <w:pPr>
        <w:spacing w:before="0" w:after="160" w:line="300" w:lineRule="auto"/>
      </w:pPr>
      <w:r>
        <w:rPr>
          <w:rFonts w:ascii="Calibri" w:hAnsi="Calibri" w:eastAsia="Calibri"/>
          <w:b w:val="0"/>
          <w:i w:val="0"/>
          <w:color w:val="1B2441"/>
          <w:sz w:val="22"/>
        </w:rPr>
        <w:t>Department page names and clinical facts were preserved. Search descriptions were separated from the on-page introduction so Google and the page itself are not forced to show the exact same sentence.</w:t>
      </w:r>
    </w:p>
    <w:p>
      <w:pPr>
        <w:spacing w:before="0" w:after="80" w:line="300" w:lineRule="auto"/>
      </w:pPr>
      <w:r>
        <w:rPr>
          <w:rFonts w:ascii="Calibri" w:hAnsi="Calibri" w:eastAsia="Calibri"/>
          <w:b/>
          <w:i w:val="0"/>
          <w:color w:val="1B2441"/>
          <w:sz w:val="22"/>
        </w:rPr>
        <w:t>Patient welfare programmes</w:t>
      </w:r>
    </w:p>
    <w:p>
      <w:pPr>
        <w:spacing w:before="0" w:after="160" w:line="300" w:lineRule="auto"/>
      </w:pPr>
      <w:r>
        <w:rPr>
          <w:rFonts w:ascii="Calibri" w:hAnsi="Calibri" w:eastAsia="Calibri"/>
          <w:b w:val="0"/>
          <w:i w:val="0"/>
          <w:color w:val="1B2441"/>
          <w:sz w:val="22"/>
        </w:rPr>
        <w:t>Programme names stayed the same. Short meta descriptions were adjusted so they do not duplicate the visible introduction on each welfare page.</w:t>
      </w:r>
    </w:p>
    <w:p>
      <w:pPr>
        <w:spacing w:before="320" w:after="160"/>
      </w:pPr>
      <w:r>
        <w:rPr>
          <w:rFonts w:ascii="Calibri" w:hAnsi="Calibri" w:eastAsia="Calibri"/>
          <w:b/>
          <w:i w:val="0"/>
          <w:color w:val="1B2441"/>
          <w:sz w:val="28"/>
        </w:rPr>
        <w:t>5. Plain examples (before → after)</w:t>
      </w:r>
    </w:p>
    <w:p>
      <w:pPr>
        <w:spacing w:before="0" w:after="160" w:line="300" w:lineRule="auto"/>
      </w:pPr>
      <w:r>
        <w:rPr>
          <w:rFonts w:ascii="Calibri" w:hAnsi="Calibri" w:eastAsia="Calibri"/>
          <w:b w:val="0"/>
          <w:i/>
          <w:color w:val="5B6173"/>
          <w:sz w:val="22"/>
        </w:rPr>
        <w:t>These examples show the kind of change a visitor would notice. They are representative, not an exhaustive list.</w:t>
      </w:r>
    </w:p>
    <w:tbl>
      <w:tblPr>
        <w:tblW w:type="auto" w:w="0"/>
        <w:tblLayout w:type="autofit"/>
        <w:tblLook w:firstColumn="1" w:firstRow="1" w:lastColumn="0" w:lastRow="0" w:noHBand="0" w:noVBand="1" w:val="04A0"/>
      </w:tblPr>
      <w:tblGrid>
        <w:gridCol w:w="3249"/>
        <w:gridCol w:w="3249"/>
        <w:gridCol w:w="3249"/>
      </w:tblGrid>
      <w:tr>
        <w:tc>
          <w:tcPr>
            <w:tcW w:type="dxa" w:w="3249"/>
            <w:shd w:fill="1B2441"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i w:val="0"/>
                <w:color w:val="FFFFFF"/>
                <w:sz w:val="20"/>
              </w:rPr>
              <w:t>Page / area</w:t>
            </w:r>
          </w:p>
        </w:tc>
        <w:tc>
          <w:tcPr>
            <w:tcW w:type="dxa" w:w="3249"/>
            <w:shd w:fill="1B2441"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i w:val="0"/>
                <w:color w:val="FFFFFF"/>
                <w:sz w:val="20"/>
              </w:rPr>
              <w:t>Before (what visitors saw)</w:t>
            </w:r>
          </w:p>
        </w:tc>
        <w:tc>
          <w:tcPr>
            <w:tcW w:type="dxa" w:w="3249"/>
            <w:shd w:fill="1B2441"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i w:val="0"/>
                <w:color w:val="FFFFFF"/>
                <w:sz w:val="20"/>
              </w:rPr>
              <w:t>After (what visitors see now)</w:t>
            </w:r>
          </w:p>
        </w:tc>
      </w:tr>
      <w:tr>
        <w:tc>
          <w:tcPr>
            <w:tcW w:type="dxa" w:w="3249"/>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Donate (Ways to Give)</w:t>
            </w:r>
          </w:p>
        </w:tc>
        <w:tc>
          <w:tcPr>
            <w:tcW w:type="dxa" w:w="3249"/>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Qur’an verse plus a long paragraph repeating the call to give</w:t>
            </w:r>
          </w:p>
        </w:tc>
        <w:tc>
          <w:tcPr>
            <w:tcW w:type="dxa" w:w="3249"/>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Qur’an verse alone as the supporting line under the title</w:t>
            </w:r>
          </w:p>
        </w:tc>
      </w:tr>
      <w:tr>
        <w:tc>
          <w:tcPr>
            <w:tcW w:type="dxa" w:w="3249"/>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Inpatient Department (IPD)</w:t>
            </w:r>
          </w:p>
        </w:tc>
        <w:tc>
          <w:tcPr>
            <w:tcW w:type="dxa" w:w="3249"/>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Slogan and nearly identical description stacked under the title</w:t>
            </w:r>
          </w:p>
        </w:tc>
        <w:tc>
          <w:tcPr>
            <w:tcW w:type="dxa" w:w="3249"/>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One clear supporting sentence; same page title</w:t>
            </w:r>
          </w:p>
        </w:tc>
      </w:tr>
      <w:tr>
        <w:tc>
          <w:tcPr>
            <w:tcW w:type="dxa" w:w="3249"/>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Our Purpose</w:t>
            </w:r>
          </w:p>
        </w:tc>
        <w:tc>
          <w:tcPr>
            <w:tcW w:type="dxa" w:w="3249"/>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Introduction copied the long meta description</w:t>
            </w:r>
          </w:p>
        </w:tc>
        <w:tc>
          <w:tcPr>
            <w:tcW w:type="dxa" w:w="3249"/>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Shorter on-page line about vision, journey, and values — care within reach</w:t>
            </w:r>
          </w:p>
        </w:tc>
      </w:tr>
      <w:tr>
        <w:tc>
          <w:tcPr>
            <w:tcW w:type="dxa" w:w="3249"/>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Chairman’s Message</w:t>
            </w:r>
          </w:p>
        </w:tc>
        <w:tc>
          <w:tcPr>
            <w:tcW w:type="dxa" w:w="3249"/>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Generic “shares his vision…” line used twice</w:t>
            </w:r>
          </w:p>
        </w:tc>
        <w:tc>
          <w:tcPr>
            <w:tcW w:type="dxa" w:w="3249"/>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One specific line: gratitude, resolve, and service</w:t>
            </w:r>
          </w:p>
        </w:tc>
      </w:tr>
      <w:tr>
        <w:tc>
          <w:tcPr>
            <w:tcW w:type="dxa" w:w="3249"/>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About Us filters</w:t>
            </w:r>
          </w:p>
        </w:tc>
        <w:tc>
          <w:tcPr>
            <w:tcW w:type="dxa" w:w="3249"/>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(Briefly renamed during drafting)</w:t>
            </w:r>
          </w:p>
        </w:tc>
        <w:tc>
          <w:tcPr>
            <w:tcW w:type="dxa" w:w="3249"/>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Restored to official names: Our Purpose, Leadership &amp; Governance, Messages, Our Impact</w:t>
            </w:r>
          </w:p>
        </w:tc>
      </w:tr>
      <w:tr>
        <w:tc>
          <w:tcPr>
            <w:tcW w:type="dxa" w:w="3249"/>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Section labels (e.g. OPD Timings)</w:t>
            </w:r>
          </w:p>
        </w:tc>
        <w:tc>
          <w:tcPr>
            <w:tcW w:type="dxa" w:w="3249"/>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Small red label and section title saying the same words</w:t>
            </w:r>
          </w:p>
        </w:tc>
        <w:tc>
          <w:tcPr>
            <w:tcW w:type="dxa" w:w="3249"/>
            <w:shd w:fill="F4F6FA" w:val="clear"/>
            <w:tcBorders>
              <w:top w:val="single" w:sz="4" w:space="0" w:color="D8DCE6"/>
              <w:left w:val="single" w:sz="4" w:space="0" w:color="D8DCE6"/>
              <w:bottom w:val="single" w:sz="4" w:space="0" w:color="D8DCE6"/>
              <w:right w:val="single" w:sz="4" w:space="0" w:color="D8DCE6"/>
            </w:tcBorders>
            <w:vAlign w:val="center"/>
          </w:tcPr>
          <w:p>
            <w:pPr>
              <w:spacing w:before="40" w:after="40" w:line="276" w:lineRule="auto"/>
            </w:pPr>
            <w:r/>
            <w:r>
              <w:rPr>
                <w:rFonts w:ascii="Calibri" w:hAnsi="Calibri" w:eastAsia="Calibri"/>
                <w:b w:val="0"/>
                <w:i w:val="0"/>
                <w:color w:val="1B2441"/>
                <w:sz w:val="18"/>
              </w:rPr>
              <w:t>Small label shows the role (e.g. Timings); title keeps the full name</w:t>
            </w:r>
          </w:p>
        </w:tc>
      </w:tr>
    </w:tbl>
    <w:p/>
    <w:p>
      <w:pPr>
        <w:spacing w:before="320" w:after="160"/>
      </w:pPr>
      <w:r>
        <w:rPr>
          <w:rFonts w:ascii="Calibri" w:hAnsi="Calibri" w:eastAsia="Calibri"/>
          <w:b/>
          <w:i w:val="0"/>
          <w:color w:val="1B2441"/>
          <w:sz w:val="28"/>
        </w:rPr>
        <w:t>6. Benefits for the hospital</w:t>
      </w:r>
    </w:p>
    <w:p>
      <w:pPr>
        <w:pStyle w:val="ListBullet"/>
        <w:spacing w:after="80"/>
      </w:pPr>
      <w:r>
        <w:rPr>
          <w:rFonts w:ascii="Calibri" w:hAnsi="Calibri" w:eastAsia="Calibri"/>
          <w:b w:val="0"/>
          <w:i w:val="0"/>
          <w:color w:val="1B2441"/>
          <w:sz w:val="22"/>
        </w:rPr>
        <w:t>Clearer first impression — visitors are not asked to read the same sentence twice.</w:t>
      </w:r>
    </w:p>
    <w:p>
      <w:pPr>
        <w:pStyle w:val="ListBullet"/>
        <w:spacing w:after="80"/>
      </w:pPr>
      <w:r>
        <w:rPr>
          <w:rFonts w:ascii="Calibri" w:hAnsi="Calibri" w:eastAsia="Calibri"/>
          <w:b w:val="0"/>
          <w:i w:val="0"/>
          <w:color w:val="1B2441"/>
          <w:sz w:val="22"/>
        </w:rPr>
        <w:t>Stronger brand consistency — About, Care, Donate, and Welfare sound like one institution.</w:t>
      </w:r>
    </w:p>
    <w:p>
      <w:pPr>
        <w:pStyle w:val="ListBullet"/>
        <w:spacing w:after="80"/>
      </w:pPr>
      <w:r>
        <w:rPr>
          <w:rFonts w:ascii="Calibri" w:hAnsi="Calibri" w:eastAsia="Calibri"/>
          <w:b w:val="0"/>
          <w:i w:val="0"/>
          <w:color w:val="1B2441"/>
          <w:sz w:val="22"/>
        </w:rPr>
        <w:t>Better orientation — small labels still tell people which part of the site they are in.</w:t>
      </w:r>
    </w:p>
    <w:p>
      <w:pPr>
        <w:pStyle w:val="ListBullet"/>
        <w:spacing w:after="80"/>
      </w:pPr>
      <w:r>
        <w:rPr>
          <w:rFonts w:ascii="Calibri" w:hAnsi="Calibri" w:eastAsia="Calibri"/>
          <w:b w:val="0"/>
          <w:i w:val="0"/>
          <w:color w:val="1B2441"/>
          <w:sz w:val="22"/>
        </w:rPr>
        <w:t>Familiar page names — staff and partners can still refer to pages by the titles they already know.</w:t>
      </w:r>
    </w:p>
    <w:p>
      <w:pPr>
        <w:pStyle w:val="ListBullet"/>
        <w:spacing w:after="80"/>
      </w:pPr>
      <w:r>
        <w:rPr>
          <w:rFonts w:ascii="Calibri" w:hAnsi="Calibri" w:eastAsia="Calibri"/>
          <w:b w:val="0"/>
          <w:i w:val="0"/>
          <w:color w:val="1B2441"/>
          <w:sz w:val="22"/>
        </w:rPr>
        <w:t>Easier future updates — a short content standard is in place so new pages follow the same rules.</w:t>
      </w:r>
    </w:p>
    <w:p>
      <w:pPr>
        <w:spacing w:before="320" w:after="160"/>
      </w:pPr>
      <w:r>
        <w:rPr>
          <w:rFonts w:ascii="Calibri" w:hAnsi="Calibri" w:eastAsia="Calibri"/>
          <w:b/>
          <w:i w:val="0"/>
          <w:color w:val="1B2441"/>
          <w:sz w:val="28"/>
        </w:rPr>
        <w:t>7. Suggested review by leadership</w:t>
      </w:r>
    </w:p>
    <w:p>
      <w:pPr>
        <w:spacing w:before="0" w:after="160" w:line="300" w:lineRule="auto"/>
      </w:pPr>
      <w:r>
        <w:rPr>
          <w:rFonts w:ascii="Calibri" w:hAnsi="Calibri" w:eastAsia="Calibri"/>
          <w:b w:val="0"/>
          <w:i w:val="0"/>
          <w:color w:val="1B2441"/>
          <w:sz w:val="22"/>
        </w:rPr>
        <w:t>We welcome confirmation on tone and priorities. In particular, please glance at:</w:t>
      </w:r>
    </w:p>
    <w:p>
      <w:pPr>
        <w:pStyle w:val="ListBullet"/>
        <w:spacing w:after="80"/>
      </w:pPr>
      <w:r>
        <w:rPr>
          <w:rFonts w:ascii="Calibri" w:hAnsi="Calibri" w:eastAsia="Calibri"/>
          <w:b w:val="0"/>
          <w:i w:val="0"/>
          <w:color w:val="1B2441"/>
          <w:sz w:val="22"/>
        </w:rPr>
        <w:t>Donate — Qur’an verse standing alone under “Ways to Give.”</w:t>
      </w:r>
    </w:p>
    <w:p>
      <w:pPr>
        <w:pStyle w:val="ListBullet"/>
        <w:spacing w:after="80"/>
      </w:pPr>
      <w:r>
        <w:rPr>
          <w:rFonts w:ascii="Calibri" w:hAnsi="Calibri" w:eastAsia="Calibri"/>
          <w:b w:val="0"/>
          <w:i w:val="0"/>
          <w:color w:val="1B2441"/>
          <w:sz w:val="22"/>
        </w:rPr>
        <w:t>Any Patient Care service page (for example OPD or IPD) — single introduction line.</w:t>
      </w:r>
    </w:p>
    <w:p>
      <w:pPr>
        <w:pStyle w:val="ListBullet"/>
        <w:spacing w:after="80"/>
      </w:pPr>
      <w:r>
        <w:rPr>
          <w:rFonts w:ascii="Calibri" w:hAnsi="Calibri" w:eastAsia="Calibri"/>
          <w:b w:val="0"/>
          <w:i w:val="0"/>
          <w:color w:val="1B2441"/>
          <w:sz w:val="22"/>
        </w:rPr>
        <w:t>Our Purpose, Leadership, and leadership message pages — refreshed opening lines.</w:t>
      </w:r>
    </w:p>
    <w:p>
      <w:pPr>
        <w:pStyle w:val="ListBullet"/>
        <w:spacing w:after="80"/>
      </w:pPr>
      <w:r>
        <w:rPr>
          <w:rFonts w:ascii="Calibri" w:hAnsi="Calibri" w:eastAsia="Calibri"/>
          <w:b w:val="0"/>
          <w:i w:val="0"/>
          <w:color w:val="1B2441"/>
          <w:sz w:val="22"/>
        </w:rPr>
        <w:t>About Us — filter names matching the official section titles.</w:t>
      </w:r>
    </w:p>
    <w:p>
      <w:pPr>
        <w:spacing w:before="0" w:after="240" w:line="300" w:lineRule="auto"/>
      </w:pPr>
      <w:r>
        <w:rPr>
          <w:rFonts w:ascii="Calibri" w:hAnsi="Calibri" w:eastAsia="Calibri"/>
          <w:b w:val="0"/>
          <w:i w:val="0"/>
          <w:color w:val="1B2441"/>
          <w:sz w:val="22"/>
        </w:rPr>
        <w:t>If any line should return to a preferred house wording, send the preferred text and we will align it.</w:t>
      </w:r>
    </w:p>
    <w:p>
      <w:pPr>
        <w:spacing w:before="320" w:after="160"/>
      </w:pPr>
      <w:r>
        <w:rPr>
          <w:rFonts w:ascii="Calibri" w:hAnsi="Calibri" w:eastAsia="Calibri"/>
          <w:b/>
          <w:i w:val="0"/>
          <w:color w:val="1B2441"/>
          <w:sz w:val="28"/>
        </w:rPr>
        <w:t>8. Prepared by</w:t>
      </w:r>
    </w:p>
    <w:p>
      <w:pPr>
        <w:spacing w:before="0" w:after="80" w:line="300" w:lineRule="auto"/>
      </w:pPr>
      <w:r>
        <w:rPr>
          <w:rFonts w:ascii="Calibri" w:hAnsi="Calibri" w:eastAsia="Calibri"/>
          <w:b w:val="0"/>
          <w:i w:val="0"/>
          <w:color w:val="1B2441"/>
          <w:sz w:val="22"/>
        </w:rPr>
        <w:t>NorthWest Innovations Labs / TwoCX LLC</w:t>
        <w:br/>
        <w:t>Website content and messaging pass for Hijaz Hospital Trust</w:t>
        <w:br/>
        <w:t>13 August 2026</w:t>
      </w:r>
    </w:p>
    <w:p>
      <w:pPr>
        <w:spacing w:before="0" w:after="160" w:line="300" w:lineRule="auto"/>
      </w:pPr>
      <w:r>
        <w:rPr>
          <w:rFonts w:ascii="Calibri" w:hAnsi="Calibri" w:eastAsia="Calibri"/>
          <w:b w:val="0"/>
          <w:i/>
          <w:color w:val="5B6173"/>
          <w:sz w:val="20"/>
        </w:rPr>
        <w:t>For questions about this summary or preferred alternate wording, contact your project lead at NorthWest Innovations Labs / TwoCX LLC.</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