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12" w:lineRule="auto"/>
        <w:rPr>
          <w:rFonts w:ascii="Rajdhani" w:cs="Rajdhani" w:eastAsia="Rajdhani" w:hAnsi="Rajdhani"/>
          <w:b w:val="1"/>
          <w:color w:val="000000"/>
          <w:sz w:val="36"/>
          <w:szCs w:val="36"/>
        </w:rPr>
      </w:pPr>
      <w:r w:rsidDel="00000000" w:rsidR="00000000" w:rsidRPr="00000000">
        <w:rPr>
          <w:rFonts w:ascii="Rubik" w:cs="Rubik" w:eastAsia="Rubik" w:hAnsi="Rubik"/>
          <w:sz w:val="36"/>
          <w:szCs w:val="36"/>
          <w:rtl w:val="0"/>
        </w:rPr>
        <w:t xml:space="preserve">Back End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312" w:lineRule="auto"/>
        <w:rPr>
          <w:rFonts w:ascii="Rajdhani" w:cs="Rajdhani" w:eastAsia="Rajdhani" w:hAnsi="Rajdhani"/>
          <w:b w:val="1"/>
          <w:color w:val="000000"/>
          <w:sz w:val="50"/>
          <w:szCs w:val="50"/>
        </w:rPr>
      </w:pPr>
      <w:bookmarkStart w:colFirst="0" w:colLast="0" w:name="_heading=h.30j0zll" w:id="0"/>
      <w:bookmarkEnd w:id="0"/>
      <w:r w:rsidDel="00000000" w:rsidR="00000000" w:rsidRPr="00000000">
        <w:rPr>
          <w:rFonts w:ascii="Rubik" w:cs="Rubik" w:eastAsia="Rubik" w:hAnsi="Rubik"/>
          <w:b w:val="1"/>
          <w:color w:val="000000"/>
          <w:sz w:val="50"/>
          <w:szCs w:val="50"/>
          <w:rtl w:val="0"/>
        </w:rPr>
        <w:t xml:space="preserve">Mesa de trabajo: patrón template method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312" w:lineRule="auto"/>
        <w:rPr>
          <w:rFonts w:ascii="Rajdhani" w:cs="Rajdhani" w:eastAsia="Rajdhani" w:hAnsi="Rajdhani"/>
          <w:b w:val="1"/>
          <w:color w:val="434343"/>
          <w:sz w:val="40"/>
          <w:szCs w:val="40"/>
        </w:rPr>
      </w:pPr>
      <w:bookmarkStart w:colFirst="0" w:colLast="0" w:name="_heading=h.1fob9te" w:id="1"/>
      <w:bookmarkEnd w:id="1"/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before="0" w:line="312" w:lineRule="auto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Realizar el diagrama </w:t>
      </w:r>
      <w:r w:rsidDel="00000000" w:rsidR="00000000" w:rsidRPr="00000000">
        <w:rPr>
          <w:rFonts w:ascii="Rubik Medium" w:cs="Rubik Medium" w:eastAsia="Rubik Medium" w:hAnsi="Rubik Medium"/>
          <w:color w:val="000000"/>
          <w:sz w:val="24"/>
          <w:szCs w:val="24"/>
          <w:rtl w:val="0"/>
        </w:rPr>
        <w:t xml:space="preserve">UML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programar en </w:t>
      </w:r>
      <w:r w:rsidDel="00000000" w:rsidR="00000000" w:rsidRPr="00000000">
        <w:rPr>
          <w:rFonts w:ascii="Rubik Medium" w:cs="Rubik Medium" w:eastAsia="Rubik Medium" w:hAnsi="Rubik Medium"/>
          <w:color w:val="000000"/>
          <w:sz w:val="24"/>
          <w:szCs w:val="24"/>
          <w:rtl w:val="0"/>
        </w:rPr>
        <w:t xml:space="preserve">Java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, implementando </w:t>
      </w:r>
      <w:r w:rsidDel="00000000" w:rsidR="00000000" w:rsidRPr="00000000">
        <w:rPr>
          <w:rFonts w:ascii="Rubik Medium" w:cs="Rubik Medium" w:eastAsia="Rubik Medium" w:hAnsi="Rubik Medium"/>
          <w:color w:val="000000"/>
          <w:sz w:val="24"/>
          <w:szCs w:val="24"/>
          <w:rtl w:val="0"/>
        </w:rPr>
        <w:t xml:space="preserve">patrón template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 según el siguiente enunciado.</w:t>
      </w:r>
    </w:p>
    <w:p w:rsidR="00000000" w:rsidDel="00000000" w:rsidP="00000000" w:rsidRDefault="00000000" w:rsidRPr="00000000" w14:paraId="00000005">
      <w:pPr>
        <w:pageBreakBefore w:val="0"/>
        <w:spacing w:after="200" w:before="0" w:line="312" w:lineRule="auto"/>
        <w:ind w:left="0" w:firstLine="0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A tener en cuenta: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pacing w:after="200" w:before="0" w:line="276" w:lineRule="auto"/>
        <w:ind w:left="720" w:hanging="360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Ejercicio individual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Nivel de complejidad: intermedio 🔥🔥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20" w:before="360" w:line="312" w:lineRule="auto"/>
        <w:ind w:left="0" w:firstLine="0"/>
        <w:jc w:val="both"/>
        <w:rPr>
          <w:rFonts w:ascii="Rajdhani" w:cs="Rajdhani" w:eastAsia="Rajdhani" w:hAnsi="Rajdhani"/>
          <w:b w:val="1"/>
          <w:sz w:val="34"/>
          <w:szCs w:val="34"/>
        </w:rPr>
      </w:pPr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Enunciado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200" w:before="0" w:line="312" w:lineRule="auto"/>
        <w:ind w:left="0" w:firstLine="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Se desea apoyar el proceso de armado de menús para llevar en un negocio de comidas rápidas. Se ofrecen tres tipos de menús: clásico, infantil y vegetariano.</w:t>
      </w:r>
    </w:p>
    <w:p w:rsidR="00000000" w:rsidDel="00000000" w:rsidP="00000000" w:rsidRDefault="00000000" w:rsidRPr="00000000" w14:paraId="0000000A">
      <w:pPr>
        <w:pageBreakBefore w:val="0"/>
        <w:spacing w:after="200" w:before="0" w:line="312" w:lineRule="auto"/>
        <w:ind w:left="0" w:firstLine="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Los menús tienen un precio base al cual se le suman los recargos de acuerdo a lo siguiente: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2"/>
        </w:numPr>
        <w:spacing w:after="200" w:before="0" w:line="276" w:lineRule="auto"/>
        <w:ind w:left="720" w:hanging="360"/>
        <w:jc w:val="both"/>
        <w:rPr>
          <w:rFonts w:ascii="Open Sans" w:cs="Open Sans" w:eastAsia="Open Sans" w:hAnsi="Open Sans"/>
          <w:color w:val="434343"/>
          <w:u w:val="none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Menú infantil: 3 pesos adicionales por cada juguete incluido.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2"/>
        </w:numPr>
        <w:spacing w:after="200" w:before="0" w:line="276" w:lineRule="auto"/>
        <w:ind w:left="720" w:hanging="360"/>
        <w:jc w:val="both"/>
        <w:rPr>
          <w:rFonts w:ascii="Open Sans" w:cs="Open Sans" w:eastAsia="Open Sans" w:hAnsi="Open Sans"/>
          <w:color w:val="434343"/>
          <w:u w:val="none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Menú vegetariano: 1% adicional por especias y 2 pesos por cada salsa vegetariana.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2"/>
        </w:numPr>
        <w:spacing w:after="200" w:before="0" w:line="276" w:lineRule="auto"/>
        <w:ind w:left="720" w:hanging="360"/>
        <w:jc w:val="both"/>
        <w:rPr>
          <w:rFonts w:ascii="Open Sans" w:cs="Open Sans" w:eastAsia="Open Sans" w:hAnsi="Open Sans"/>
          <w:color w:val="434343"/>
          <w:u w:val="none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Menú clásico: no tiene recargos.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200" w:before="0" w:line="312" w:lineRule="auto"/>
        <w:ind w:left="0" w:firstLine="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Cuando un cliente adquiere los productos, los empleados deben armar el paquete de cada menú y luego calcular su costo. El </w:t>
      </w:r>
      <w:r w:rsidDel="00000000" w:rsidR="00000000" w:rsidRPr="00000000">
        <w:rPr>
          <w:rFonts w:ascii="Rubik Medium" w:cs="Rubik Medium" w:eastAsia="Rubik Medium" w:hAnsi="Rubik Medium"/>
          <w:color w:val="000000"/>
          <w:sz w:val="24"/>
          <w:szCs w:val="24"/>
          <w:rtl w:val="0"/>
        </w:rPr>
        <w:t xml:space="preserve">proceso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de preparar un menú implica el </w:t>
      </w:r>
      <w:r w:rsidDel="00000000" w:rsidR="00000000" w:rsidRPr="00000000">
        <w:rPr>
          <w:rFonts w:ascii="Rubik Medium" w:cs="Rubik Medium" w:eastAsia="Rubik Medium" w:hAnsi="Rubik Medium"/>
          <w:color w:val="000000"/>
          <w:sz w:val="24"/>
          <w:szCs w:val="24"/>
          <w:rtl w:val="0"/>
        </w:rPr>
        <w:t xml:space="preserve">armado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y luego su </w:t>
      </w:r>
      <w:r w:rsidDel="00000000" w:rsidR="00000000" w:rsidRPr="00000000">
        <w:rPr>
          <w:rFonts w:ascii="Rubik Medium" w:cs="Rubik Medium" w:eastAsia="Rubik Medium" w:hAnsi="Rubik Medium"/>
          <w:color w:val="000000"/>
          <w:sz w:val="24"/>
          <w:szCs w:val="24"/>
          <w:rtl w:val="0"/>
        </w:rPr>
        <w:t xml:space="preserve">cálculo del precio de venta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200" w:before="0" w:line="312" w:lineRule="auto"/>
        <w:ind w:left="0" w:firstLine="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Necesitamos un sistema que muestre un mensaje a los empleados sobre cómo debe armarse el menú. De esta manera, podremos garantizar la uniformidad en las entregas. Luego, deberá informar el costo final del menú vendido.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before="0" w:line="312" w:lineRule="auto"/>
        <w:ind w:left="0" w:firstLine="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Debemos desarrollar las clases y pruebas necesarias para lograr el proceso explicado de preparación.</w:t>
      </w:r>
    </w:p>
    <w:p w:rsidR="00000000" w:rsidDel="00000000" w:rsidP="00000000" w:rsidRDefault="00000000" w:rsidRPr="00000000" w14:paraId="00000011">
      <w:pPr>
        <w:spacing w:after="200" w:before="0" w:line="312" w:lineRule="auto"/>
        <w:ind w:left="0" w:firstLine="0"/>
        <w:rPr>
          <w:rFonts w:ascii="Open Sans" w:cs="Open Sans" w:eastAsia="Open Sans" w:hAnsi="Open Sans"/>
          <w:b w:val="1"/>
          <w:color w:val="434343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¡Muchos éxitos!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6838" w:w="11906" w:orient="portrait"/>
      <w:pgMar w:bottom="1440.0000000000002" w:top="1440.0000000000002" w:left="1133.8582677165355" w:right="1133.8582677165355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ubik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ubik SemiBold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ajdhani">
    <w:embedRegular w:fontKey="{00000000-0000-0000-0000-000000000000}" r:id="rId21" w:subsetted="0"/>
    <w:embedBold w:fontKey="{00000000-0000-0000-0000-000000000000}" r:id="rId22" w:subsetted="0"/>
  </w:font>
  <w:font w:name="Open Sans">
    <w:embedRegular w:fontKey="{00000000-0000-0000-0000-000000000000}" r:id="rId23" w:subsetted="0"/>
    <w:embedBold w:fontKey="{00000000-0000-0000-0000-000000000000}" r:id="rId24" w:subsetted="0"/>
    <w:embedItalic w:fontKey="{00000000-0000-0000-0000-000000000000}" r:id="rId25" w:subsetted="0"/>
    <w:embedBoldItalic w:fontKey="{00000000-0000-0000-0000-000000000000}" r:id="rId2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spacing w:after="200" w:before="0" w:line="360" w:lineRule="auto"/>
      <w:ind w:left="-1133.8582677165355" w:firstLine="0"/>
      <w:jc w:val="right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9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spacing w:after="200" w:before="0" w:line="312" w:lineRule="auto"/>
      <w:ind w:left="-1440" w:firstLine="720"/>
      <w:jc w:val="left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3175</wp:posOffset>
          </wp:positionV>
          <wp:extent cx="7553325" cy="904875"/>
          <wp:effectExtent b="0" l="0" r="0" t="0"/>
          <wp:wrapSquare wrapText="bothSides" distB="0" distT="0" distL="0" distR="0"/>
          <wp:docPr id="4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49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spacing w:after="200" w:before="0" w:line="312" w:lineRule="auto"/>
      <w:ind w:left="-1133.8582677165355" w:firstLine="0"/>
      <w:rPr/>
    </w:pPr>
    <w:r w:rsidDel="00000000" w:rsidR="00000000" w:rsidRPr="00000000">
      <w:rPr>
        <w:rFonts w:ascii="Rubik Light" w:cs="Rubik Light" w:eastAsia="Rubik Light" w:hAnsi="Rubik Light"/>
        <w:color w:val="000000"/>
        <w:sz w:val="24"/>
        <w:szCs w:val="24"/>
      </w:rPr>
      <w:drawing>
        <wp:inline distB="114300" distT="114300" distL="114300" distR="114300">
          <wp:extent cx="7560000" cy="1316329"/>
          <wp:effectExtent b="0" l="0" r="0" t="0"/>
          <wp:docPr id="48" name="image3.jpg"/>
          <a:graphic>
            <a:graphicData uri="http://schemas.openxmlformats.org/drawingml/2006/picture">
              <pic:pic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60000" cy="1316329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ubikSemiBold-boldItalic.ttf"/><Relationship Id="rId22" Type="http://schemas.openxmlformats.org/officeDocument/2006/relationships/font" Target="fonts/Rajdhani-bold.ttf"/><Relationship Id="rId21" Type="http://schemas.openxmlformats.org/officeDocument/2006/relationships/font" Target="fonts/Rajdhani-regular.ttf"/><Relationship Id="rId24" Type="http://schemas.openxmlformats.org/officeDocument/2006/relationships/font" Target="fonts/OpenSans-bold.ttf"/><Relationship Id="rId23" Type="http://schemas.openxmlformats.org/officeDocument/2006/relationships/font" Target="fonts/OpenSans-regular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RubikLight-regular.ttf"/><Relationship Id="rId26" Type="http://schemas.openxmlformats.org/officeDocument/2006/relationships/font" Target="fonts/OpenSans-boldItalic.ttf"/><Relationship Id="rId25" Type="http://schemas.openxmlformats.org/officeDocument/2006/relationships/font" Target="fonts/OpenSans-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Relationship Id="rId11" Type="http://schemas.openxmlformats.org/officeDocument/2006/relationships/font" Target="fonts/RubikLight-italic.ttf"/><Relationship Id="rId10" Type="http://schemas.openxmlformats.org/officeDocument/2006/relationships/font" Target="fonts/RubikLight-bold.ttf"/><Relationship Id="rId13" Type="http://schemas.openxmlformats.org/officeDocument/2006/relationships/font" Target="fonts/Rubik-regular.ttf"/><Relationship Id="rId12" Type="http://schemas.openxmlformats.org/officeDocument/2006/relationships/font" Target="fonts/RubikLight-boldItalic.ttf"/><Relationship Id="rId15" Type="http://schemas.openxmlformats.org/officeDocument/2006/relationships/font" Target="fonts/Rubik-italic.ttf"/><Relationship Id="rId14" Type="http://schemas.openxmlformats.org/officeDocument/2006/relationships/font" Target="fonts/Rubik-bold.ttf"/><Relationship Id="rId17" Type="http://schemas.openxmlformats.org/officeDocument/2006/relationships/font" Target="fonts/RubikSemiBold-regular.ttf"/><Relationship Id="rId16" Type="http://schemas.openxmlformats.org/officeDocument/2006/relationships/font" Target="fonts/Rubik-boldItalic.ttf"/><Relationship Id="rId19" Type="http://schemas.openxmlformats.org/officeDocument/2006/relationships/font" Target="fonts/RubikSemiBold-italic.ttf"/><Relationship Id="rId18" Type="http://schemas.openxmlformats.org/officeDocument/2006/relationships/font" Target="fonts/RubikSemiBo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pW4hCif4XC/NF/q/HVtNy3NjTg==">AMUW2mXT8gPO+MKe+mCUQR1dqN4adnKQ+eiE+69dg6E33eGqXf1V9j97YMwbvvncLB+cGbVg/CWNx9DjQHFljDy1RXJfjq34sR58bJSKVzWOAt06EqdrgMqIEBim38iW5V6kDh/iiB3+mgpJoyzUM2O8ElmWtBkv+w==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