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spacing w:after="200" w:before="0" w:line="312" w:lineRule="auto"/>
        <w:ind w:left="0" w:right="-6.259842519683616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rdgrp2q5tem8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50"/>
          <w:szCs w:val="50"/>
        </w:rPr>
      </w:pPr>
      <w:bookmarkStart w:colFirst="0" w:colLast="0" w:name="_heading=h.30j0zll" w:id="1"/>
      <w:bookmarkEnd w:id="1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Patrón Proxy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before="0" w:line="312" w:lineRule="auto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UML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programar en 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patrón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Proxy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según el siguiente enunciado. A tener en cuenta: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Ejercicio individual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Nivel de complejidad: intermedio 🔥🔥</w:t>
      </w:r>
    </w:p>
    <w:p w:rsidR="00000000" w:rsidDel="00000000" w:rsidP="00000000" w:rsidRDefault="00000000" w:rsidRPr="00000000" w14:paraId="00000007">
      <w:pPr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El servicio de Spotify pago permite descargar canciones para escuchar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 un usuario solicita descargar una canción, el servicio de Spotify comprueba si es un usuario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premium,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darle acceso a esta funcionalidad. Los usuarios tienen un identificador y un string con el tipo de usuario (“Free”, “Premium”).</w:t>
      </w:r>
    </w:p>
    <w:p w:rsidR="00000000" w:rsidDel="00000000" w:rsidP="00000000" w:rsidRDefault="00000000" w:rsidRPr="00000000" w14:paraId="00000009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Implementar una clase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servicioDescarga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descargar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una canción y mediante el patrón proxy comprobar si es posible hacerlo. </w:t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Crear los casos de prueba necesarios para garantizar la calidad del método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descargar()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 w:orient="portrait"/>
      <w:pgMar w:bottom="1440.0000000000002" w:top="1440.0000000000002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ajdhani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1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after="200" w:before="0" w:line="312" w:lineRule="auto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-6349</wp:posOffset>
          </wp:positionV>
          <wp:extent cx="7753350" cy="1182688"/>
          <wp:effectExtent b="0" l="0" r="0" t="0"/>
          <wp:wrapSquare wrapText="bothSides" distB="0" distT="0" distL="0" distR="0"/>
          <wp:docPr id="4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53350" cy="11826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5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SemiBold-boldItalic.ttf"/><Relationship Id="rId11" Type="http://schemas.openxmlformats.org/officeDocument/2006/relationships/font" Target="fonts/RubikLight-italic.ttf"/><Relationship Id="rId22" Type="http://schemas.openxmlformats.org/officeDocument/2006/relationships/font" Target="fonts/Rajdhani-bold.ttf"/><Relationship Id="rId10" Type="http://schemas.openxmlformats.org/officeDocument/2006/relationships/font" Target="fonts/RubikLight-bold.ttf"/><Relationship Id="rId21" Type="http://schemas.openxmlformats.org/officeDocument/2006/relationships/font" Target="fonts/Rajdhani-regular.ttf"/><Relationship Id="rId13" Type="http://schemas.openxmlformats.org/officeDocument/2006/relationships/font" Target="fonts/Rubik-regular.ttf"/><Relationship Id="rId12" Type="http://schemas.openxmlformats.org/officeDocument/2006/relationships/font" Target="fonts/RubikLight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ubikSemiBold-regular.ttf"/><Relationship Id="rId16" Type="http://schemas.openxmlformats.org/officeDocument/2006/relationships/font" Target="fonts/Rubik-boldItalic.ttf"/><Relationship Id="rId5" Type="http://schemas.openxmlformats.org/officeDocument/2006/relationships/font" Target="fonts/Roboto-regular.ttf"/><Relationship Id="rId19" Type="http://schemas.openxmlformats.org/officeDocument/2006/relationships/font" Target="fonts/RubikSemiBold-italic.ttf"/><Relationship Id="rId6" Type="http://schemas.openxmlformats.org/officeDocument/2006/relationships/font" Target="fonts/Roboto-bold.ttf"/><Relationship Id="rId18" Type="http://schemas.openxmlformats.org/officeDocument/2006/relationships/font" Target="fonts/RubikSemiBold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Eq64kTCNEcqGPl7JrgdWb/1e+A==">AMUW2mWCuq36X0F4qWximl9FXJwTNBZJjATuSdpn4w1pgjHIqA7AuRFUJjQLFJFudeqCFQ4LDTG95jl4+BktK+XE6BDSMmdvGR+8rvesX1rWiOoGmL5cXyI1UOmrL8cNHXLEZi75wNl59/6zyNGPeTaDq5/EJhFig3+N+DGYS8FI4ryQ0CR/Ud0=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