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3B6A7" w14:textId="77777777" w:rsidR="0065571E" w:rsidRPr="003106EE" w:rsidRDefault="00000000">
      <w:pPr>
        <w:spacing w:before="400" w:after="80"/>
        <w:jc w:val="center"/>
        <w:rPr>
          <w:sz w:val="56"/>
          <w:szCs w:val="56"/>
        </w:rPr>
      </w:pPr>
      <w:r>
        <w:rPr>
          <w:b/>
          <w:bCs/>
          <w:color w:val="1F3864"/>
          <w:sz w:val="56"/>
          <w:szCs w:val="56"/>
        </w:rPr>
        <w:t>TIGER BRANDS LIMITED</w:t>
      </w:r>
    </w:p>
    <w:p w14:paraId="6262F66A" w14:textId="77777777" w:rsidR="003106EE" w:rsidRDefault="003106EE">
      <w:pPr>
        <w:spacing w:after="80"/>
        <w:jc w:val="center"/>
        <w:rPr>
          <w:color w:val="2E75B6"/>
          <w:sz w:val="32"/>
          <w:szCs w:val="32"/>
        </w:rPr>
      </w:pPr>
    </w:p>
    <w:p w14:paraId="099420DF" w14:textId="77777777" w:rsidR="003106EE" w:rsidRDefault="003106EE">
      <w:pPr>
        <w:spacing w:after="80"/>
        <w:jc w:val="center"/>
        <w:rPr>
          <w:color w:val="2E75B6"/>
          <w:sz w:val="32"/>
          <w:szCs w:val="32"/>
        </w:rPr>
      </w:pPr>
    </w:p>
    <w:p w14:paraId="12BDAEC1" w14:textId="77777777" w:rsidR="0065571E" w:rsidRPr="003106EE" w:rsidRDefault="00000000">
      <w:pPr>
        <w:spacing w:after="80"/>
        <w:jc w:val="center"/>
        <w:rPr>
          <w:sz w:val="32"/>
          <w:szCs w:val="32"/>
        </w:rPr>
      </w:pPr>
      <w:r>
        <w:rPr>
          <w:color w:val="2E75B6"/>
          <w:sz w:val="32"/>
          <w:szCs w:val="32"/>
        </w:rPr>
        <w:t>Equity Research Report | JSE: TBS.JO</w:t>
      </w:r>
    </w:p>
    <w:p w14:paraId="11E5EE3E" w14:textId="77777777" w:rsidR="0065571E" w:rsidRPr="003106EE" w:rsidRDefault="00000000">
      <w:pPr>
        <w:spacing w:after="300"/>
        <w:jc w:val="center"/>
        <w:rPr>
          <w:sz w:val="24"/>
          <w:szCs w:val="24"/>
        </w:rPr>
      </w:pPr>
      <w:r>
        <w:rPr>
          <w:i/>
          <w:iCs/>
          <w:color w:val="595959"/>
          <w:sz w:val="24"/>
          <w:szCs w:val="24"/>
        </w:rPr>
        <w:t>ESEC6814 Individual Assignment | Mamello Malape | Student No. 2023232750</w:t>
      </w:r>
    </w:p>
    <w:p w14:paraId="3CF188FB" w14:textId="77777777" w:rsidR="003106EE" w:rsidRPr="003106EE" w:rsidRDefault="00000000" w:rsidP="003106EE">
      <w:pPr>
        <w:shd w:val="clear" w:color="auto" w:fill="1F6B3C"/>
        <w:spacing w:before="160" w:after="160"/>
        <w:ind w:left="200" w:right="200"/>
        <w:jc w:val="center"/>
        <w:rPr>
          <w:sz w:val="28"/>
          <w:szCs w:val="28"/>
        </w:rPr>
      </w:pPr>
      <w:r>
        <w:rPr>
          <w:b/>
          <w:bCs/>
          <w:color w:val="FFFFFF"/>
          <w:sz w:val="28"/>
          <w:szCs w:val="28"/>
        </w:rPr>
        <w:t>BUY   | Target Price: R327.60| Upside: +15.18%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973405" w14:paraId="75AFD3DF" w14:textId="77777777">
        <w:tc>
          <w:tcPr>
            <w:tcW w:w="1560" w:type="dxa"/>
            <w:shd w:val="clear" w:color="auto" w:fill="1F3864"/>
            <w:tcMar>
              <w:top w:w="80" w:type="dxa"/>
              <w:left w:w="120" w:type="dxa"/>
              <w:bottom w:w="80" w:type="dxa"/>
              <w:right w:w="120" w:type="dxa"/>
            </w:tcMar>
            <w:vAlign w:val="center"/>
          </w:tcPr>
          <w:p w14:paraId="1920D177" w14:textId="77777777" w:rsidR="0065571E" w:rsidRDefault="00000000">
            <w:pPr>
              <w:jc w:val="center"/>
            </w:pPr>
            <w:r>
              <w:rPr>
                <w:b/>
                <w:bCs/>
                <w:color w:val="FFFFFF"/>
                <w:sz w:val="18"/>
                <w:szCs w:val="18"/>
              </w:rPr>
              <w:t>Ticker</w:t>
            </w:r>
          </w:p>
        </w:tc>
        <w:tc>
          <w:tcPr>
            <w:tcW w:w="1560" w:type="dxa"/>
            <w:shd w:val="clear" w:color="auto" w:fill="1F3864"/>
            <w:tcMar>
              <w:top w:w="80" w:type="dxa"/>
              <w:left w:w="120" w:type="dxa"/>
              <w:bottom w:w="80" w:type="dxa"/>
              <w:right w:w="120" w:type="dxa"/>
            </w:tcMar>
            <w:vAlign w:val="center"/>
          </w:tcPr>
          <w:p w14:paraId="1B107243" w14:textId="77777777" w:rsidR="0065571E" w:rsidRDefault="00000000">
            <w:pPr>
              <w:jc w:val="center"/>
            </w:pPr>
            <w:r>
              <w:rPr>
                <w:b/>
                <w:bCs/>
                <w:color w:val="FFFFFF"/>
                <w:sz w:val="18"/>
                <w:szCs w:val="18"/>
              </w:rPr>
              <w:t>Exchange</w:t>
            </w:r>
          </w:p>
        </w:tc>
        <w:tc>
          <w:tcPr>
            <w:tcW w:w="1560" w:type="dxa"/>
            <w:shd w:val="clear" w:color="auto" w:fill="1F3864"/>
            <w:tcMar>
              <w:top w:w="80" w:type="dxa"/>
              <w:left w:w="120" w:type="dxa"/>
              <w:bottom w:w="80" w:type="dxa"/>
              <w:right w:w="120" w:type="dxa"/>
            </w:tcMar>
            <w:vAlign w:val="center"/>
          </w:tcPr>
          <w:p w14:paraId="60FC3860" w14:textId="77777777" w:rsidR="0065571E" w:rsidRDefault="00000000">
            <w:pPr>
              <w:jc w:val="center"/>
            </w:pPr>
            <w:r>
              <w:rPr>
                <w:b/>
                <w:bCs/>
                <w:color w:val="FFFFFF"/>
                <w:sz w:val="18"/>
                <w:szCs w:val="18"/>
              </w:rPr>
              <w:t>Sector</w:t>
            </w:r>
          </w:p>
        </w:tc>
        <w:tc>
          <w:tcPr>
            <w:tcW w:w="1560" w:type="dxa"/>
            <w:shd w:val="clear" w:color="auto" w:fill="1F3864"/>
            <w:tcMar>
              <w:top w:w="80" w:type="dxa"/>
              <w:left w:w="120" w:type="dxa"/>
              <w:bottom w:w="80" w:type="dxa"/>
              <w:right w:w="120" w:type="dxa"/>
            </w:tcMar>
            <w:vAlign w:val="center"/>
          </w:tcPr>
          <w:p w14:paraId="470B9204" w14:textId="77777777" w:rsidR="0065571E" w:rsidRDefault="00000000">
            <w:pPr>
              <w:jc w:val="center"/>
            </w:pPr>
            <w:r>
              <w:rPr>
                <w:b/>
                <w:bCs/>
                <w:color w:val="FFFFFF"/>
                <w:sz w:val="18"/>
                <w:szCs w:val="18"/>
              </w:rPr>
              <w:t>Market Cap</w:t>
            </w:r>
          </w:p>
        </w:tc>
        <w:tc>
          <w:tcPr>
            <w:tcW w:w="1560" w:type="dxa"/>
            <w:shd w:val="clear" w:color="auto" w:fill="1F3864"/>
            <w:tcMar>
              <w:top w:w="80" w:type="dxa"/>
              <w:left w:w="120" w:type="dxa"/>
              <w:bottom w:w="80" w:type="dxa"/>
              <w:right w:w="120" w:type="dxa"/>
            </w:tcMar>
            <w:vAlign w:val="center"/>
          </w:tcPr>
          <w:p w14:paraId="21ED86CF" w14:textId="77777777" w:rsidR="0065571E" w:rsidRDefault="00000000">
            <w:pPr>
              <w:jc w:val="center"/>
            </w:pPr>
            <w:r>
              <w:rPr>
                <w:b/>
                <w:bCs/>
                <w:color w:val="FFFFFF"/>
                <w:sz w:val="18"/>
                <w:szCs w:val="18"/>
              </w:rPr>
              <w:t>Current Price</w:t>
            </w:r>
          </w:p>
        </w:tc>
        <w:tc>
          <w:tcPr>
            <w:tcW w:w="1560" w:type="dxa"/>
            <w:shd w:val="clear" w:color="auto" w:fill="1F3864"/>
            <w:tcMar>
              <w:top w:w="80" w:type="dxa"/>
              <w:left w:w="120" w:type="dxa"/>
              <w:bottom w:w="80" w:type="dxa"/>
              <w:right w:w="120" w:type="dxa"/>
            </w:tcMar>
            <w:vAlign w:val="center"/>
          </w:tcPr>
          <w:p w14:paraId="3059877F" w14:textId="77777777" w:rsidR="0065571E" w:rsidRDefault="00000000">
            <w:pPr>
              <w:jc w:val="center"/>
            </w:pPr>
            <w:r>
              <w:rPr>
                <w:b/>
                <w:bCs/>
                <w:color w:val="FFFFFF"/>
                <w:sz w:val="18"/>
                <w:szCs w:val="18"/>
              </w:rPr>
              <w:t>Target Price</w:t>
            </w:r>
          </w:p>
        </w:tc>
      </w:tr>
      <w:tr w:rsidR="00973405" w14:paraId="5018DE38" w14:textId="77777777">
        <w:tc>
          <w:tcPr>
            <w:tcW w:w="1560" w:type="dxa"/>
            <w:shd w:val="clear" w:color="auto" w:fill="FFFFFF"/>
            <w:tcMar>
              <w:top w:w="60" w:type="dxa"/>
              <w:left w:w="120" w:type="dxa"/>
              <w:bottom w:w="60" w:type="dxa"/>
              <w:right w:w="120" w:type="dxa"/>
            </w:tcMar>
            <w:vAlign w:val="center"/>
          </w:tcPr>
          <w:p w14:paraId="75600FD0" w14:textId="77777777" w:rsidR="0065571E" w:rsidRDefault="00000000">
            <w:pPr>
              <w:jc w:val="center"/>
            </w:pPr>
            <w:r>
              <w:rPr>
                <w:sz w:val="18"/>
                <w:szCs w:val="18"/>
              </w:rPr>
              <w:t>TBS.JO</w:t>
            </w:r>
          </w:p>
        </w:tc>
        <w:tc>
          <w:tcPr>
            <w:tcW w:w="1560" w:type="dxa"/>
            <w:shd w:val="clear" w:color="auto" w:fill="FFFFFF"/>
            <w:tcMar>
              <w:top w:w="60" w:type="dxa"/>
              <w:left w:w="120" w:type="dxa"/>
              <w:bottom w:w="60" w:type="dxa"/>
              <w:right w:w="120" w:type="dxa"/>
            </w:tcMar>
            <w:vAlign w:val="center"/>
          </w:tcPr>
          <w:p w14:paraId="014B9DDF" w14:textId="77777777" w:rsidR="0065571E" w:rsidRDefault="00000000">
            <w:pPr>
              <w:jc w:val="center"/>
            </w:pPr>
            <w:r>
              <w:rPr>
                <w:sz w:val="18"/>
                <w:szCs w:val="18"/>
              </w:rPr>
              <w:t>JSE</w:t>
            </w:r>
          </w:p>
        </w:tc>
        <w:tc>
          <w:tcPr>
            <w:tcW w:w="1560" w:type="dxa"/>
            <w:shd w:val="clear" w:color="auto" w:fill="FFFFFF"/>
            <w:tcMar>
              <w:top w:w="60" w:type="dxa"/>
              <w:left w:w="120" w:type="dxa"/>
              <w:bottom w:w="60" w:type="dxa"/>
              <w:right w:w="120" w:type="dxa"/>
            </w:tcMar>
            <w:vAlign w:val="center"/>
          </w:tcPr>
          <w:p w14:paraId="4CF41880" w14:textId="77777777" w:rsidR="0065571E" w:rsidRDefault="00000000">
            <w:pPr>
              <w:jc w:val="center"/>
            </w:pPr>
            <w:r>
              <w:rPr>
                <w:sz w:val="18"/>
                <w:szCs w:val="18"/>
              </w:rPr>
              <w:t>FMCG / Consumer Staples</w:t>
            </w:r>
          </w:p>
        </w:tc>
        <w:tc>
          <w:tcPr>
            <w:tcW w:w="1560" w:type="dxa"/>
            <w:shd w:val="clear" w:color="auto" w:fill="FFFFFF"/>
            <w:tcMar>
              <w:top w:w="60" w:type="dxa"/>
              <w:left w:w="120" w:type="dxa"/>
              <w:bottom w:w="60" w:type="dxa"/>
              <w:right w:w="120" w:type="dxa"/>
            </w:tcMar>
            <w:vAlign w:val="center"/>
          </w:tcPr>
          <w:p w14:paraId="4B5CD1F3" w14:textId="77777777" w:rsidR="0065571E" w:rsidRDefault="00000000">
            <w:pPr>
              <w:jc w:val="center"/>
            </w:pPr>
            <w:r>
              <w:rPr>
                <w:sz w:val="18"/>
                <w:szCs w:val="18"/>
              </w:rPr>
              <w:t>~R42 billion</w:t>
            </w:r>
          </w:p>
        </w:tc>
        <w:tc>
          <w:tcPr>
            <w:tcW w:w="1560" w:type="dxa"/>
            <w:shd w:val="clear" w:color="auto" w:fill="FFFFFF"/>
            <w:tcMar>
              <w:top w:w="60" w:type="dxa"/>
              <w:left w:w="120" w:type="dxa"/>
              <w:bottom w:w="60" w:type="dxa"/>
              <w:right w:w="120" w:type="dxa"/>
            </w:tcMar>
            <w:vAlign w:val="center"/>
          </w:tcPr>
          <w:p w14:paraId="42EF285A" w14:textId="3BAB7211" w:rsidR="0065571E" w:rsidRDefault="00C8244C">
            <w:pPr>
              <w:jc w:val="center"/>
            </w:pPr>
            <w:r>
              <w:rPr>
                <w:sz w:val="18"/>
                <w:szCs w:val="18"/>
              </w:rPr>
              <w:t>R</w:t>
            </w:r>
            <w:r w:rsidR="00105056">
              <w:rPr>
                <w:sz w:val="18"/>
                <w:szCs w:val="18"/>
              </w:rPr>
              <w:t>284</w:t>
            </w:r>
            <w:r>
              <w:rPr>
                <w:sz w:val="18"/>
                <w:szCs w:val="18"/>
              </w:rPr>
              <w:t>.</w:t>
            </w:r>
            <w:r w:rsidR="00105056">
              <w:rPr>
                <w:sz w:val="18"/>
                <w:szCs w:val="18"/>
              </w:rPr>
              <w:t>43</w:t>
            </w:r>
          </w:p>
        </w:tc>
        <w:tc>
          <w:tcPr>
            <w:tcW w:w="1560" w:type="dxa"/>
            <w:shd w:val="clear" w:color="auto" w:fill="FFFFFF"/>
            <w:tcMar>
              <w:top w:w="60" w:type="dxa"/>
              <w:left w:w="120" w:type="dxa"/>
              <w:bottom w:w="60" w:type="dxa"/>
              <w:right w:w="120" w:type="dxa"/>
            </w:tcMar>
            <w:vAlign w:val="center"/>
          </w:tcPr>
          <w:p w14:paraId="6BEBCCB3" w14:textId="77777777" w:rsidR="0065571E" w:rsidRDefault="00973405">
            <w:pPr>
              <w:jc w:val="center"/>
            </w:pPr>
            <w:r>
              <w:rPr>
                <w:b/>
                <w:bCs/>
                <w:sz w:val="18"/>
                <w:szCs w:val="18"/>
              </w:rPr>
              <w:t>R327.60</w:t>
            </w:r>
          </w:p>
        </w:tc>
      </w:tr>
    </w:tbl>
    <w:p w14:paraId="6511F976" w14:textId="77777777" w:rsidR="0065571E" w:rsidRDefault="006557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73405" w14:paraId="36904EBC" w14:textId="77777777">
        <w:tc>
          <w:tcPr>
            <w:tcW w:w="3120" w:type="dxa"/>
            <w:shd w:val="clear" w:color="auto" w:fill="1F6B3C"/>
            <w:tcMar>
              <w:top w:w="80" w:type="dxa"/>
              <w:left w:w="120" w:type="dxa"/>
              <w:bottom w:w="80" w:type="dxa"/>
              <w:right w:w="120" w:type="dxa"/>
            </w:tcMar>
            <w:vAlign w:val="center"/>
          </w:tcPr>
          <w:p w14:paraId="7D9C0C04" w14:textId="77777777" w:rsidR="0065571E" w:rsidRDefault="00000000">
            <w:pPr>
              <w:jc w:val="center"/>
            </w:pPr>
            <w:r>
              <w:rPr>
                <w:b/>
                <w:bCs/>
                <w:color w:val="FFFFFF"/>
                <w:sz w:val="18"/>
                <w:szCs w:val="18"/>
              </w:rPr>
              <w:t>Recommendation</w:t>
            </w:r>
          </w:p>
        </w:tc>
        <w:tc>
          <w:tcPr>
            <w:tcW w:w="3120" w:type="dxa"/>
            <w:shd w:val="clear" w:color="auto" w:fill="2E75B6"/>
            <w:tcMar>
              <w:top w:w="80" w:type="dxa"/>
              <w:left w:w="120" w:type="dxa"/>
              <w:bottom w:w="80" w:type="dxa"/>
              <w:right w:w="120" w:type="dxa"/>
            </w:tcMar>
            <w:vAlign w:val="center"/>
          </w:tcPr>
          <w:p w14:paraId="6685E1B9" w14:textId="77777777" w:rsidR="0065571E" w:rsidRDefault="00000000">
            <w:pPr>
              <w:jc w:val="center"/>
            </w:pPr>
            <w:r>
              <w:rPr>
                <w:b/>
                <w:bCs/>
                <w:color w:val="FFFFFF"/>
                <w:sz w:val="18"/>
                <w:szCs w:val="18"/>
              </w:rPr>
              <w:t>Upside</w:t>
            </w:r>
          </w:p>
        </w:tc>
        <w:tc>
          <w:tcPr>
            <w:tcW w:w="3120" w:type="dxa"/>
            <w:shd w:val="clear" w:color="auto" w:fill="7F6000"/>
            <w:tcMar>
              <w:top w:w="80" w:type="dxa"/>
              <w:left w:w="120" w:type="dxa"/>
              <w:bottom w:w="80" w:type="dxa"/>
              <w:right w:w="120" w:type="dxa"/>
            </w:tcMar>
            <w:vAlign w:val="center"/>
          </w:tcPr>
          <w:p w14:paraId="3931622E" w14:textId="77777777" w:rsidR="0065571E" w:rsidRDefault="00000000">
            <w:pPr>
              <w:jc w:val="center"/>
            </w:pPr>
            <w:r>
              <w:rPr>
                <w:b/>
                <w:bCs/>
                <w:color w:val="FFFFFF"/>
                <w:sz w:val="18"/>
                <w:szCs w:val="18"/>
              </w:rPr>
              <w:t>Valuation Variance</w:t>
            </w:r>
          </w:p>
        </w:tc>
      </w:tr>
      <w:tr w:rsidR="00973405" w14:paraId="6B9F1F78" w14:textId="77777777">
        <w:tc>
          <w:tcPr>
            <w:tcW w:w="3120" w:type="dxa"/>
            <w:shd w:val="clear" w:color="auto" w:fill="E2EFDA"/>
            <w:tcMar>
              <w:top w:w="60" w:type="dxa"/>
              <w:left w:w="120" w:type="dxa"/>
              <w:bottom w:w="60" w:type="dxa"/>
              <w:right w:w="120" w:type="dxa"/>
            </w:tcMar>
            <w:vAlign w:val="center"/>
          </w:tcPr>
          <w:p w14:paraId="59295BD6" w14:textId="77777777" w:rsidR="0065571E" w:rsidRDefault="00000000">
            <w:pPr>
              <w:jc w:val="center"/>
            </w:pPr>
            <w:r>
              <w:rPr>
                <w:b/>
                <w:bCs/>
                <w:sz w:val="18"/>
                <w:szCs w:val="18"/>
              </w:rPr>
              <w:t xml:space="preserve">BUY </w:t>
            </w:r>
          </w:p>
        </w:tc>
        <w:tc>
          <w:tcPr>
            <w:tcW w:w="3120" w:type="dxa"/>
            <w:shd w:val="clear" w:color="auto" w:fill="DEEAF1"/>
            <w:tcMar>
              <w:top w:w="60" w:type="dxa"/>
              <w:left w:w="120" w:type="dxa"/>
              <w:bottom w:w="60" w:type="dxa"/>
              <w:right w:w="120" w:type="dxa"/>
            </w:tcMar>
            <w:vAlign w:val="center"/>
          </w:tcPr>
          <w:p w14:paraId="22B4FCE8" w14:textId="77777777" w:rsidR="0065571E" w:rsidRDefault="00000000">
            <w:pPr>
              <w:jc w:val="center"/>
            </w:pPr>
            <w:r>
              <w:rPr>
                <w:b/>
                <w:bCs/>
                <w:sz w:val="18"/>
                <w:szCs w:val="18"/>
              </w:rPr>
              <w:t>+15.18%</w:t>
            </w:r>
          </w:p>
        </w:tc>
        <w:tc>
          <w:tcPr>
            <w:tcW w:w="3120" w:type="dxa"/>
            <w:shd w:val="clear" w:color="auto" w:fill="FFF2CC"/>
            <w:tcMar>
              <w:top w:w="60" w:type="dxa"/>
              <w:left w:w="120" w:type="dxa"/>
              <w:bottom w:w="60" w:type="dxa"/>
              <w:right w:w="120" w:type="dxa"/>
            </w:tcMar>
            <w:vAlign w:val="center"/>
          </w:tcPr>
          <w:p w14:paraId="145713CB" w14:textId="77777777" w:rsidR="0065571E" w:rsidRDefault="00000000">
            <w:pPr>
              <w:jc w:val="center"/>
            </w:pPr>
            <w:r>
              <w:rPr>
                <w:sz w:val="18"/>
                <w:szCs w:val="18"/>
              </w:rPr>
              <w:t>Undervalued</w:t>
            </w:r>
          </w:p>
        </w:tc>
      </w:tr>
    </w:tbl>
    <w:p w14:paraId="52873ECC" w14:textId="77777777" w:rsidR="0065571E" w:rsidRDefault="0065571E">
      <w:pPr>
        <w:spacing w:after="240"/>
      </w:pPr>
    </w:p>
    <w:p w14:paraId="2980E9DC" w14:textId="77777777" w:rsidR="003106EE" w:rsidRDefault="003106EE">
      <w:pPr>
        <w:pStyle w:val="Heading1"/>
        <w:pBdr>
          <w:bottom w:val="single" w:sz="8" w:space="4" w:color="1F3864"/>
        </w:pBdr>
        <w:rPr>
          <w:sz w:val="32"/>
          <w:szCs w:val="32"/>
        </w:rPr>
      </w:pPr>
    </w:p>
    <w:p w14:paraId="519856EA" w14:textId="77777777" w:rsidR="003106EE" w:rsidRDefault="003106EE">
      <w:pPr>
        <w:pStyle w:val="Heading1"/>
        <w:pBdr>
          <w:bottom w:val="single" w:sz="8" w:space="4" w:color="1F3864"/>
        </w:pBdr>
        <w:rPr>
          <w:sz w:val="32"/>
          <w:szCs w:val="32"/>
        </w:rPr>
      </w:pPr>
    </w:p>
    <w:p w14:paraId="5C4B3F79" w14:textId="77777777" w:rsidR="003106EE" w:rsidRDefault="003106EE">
      <w:pPr>
        <w:pStyle w:val="Heading1"/>
        <w:pBdr>
          <w:bottom w:val="single" w:sz="8" w:space="4" w:color="1F3864"/>
        </w:pBdr>
        <w:rPr>
          <w:sz w:val="32"/>
          <w:szCs w:val="32"/>
        </w:rPr>
      </w:pPr>
    </w:p>
    <w:p w14:paraId="4DCEF772" w14:textId="77777777" w:rsidR="003106EE" w:rsidRDefault="003106EE">
      <w:pPr>
        <w:pStyle w:val="Heading1"/>
        <w:pBdr>
          <w:bottom w:val="single" w:sz="8" w:space="4" w:color="1F3864"/>
        </w:pBdr>
        <w:rPr>
          <w:sz w:val="32"/>
          <w:szCs w:val="32"/>
        </w:rPr>
      </w:pPr>
    </w:p>
    <w:p w14:paraId="17F7BF3C" w14:textId="77777777" w:rsidR="003106EE" w:rsidRDefault="003106EE">
      <w:pPr>
        <w:pStyle w:val="Heading1"/>
        <w:pBdr>
          <w:bottom w:val="single" w:sz="8" w:space="4" w:color="1F3864"/>
        </w:pBdr>
        <w:rPr>
          <w:sz w:val="32"/>
          <w:szCs w:val="32"/>
        </w:rPr>
      </w:pPr>
    </w:p>
    <w:p w14:paraId="16702D14" w14:textId="77777777" w:rsidR="003106EE" w:rsidRDefault="003106EE">
      <w:pPr>
        <w:pStyle w:val="Heading1"/>
        <w:pBdr>
          <w:bottom w:val="single" w:sz="8" w:space="4" w:color="1F3864"/>
        </w:pBdr>
        <w:rPr>
          <w:sz w:val="32"/>
          <w:szCs w:val="32"/>
        </w:rPr>
      </w:pPr>
    </w:p>
    <w:p w14:paraId="687E084B" w14:textId="77777777" w:rsidR="003106EE" w:rsidRDefault="003106EE">
      <w:pPr>
        <w:pStyle w:val="Heading1"/>
        <w:pBdr>
          <w:bottom w:val="single" w:sz="8" w:space="4" w:color="1F3864"/>
        </w:pBdr>
        <w:rPr>
          <w:sz w:val="32"/>
          <w:szCs w:val="32"/>
        </w:rPr>
      </w:pPr>
    </w:p>
    <w:p w14:paraId="46110FA5" w14:textId="77777777" w:rsidR="003106EE" w:rsidRDefault="003106EE">
      <w:pPr>
        <w:pStyle w:val="Heading1"/>
        <w:pBdr>
          <w:bottom w:val="single" w:sz="8" w:space="4" w:color="1F3864"/>
        </w:pBdr>
        <w:rPr>
          <w:sz w:val="32"/>
          <w:szCs w:val="32"/>
        </w:rPr>
      </w:pPr>
    </w:p>
    <w:p w14:paraId="17920416" w14:textId="77777777" w:rsidR="003106EE" w:rsidRDefault="003106EE">
      <w:pPr>
        <w:pStyle w:val="Heading1"/>
        <w:pBdr>
          <w:bottom w:val="single" w:sz="8" w:space="4" w:color="1F3864"/>
        </w:pBdr>
        <w:rPr>
          <w:sz w:val="32"/>
          <w:szCs w:val="32"/>
        </w:rPr>
      </w:pPr>
    </w:p>
    <w:p w14:paraId="57B37CFC" w14:textId="77777777" w:rsidR="003106EE" w:rsidRDefault="003106EE">
      <w:pPr>
        <w:pStyle w:val="Heading1"/>
        <w:pBdr>
          <w:bottom w:val="single" w:sz="8" w:space="4" w:color="1F3864"/>
        </w:pBdr>
        <w:rPr>
          <w:sz w:val="32"/>
          <w:szCs w:val="32"/>
        </w:rPr>
      </w:pPr>
    </w:p>
    <w:p w14:paraId="1BCEA3D8" w14:textId="77777777" w:rsidR="003106EE" w:rsidRDefault="003106EE">
      <w:pPr>
        <w:pStyle w:val="Heading1"/>
        <w:pBdr>
          <w:bottom w:val="single" w:sz="8" w:space="4" w:color="1F3864"/>
        </w:pBdr>
        <w:rPr>
          <w:sz w:val="32"/>
          <w:szCs w:val="32"/>
        </w:rPr>
      </w:pPr>
    </w:p>
    <w:p w14:paraId="61705635" w14:textId="77777777" w:rsidR="003106EE" w:rsidRDefault="003106EE">
      <w:pPr>
        <w:pStyle w:val="Heading1"/>
        <w:pBdr>
          <w:bottom w:val="single" w:sz="8" w:space="4" w:color="1F3864"/>
        </w:pBdr>
        <w:rPr>
          <w:sz w:val="32"/>
          <w:szCs w:val="32"/>
        </w:rPr>
      </w:pPr>
    </w:p>
    <w:p w14:paraId="2DA806B2" w14:textId="77777777" w:rsidR="0065571E" w:rsidRPr="003106EE" w:rsidRDefault="00000000" w:rsidP="008E3CB7">
      <w:pPr>
        <w:pStyle w:val="Heading1"/>
        <w:pBdr>
          <w:bottom w:val="single" w:sz="8" w:space="4" w:color="1F3864"/>
        </w:pBdr>
        <w:jc w:val="both"/>
        <w:rPr>
          <w:sz w:val="32"/>
          <w:szCs w:val="32"/>
        </w:rPr>
      </w:pPr>
      <w:r>
        <w:rPr>
          <w:sz w:val="32"/>
          <w:szCs w:val="32"/>
        </w:rPr>
        <w:lastRenderedPageBreak/>
        <w:t>1. Introduction &amp; General Overview</w:t>
      </w:r>
    </w:p>
    <w:p w14:paraId="2215B388" w14:textId="77777777" w:rsidR="00EE3495" w:rsidRPr="00EE3495" w:rsidRDefault="00EE3495" w:rsidP="008E3CB7">
      <w:pPr>
        <w:pStyle w:val="Heading2"/>
        <w:jc w:val="both"/>
        <w:rPr>
          <w:b w:val="0"/>
          <w:bCs w:val="0"/>
          <w:color w:val="auto"/>
        </w:rPr>
      </w:pPr>
      <w:r>
        <w:rPr>
          <w:b w:val="0"/>
          <w:bCs w:val="0"/>
          <w:color w:val="auto"/>
        </w:rPr>
        <w:t>Tiger Brands Limited (JSE: TBS.JO) is Africa's largest listed manufacturer and marketer of branded Fast-Moving Consumer Goods (FMCG). Headquartered in Bryanston, Johannesburg, the company was founded in 1921 under the name Tiger Oats and Milling Company Limited. It was listed on the Johannesburg Stock Exchange (JSE) in 1944 and subsequently renamed Tiger Brands in 2000. With a century-long operating history, the brand has become deeply embedded in South African households, with its products reaching an estimated 88% of South African homes.</w:t>
      </w:r>
    </w:p>
    <w:p w14:paraId="35952C38" w14:textId="4CD2F9E0" w:rsidR="00EA30E5" w:rsidRPr="00EA30E5" w:rsidRDefault="00EE3495" w:rsidP="008E3CB7">
      <w:pPr>
        <w:pStyle w:val="Heading2"/>
        <w:jc w:val="both"/>
        <w:rPr>
          <w:b w:val="0"/>
          <w:bCs w:val="0"/>
          <w:color w:val="auto"/>
        </w:rPr>
      </w:pPr>
      <w:r>
        <w:rPr>
          <w:b w:val="0"/>
          <w:bCs w:val="0"/>
          <w:color w:val="auto"/>
        </w:rPr>
        <w:t>Tiger Brands manufactures, markets, and distributes branded food, home, and personal care products across five operating segments: Grains, Consumer Brands, Home and Personal Care (HPC), Exports and International, and Other. As of May 2026, the company trades at approximately R284</w:t>
      </w:r>
      <w:r w:rsidR="00C8244C">
        <w:rPr>
          <w:b w:val="0"/>
          <w:bCs w:val="0"/>
          <w:color w:val="auto"/>
        </w:rPr>
        <w:t>.</w:t>
      </w:r>
      <w:r>
        <w:rPr>
          <w:b w:val="0"/>
          <w:bCs w:val="0"/>
          <w:color w:val="auto"/>
        </w:rPr>
        <w:t>43</w:t>
      </w:r>
      <w:r w:rsidR="00C8244C">
        <w:rPr>
          <w:b w:val="0"/>
          <w:bCs w:val="0"/>
          <w:color w:val="auto"/>
        </w:rPr>
        <w:t xml:space="preserve"> </w:t>
      </w:r>
      <w:r>
        <w:rPr>
          <w:b w:val="0"/>
          <w:bCs w:val="0"/>
          <w:color w:val="auto"/>
        </w:rPr>
        <w:t>per</w:t>
      </w:r>
      <w:r w:rsidR="00C8244C">
        <w:rPr>
          <w:b w:val="0"/>
          <w:bCs w:val="0"/>
          <w:color w:val="auto"/>
        </w:rPr>
        <w:t xml:space="preserve"> </w:t>
      </w:r>
      <w:r>
        <w:rPr>
          <w:b w:val="0"/>
          <w:bCs w:val="0"/>
          <w:color w:val="auto"/>
        </w:rPr>
        <w:t>share on the JSE, implying a market capitalisation of approximately R42 billion.</w:t>
      </w:r>
    </w:p>
    <w:p w14:paraId="36CE2295" w14:textId="77777777" w:rsidR="0065571E" w:rsidRPr="003106EE" w:rsidRDefault="00000000" w:rsidP="008E3CB7">
      <w:pPr>
        <w:pStyle w:val="Heading2"/>
        <w:jc w:val="both"/>
        <w:rPr>
          <w:sz w:val="28"/>
          <w:szCs w:val="28"/>
        </w:rPr>
      </w:pPr>
      <w:r>
        <w:rPr>
          <w:sz w:val="28"/>
          <w:szCs w:val="28"/>
        </w:rPr>
        <w:t>1.1 Investment Thesis &amp; Recommendation</w:t>
      </w:r>
    </w:p>
    <w:p w14:paraId="1D11777C" w14:textId="71423592" w:rsidR="00EE3495" w:rsidRPr="003106EE" w:rsidRDefault="00EE3495" w:rsidP="008E3CB7">
      <w:pPr>
        <w:pStyle w:val="Heading3"/>
        <w:jc w:val="both"/>
        <w:rPr>
          <w:b w:val="0"/>
          <w:bCs w:val="0"/>
          <w:color w:val="auto"/>
          <w:sz w:val="24"/>
          <w:szCs w:val="24"/>
        </w:rPr>
      </w:pPr>
      <w:r>
        <w:rPr>
          <w:b w:val="0"/>
          <w:bCs w:val="0"/>
          <w:color w:val="auto"/>
          <w:sz w:val="24"/>
          <w:szCs w:val="24"/>
        </w:rPr>
        <w:t xml:space="preserve">Based on a five-year Discounted Cash Flow (DCF) valuation model anchored to macroeconomically aligned forecasting assumptions, </w:t>
      </w:r>
      <w:r w:rsidR="00954F05">
        <w:rPr>
          <w:b w:val="0"/>
          <w:bCs w:val="0"/>
          <w:color w:val="auto"/>
          <w:sz w:val="24"/>
          <w:szCs w:val="24"/>
        </w:rPr>
        <w:t xml:space="preserve">I </w:t>
      </w:r>
      <w:r>
        <w:rPr>
          <w:b w:val="0"/>
          <w:bCs w:val="0"/>
          <w:color w:val="auto"/>
          <w:sz w:val="24"/>
          <w:szCs w:val="24"/>
        </w:rPr>
        <w:t>derive an intrinsic value of R327.60</w:t>
      </w:r>
      <w:r w:rsidR="00954F05">
        <w:rPr>
          <w:b w:val="0"/>
          <w:bCs w:val="0"/>
          <w:color w:val="auto"/>
          <w:sz w:val="24"/>
          <w:szCs w:val="24"/>
        </w:rPr>
        <w:t xml:space="preserve"> </w:t>
      </w:r>
      <w:r>
        <w:rPr>
          <w:b w:val="0"/>
          <w:bCs w:val="0"/>
          <w:color w:val="auto"/>
          <w:sz w:val="24"/>
          <w:szCs w:val="24"/>
        </w:rPr>
        <w:t>per share representing a 15.18% premium to the current JSE market price of R284.43. As this variance of +15.2% materially exceeds the ±5% threshold used in professional equity research to classify a stock as fairly valued, Tiger Brands is formally classified as Undervalued and a BUY recommendation is issued. At R284.43, the stock is trading at a R43.17 discount to its intrinsic value of R327.60 presenting an attractive entry point for medium-term investors seeking exposure to a well-capitalised, operationally recovering South African FMCG leader</w:t>
      </w:r>
    </w:p>
    <w:p w14:paraId="4221A338" w14:textId="77777777" w:rsidR="00EE3495" w:rsidRPr="003106EE" w:rsidRDefault="00EE3495" w:rsidP="008E3CB7">
      <w:pPr>
        <w:pStyle w:val="Heading3"/>
        <w:jc w:val="both"/>
        <w:rPr>
          <w:b w:val="0"/>
          <w:bCs w:val="0"/>
          <w:color w:val="auto"/>
          <w:sz w:val="24"/>
          <w:szCs w:val="24"/>
        </w:rPr>
      </w:pPr>
    </w:p>
    <w:p w14:paraId="1F7F66A6" w14:textId="77777777" w:rsidR="0065571E" w:rsidRDefault="00000000" w:rsidP="008E3CB7">
      <w:pPr>
        <w:pStyle w:val="Heading3"/>
        <w:jc w:val="both"/>
      </w:pPr>
      <w:r>
        <w:rPr>
          <w:sz w:val="28"/>
          <w:szCs w:val="28"/>
        </w:rPr>
        <w:t>Key Thesis Pillars</w:t>
      </w:r>
      <w:r>
        <w:t>:</w:t>
      </w:r>
    </w:p>
    <w:p w14:paraId="7591B6D5" w14:textId="77777777" w:rsidR="00EE3495" w:rsidRPr="00EE3495" w:rsidRDefault="00EE3495" w:rsidP="008E3CB7">
      <w:pPr>
        <w:numPr>
          <w:ilvl w:val="0"/>
          <w:numId w:val="3"/>
        </w:numPr>
        <w:spacing w:after="240"/>
        <w:jc w:val="both"/>
        <w:rPr>
          <w:sz w:val="24"/>
          <w:szCs w:val="24"/>
        </w:rPr>
      </w:pPr>
      <w:r>
        <w:rPr>
          <w:b/>
          <w:bCs/>
          <w:sz w:val="24"/>
          <w:szCs w:val="24"/>
        </w:rPr>
        <w:t>Strong FY2025 Results:</w:t>
      </w:r>
      <w:r>
        <w:rPr>
          <w:sz w:val="24"/>
          <w:szCs w:val="24"/>
        </w:rPr>
        <w:t xml:space="preserve"> Revenue grew 2.7% to R34.4 billion while operating income surged 35% to R3.8 billion, driven by volume growth, margin recovery, and disciplined capital allocation.</w:t>
      </w:r>
    </w:p>
    <w:p w14:paraId="722002FC" w14:textId="77777777" w:rsidR="00EE3495" w:rsidRPr="00EE3495" w:rsidRDefault="00EE3495" w:rsidP="008E3CB7">
      <w:pPr>
        <w:numPr>
          <w:ilvl w:val="0"/>
          <w:numId w:val="3"/>
        </w:numPr>
        <w:spacing w:after="240"/>
        <w:jc w:val="both"/>
        <w:rPr>
          <w:sz w:val="24"/>
          <w:szCs w:val="24"/>
        </w:rPr>
      </w:pPr>
      <w:r>
        <w:rPr>
          <w:b/>
          <w:bCs/>
          <w:sz w:val="24"/>
          <w:szCs w:val="24"/>
        </w:rPr>
        <w:t>Turnaround Execution:</w:t>
      </w:r>
      <w:r>
        <w:rPr>
          <w:sz w:val="24"/>
          <w:szCs w:val="24"/>
        </w:rPr>
        <w:t xml:space="preserve"> Tiger Brands' Cost Leadership strategy including SKU rationalisation of over 20%, factory automation, and a Continuous Improvement programme targeting R500 million in efficiency savings is delivering tangible results, with gross margin recovering from 27.7% in FY2023 to 31.3% in FY2025.</w:t>
      </w:r>
    </w:p>
    <w:p w14:paraId="511F7641" w14:textId="77777777" w:rsidR="00EE3495" w:rsidRPr="00EE3495" w:rsidRDefault="00EE3495" w:rsidP="008E3CB7">
      <w:pPr>
        <w:numPr>
          <w:ilvl w:val="0"/>
          <w:numId w:val="3"/>
        </w:numPr>
        <w:spacing w:after="240"/>
        <w:jc w:val="both"/>
        <w:rPr>
          <w:sz w:val="24"/>
          <w:szCs w:val="24"/>
        </w:rPr>
      </w:pPr>
      <w:r>
        <w:rPr>
          <w:b/>
          <w:bCs/>
          <w:sz w:val="24"/>
          <w:szCs w:val="24"/>
        </w:rPr>
        <w:t>Conservative Capital Structure:</w:t>
      </w:r>
      <w:r>
        <w:rPr>
          <w:sz w:val="24"/>
          <w:szCs w:val="24"/>
        </w:rPr>
        <w:t xml:space="preserve"> With over R5.9 billion in net cash reserves and a Debt-to-Equity ratio of just 2.1% in FY2025, the company offers a highly de-risked investment profile relative to its listed FMCG peers.</w:t>
      </w:r>
    </w:p>
    <w:p w14:paraId="3F088D6E" w14:textId="77777777" w:rsidR="00EE3495" w:rsidRPr="00EE3495" w:rsidRDefault="00EE3495" w:rsidP="008E3CB7">
      <w:pPr>
        <w:numPr>
          <w:ilvl w:val="0"/>
          <w:numId w:val="3"/>
        </w:numPr>
        <w:spacing w:after="240"/>
        <w:jc w:val="both"/>
        <w:rPr>
          <w:sz w:val="24"/>
          <w:szCs w:val="24"/>
        </w:rPr>
      </w:pPr>
      <w:r>
        <w:rPr>
          <w:b/>
          <w:bCs/>
          <w:sz w:val="24"/>
          <w:szCs w:val="24"/>
        </w:rPr>
        <w:t>Macroeconomic Alignment:</w:t>
      </w:r>
      <w:r>
        <w:rPr>
          <w:sz w:val="24"/>
          <w:szCs w:val="24"/>
        </w:rPr>
        <w:t xml:space="preserve"> The model applies the 2.30% Headline PPI to COGS and the 4.50% Headline CPI to operating expenses, ensuring each cost layer is escalated by the inflation index most representative of the economic forces acting on it, as elaborated in forecasting Methodology.</w:t>
      </w:r>
    </w:p>
    <w:p w14:paraId="46268B6E" w14:textId="77777777" w:rsidR="00EE3495" w:rsidRPr="00EE3495" w:rsidRDefault="00EE3495" w:rsidP="008E3CB7">
      <w:pPr>
        <w:numPr>
          <w:ilvl w:val="0"/>
          <w:numId w:val="3"/>
        </w:numPr>
        <w:spacing w:after="240"/>
        <w:jc w:val="both"/>
        <w:rPr>
          <w:sz w:val="24"/>
          <w:szCs w:val="24"/>
        </w:rPr>
      </w:pPr>
      <w:r>
        <w:rPr>
          <w:b/>
          <w:bCs/>
          <w:sz w:val="24"/>
          <w:szCs w:val="24"/>
        </w:rPr>
        <w:t>Earnings Momentum:</w:t>
      </w:r>
      <w:r>
        <w:rPr>
          <w:sz w:val="24"/>
          <w:szCs w:val="24"/>
        </w:rPr>
        <w:t xml:space="preserve"> FY2025 EPS of 2,482 cents beat consensus estimates by approximately 36%, underscoring the operational leverage embedded in Tiger Brands' recovering business model.</w:t>
      </w:r>
    </w:p>
    <w:p w14:paraId="4FBFC5F7" w14:textId="77777777" w:rsidR="00EE3495" w:rsidRDefault="00EE3495" w:rsidP="008E3CB7">
      <w:pPr>
        <w:spacing w:after="240"/>
        <w:jc w:val="both"/>
        <w:rPr>
          <w:sz w:val="24"/>
          <w:szCs w:val="24"/>
        </w:rPr>
      </w:pPr>
      <w:r>
        <w:rPr>
          <w:sz w:val="24"/>
          <w:szCs w:val="24"/>
        </w:rPr>
        <w:lastRenderedPageBreak/>
        <w:t>Despite the strong FY2025 performance, the market has not yet fully reflected the structural value of Tiger Brands' sustained margin improvement over the five-year forecast horizon. The stock therefore represents a compelling BUY for investors seeking a defensive, low-leverage South African equity with visible earnings growth, a strengthening cash position, and a reliable total return through dividends and share</w:t>
      </w:r>
    </w:p>
    <w:p w14:paraId="0B1A67C1" w14:textId="77777777" w:rsidR="00EA30E5" w:rsidRPr="00EA30E5" w:rsidRDefault="00716C35" w:rsidP="008E3CB7">
      <w:pPr>
        <w:spacing w:after="240"/>
        <w:jc w:val="both"/>
        <w:rPr>
          <w:sz w:val="24"/>
          <w:szCs w:val="24"/>
        </w:rPr>
      </w:pPr>
      <w:r>
        <w:rPr>
          <w:b/>
          <w:bCs/>
          <w:color w:val="2E75B6"/>
          <w:sz w:val="28"/>
          <w:szCs w:val="28"/>
        </w:rPr>
        <w:t xml:space="preserve"> 1.2 Recent Development </w:t>
      </w:r>
    </w:p>
    <w:p w14:paraId="0F0B147C" w14:textId="77777777" w:rsidR="00EA30E5" w:rsidRPr="00EA30E5" w:rsidRDefault="00EA30E5" w:rsidP="008E3CB7">
      <w:pPr>
        <w:spacing w:after="240"/>
        <w:jc w:val="both"/>
        <w:rPr>
          <w:sz w:val="24"/>
          <w:szCs w:val="24"/>
        </w:rPr>
      </w:pPr>
      <w:r>
        <w:rPr>
          <w:sz w:val="24"/>
          <w:szCs w:val="24"/>
        </w:rPr>
        <w:t>Significant developments have shaped Tiger Brands' operational and financial profile in the recent period and are material to the investment thesis:</w:t>
      </w:r>
    </w:p>
    <w:p w14:paraId="371D8375" w14:textId="77777777" w:rsidR="00EA30E5" w:rsidRPr="00EA30E5" w:rsidRDefault="00EA30E5" w:rsidP="008E3CB7">
      <w:pPr>
        <w:spacing w:after="240"/>
        <w:jc w:val="both"/>
        <w:rPr>
          <w:sz w:val="24"/>
          <w:szCs w:val="24"/>
        </w:rPr>
      </w:pPr>
      <w:r>
        <w:rPr>
          <w:b/>
          <w:bCs/>
          <w:sz w:val="24"/>
          <w:szCs w:val="24"/>
        </w:rPr>
        <w:t>Dividend Policy Reset:</w:t>
      </w:r>
      <w:r>
        <w:rPr>
          <w:sz w:val="24"/>
          <w:szCs w:val="24"/>
        </w:rPr>
        <w:t xml:space="preserve"> The board permanently reduced the dividend cover ratio from 1.75x to 1.15x, reflecting a clear trend toward returning a higher proportion of earnings to shareholders. Combined with the active R1.5 billion share buyback programme executed in FY2025, Tiger Brands is demonstrating a clear shareholder-returns-first capital allocation philosophy. This approach is consistent with a mature FMCG business that prioritises returning surplus cash to shareholders while maintaining sufficient retained capital for targeted operational reinvestment in factory automation and supply chain infrastructure.</w:t>
      </w:r>
    </w:p>
    <w:p w14:paraId="0248F201" w14:textId="77777777" w:rsidR="005A4BFC" w:rsidRDefault="00EA30E5" w:rsidP="008E3CB7">
      <w:pPr>
        <w:spacing w:after="240"/>
        <w:jc w:val="both"/>
        <w:rPr>
          <w:sz w:val="24"/>
          <w:szCs w:val="24"/>
        </w:rPr>
      </w:pPr>
      <w:r>
        <w:rPr>
          <w:b/>
          <w:bCs/>
          <w:sz w:val="24"/>
          <w:szCs w:val="24"/>
        </w:rPr>
        <w:t>Earnings Beat:</w:t>
      </w:r>
      <w:r>
        <w:rPr>
          <w:sz w:val="24"/>
          <w:szCs w:val="24"/>
        </w:rPr>
        <w:t xml:space="preserve"> FY2025 EPS of 2,482 cents materially exceeded consensus analyst estimates, demonstrating that the market had not fully anticipated the speed and magnitude of the operational recovery. This earnings surprise is a positive signal that further upward estimate revisions may follow as the market recalibrates its expectations for the FY2026 to FY2030 forecast period providing a potential additional catalyst for share price appreciation beyond the intrinsic value gap already identified.</w:t>
      </w:r>
    </w:p>
    <w:p w14:paraId="4378C351" w14:textId="77777777" w:rsidR="008E3CB7" w:rsidRPr="008E3CB7" w:rsidRDefault="008E3CB7" w:rsidP="008E3CB7">
      <w:pPr>
        <w:spacing w:after="240"/>
        <w:jc w:val="both"/>
        <w:rPr>
          <w:sz w:val="24"/>
          <w:szCs w:val="24"/>
        </w:rPr>
      </w:pPr>
    </w:p>
    <w:p w14:paraId="0AE9C1B0" w14:textId="77777777" w:rsidR="0065571E" w:rsidRPr="003106EE" w:rsidRDefault="00000000" w:rsidP="008E3CB7">
      <w:pPr>
        <w:pStyle w:val="Heading1"/>
        <w:pBdr>
          <w:bottom w:val="single" w:sz="8" w:space="4" w:color="1F3864"/>
        </w:pBdr>
        <w:jc w:val="both"/>
        <w:rPr>
          <w:sz w:val="32"/>
          <w:szCs w:val="32"/>
        </w:rPr>
      </w:pPr>
      <w:r>
        <w:rPr>
          <w:sz w:val="32"/>
          <w:szCs w:val="32"/>
        </w:rPr>
        <w:t>2. Business Overview</w:t>
      </w:r>
    </w:p>
    <w:p w14:paraId="44B83D73" w14:textId="77777777" w:rsidR="0065571E" w:rsidRPr="003106EE" w:rsidRDefault="00000000" w:rsidP="008E3CB7">
      <w:pPr>
        <w:pStyle w:val="Heading2"/>
        <w:jc w:val="both"/>
      </w:pPr>
      <w:r>
        <w:t>2.</w:t>
      </w:r>
      <w:r>
        <w:rPr>
          <w:sz w:val="28"/>
          <w:szCs w:val="28"/>
        </w:rPr>
        <w:t>1 Corporate Profile &amp; Operating Segments</w:t>
      </w:r>
    </w:p>
    <w:p w14:paraId="6B1A4DAD" w14:textId="77777777" w:rsidR="0065571E" w:rsidRPr="003106EE" w:rsidRDefault="00000000" w:rsidP="008E3CB7">
      <w:pPr>
        <w:spacing w:after="100"/>
        <w:jc w:val="both"/>
        <w:rPr>
          <w:sz w:val="24"/>
          <w:szCs w:val="24"/>
        </w:rPr>
      </w:pPr>
      <w:r>
        <w:rPr>
          <w:sz w:val="24"/>
          <w:szCs w:val="24"/>
        </w:rPr>
        <w:t>Tiger Brands operates through a highly diversified, capital-intensive portfolio organised across five primary revenue-generating segments:</w:t>
      </w:r>
    </w:p>
    <w:p w14:paraId="6B22CB13" w14:textId="77777777" w:rsidR="0065571E" w:rsidRPr="003106EE" w:rsidRDefault="00000000" w:rsidP="008E3CB7">
      <w:pPr>
        <w:pStyle w:val="Heading3"/>
        <w:numPr>
          <w:ilvl w:val="0"/>
          <w:numId w:val="6"/>
        </w:numPr>
        <w:jc w:val="both"/>
        <w:rPr>
          <w:sz w:val="24"/>
          <w:szCs w:val="24"/>
        </w:rPr>
      </w:pPr>
      <w:r>
        <w:rPr>
          <w:sz w:val="24"/>
          <w:szCs w:val="24"/>
        </w:rPr>
        <w:t>Grains Division</w:t>
      </w:r>
    </w:p>
    <w:p w14:paraId="30D58107" w14:textId="77777777" w:rsidR="00AF5B48" w:rsidRPr="00716C35" w:rsidRDefault="00000000" w:rsidP="008E3CB7">
      <w:pPr>
        <w:pStyle w:val="ListParagraph"/>
        <w:spacing w:after="100"/>
        <w:ind w:left="720"/>
        <w:jc w:val="both"/>
        <w:rPr>
          <w:sz w:val="24"/>
          <w:szCs w:val="24"/>
        </w:rPr>
      </w:pPr>
      <w:r>
        <w:rPr>
          <w:sz w:val="24"/>
          <w:szCs w:val="24"/>
        </w:rPr>
        <w:t>This segment forms the bedrock of Tiger Brands' volumetric throughput, focusing on primary grain milling and everyday carbohydrate staples. Key brands include Tastic (rice), Ace (maize meal), Albany (baking/bread), Jungle Oats (breakfast cereals), and Golden Cloud (flour).</w:t>
      </w:r>
    </w:p>
    <w:p w14:paraId="09C3BD64" w14:textId="77777777" w:rsidR="0065571E" w:rsidRPr="006769BF" w:rsidRDefault="00000000" w:rsidP="008E3CB7">
      <w:pPr>
        <w:pStyle w:val="ListParagraph"/>
        <w:numPr>
          <w:ilvl w:val="0"/>
          <w:numId w:val="6"/>
        </w:numPr>
        <w:spacing w:after="100"/>
        <w:jc w:val="both"/>
        <w:rPr>
          <w:sz w:val="24"/>
          <w:szCs w:val="24"/>
        </w:rPr>
      </w:pPr>
      <w:r>
        <w:rPr>
          <w:b/>
          <w:bCs/>
          <w:color w:val="595959"/>
          <w:sz w:val="24"/>
          <w:szCs w:val="24"/>
        </w:rPr>
        <w:t>Consumer Brands (Groceries, Snacks &amp; Beverages)</w:t>
      </w:r>
    </w:p>
    <w:p w14:paraId="3545629F" w14:textId="77777777" w:rsidR="0065571E" w:rsidRPr="006769BF" w:rsidRDefault="00000000" w:rsidP="008E3CB7">
      <w:pPr>
        <w:pStyle w:val="ListParagraph"/>
        <w:spacing w:after="100"/>
        <w:ind w:left="720"/>
        <w:jc w:val="both"/>
        <w:rPr>
          <w:sz w:val="24"/>
          <w:szCs w:val="24"/>
        </w:rPr>
      </w:pPr>
      <w:r>
        <w:rPr>
          <w:sz w:val="24"/>
          <w:szCs w:val="24"/>
        </w:rPr>
        <w:t>This division produces ambient culinary essentials, shelf-stable canned products, condiments, and discretionary consumer items. Key brands include KOO (canned fruit and vegetables), All Gold (tomato sauce and jams), Black Cat (peanut butter), Fatti's &amp; Moni's (pasta), Beacon (chocolates and confectionery), Oros (juice concentrates), and Energade (sports drinks).</w:t>
      </w:r>
    </w:p>
    <w:p w14:paraId="41E53791" w14:textId="3B9DE7B6" w:rsidR="0065571E" w:rsidRPr="003106EE" w:rsidRDefault="00000000" w:rsidP="008E3CB7">
      <w:pPr>
        <w:pStyle w:val="Heading3"/>
        <w:numPr>
          <w:ilvl w:val="0"/>
          <w:numId w:val="6"/>
        </w:numPr>
        <w:jc w:val="both"/>
        <w:rPr>
          <w:sz w:val="24"/>
          <w:szCs w:val="24"/>
        </w:rPr>
      </w:pPr>
      <w:r>
        <w:rPr>
          <w:sz w:val="24"/>
          <w:szCs w:val="24"/>
        </w:rPr>
        <w:t xml:space="preserve">Home, Personal Care </w:t>
      </w:r>
      <w:r w:rsidR="00954F05">
        <w:rPr>
          <w:sz w:val="24"/>
          <w:szCs w:val="24"/>
        </w:rPr>
        <w:t>and</w:t>
      </w:r>
      <w:r>
        <w:rPr>
          <w:sz w:val="24"/>
          <w:szCs w:val="24"/>
        </w:rPr>
        <w:t xml:space="preserve"> Baby (HPC)</w:t>
      </w:r>
    </w:p>
    <w:p w14:paraId="11918C4C" w14:textId="77777777" w:rsidR="006769BF" w:rsidRPr="00716C35" w:rsidRDefault="00000000" w:rsidP="008E3CB7">
      <w:pPr>
        <w:pStyle w:val="ListParagraph"/>
        <w:spacing w:after="100"/>
        <w:ind w:left="720"/>
        <w:jc w:val="both"/>
        <w:rPr>
          <w:sz w:val="24"/>
          <w:szCs w:val="24"/>
        </w:rPr>
      </w:pPr>
      <w:r>
        <w:rPr>
          <w:sz w:val="24"/>
          <w:szCs w:val="24"/>
        </w:rPr>
        <w:t>Covering non-food fast-moving essentials, this segment houses iconic brands such as Doom (insecticides), Peaceful Sleep (repellents), Ingram's Camphor Cream (skincare), and Purity (baby nutrition and care).</w:t>
      </w:r>
    </w:p>
    <w:p w14:paraId="17BFF230" w14:textId="77777777" w:rsidR="0065571E" w:rsidRPr="003106EE" w:rsidRDefault="00000000" w:rsidP="008E3CB7">
      <w:pPr>
        <w:pStyle w:val="Heading3"/>
        <w:numPr>
          <w:ilvl w:val="0"/>
          <w:numId w:val="6"/>
        </w:numPr>
        <w:jc w:val="both"/>
        <w:rPr>
          <w:sz w:val="24"/>
          <w:szCs w:val="24"/>
        </w:rPr>
      </w:pPr>
      <w:r>
        <w:rPr>
          <w:sz w:val="24"/>
          <w:szCs w:val="24"/>
        </w:rPr>
        <w:t>Exports &amp; International</w:t>
      </w:r>
    </w:p>
    <w:p w14:paraId="39BAE637" w14:textId="77777777" w:rsidR="006769BF" w:rsidRPr="00716C35" w:rsidRDefault="00000000" w:rsidP="008E3CB7">
      <w:pPr>
        <w:pStyle w:val="ListParagraph"/>
        <w:spacing w:after="100"/>
        <w:ind w:left="720"/>
        <w:jc w:val="both"/>
        <w:rPr>
          <w:sz w:val="24"/>
          <w:szCs w:val="24"/>
        </w:rPr>
      </w:pPr>
      <w:r>
        <w:rPr>
          <w:sz w:val="24"/>
          <w:szCs w:val="24"/>
        </w:rPr>
        <w:lastRenderedPageBreak/>
        <w:t>This segment covers exports to 22 countries across the African continent via a capital-light third-party distributor model, alongside international operations in Central Africa.</w:t>
      </w:r>
    </w:p>
    <w:p w14:paraId="521EB075" w14:textId="77777777" w:rsidR="006769BF" w:rsidRPr="006769BF" w:rsidRDefault="006769BF" w:rsidP="008E3CB7">
      <w:pPr>
        <w:pStyle w:val="ListParagraph"/>
        <w:numPr>
          <w:ilvl w:val="0"/>
          <w:numId w:val="6"/>
        </w:numPr>
        <w:spacing w:after="100"/>
        <w:jc w:val="both"/>
        <w:rPr>
          <w:sz w:val="24"/>
          <w:szCs w:val="24"/>
        </w:rPr>
      </w:pPr>
      <w:r>
        <w:rPr>
          <w:b/>
          <w:bCs/>
          <w:color w:val="595959"/>
          <w:sz w:val="24"/>
          <w:szCs w:val="24"/>
        </w:rPr>
        <w:t>Other</w:t>
      </w:r>
      <w:r>
        <w:rPr>
          <w:sz w:val="24"/>
          <w:szCs w:val="24"/>
        </w:rPr>
        <w:t xml:space="preserve"> encompasses the corporate office and management expenses relating to international investments not captured in the above segments.</w:t>
      </w:r>
    </w:p>
    <w:p w14:paraId="7E646898" w14:textId="77777777" w:rsidR="00AF5B48" w:rsidRDefault="006769BF" w:rsidP="008E3CB7">
      <w:pPr>
        <w:spacing w:after="100"/>
        <w:jc w:val="both"/>
        <w:rPr>
          <w:sz w:val="24"/>
          <w:szCs w:val="24"/>
        </w:rPr>
      </w:pPr>
      <w:r>
        <w:rPr>
          <w:sz w:val="24"/>
          <w:szCs w:val="24"/>
        </w:rPr>
        <w:t>The group operates 34 manufacturing plants across seven of South Africa's nine provinces and employs approximately 11,395 people and contractors, making it one of South Africa's largest industrial employers</w:t>
      </w:r>
    </w:p>
    <w:p w14:paraId="6D0D853A" w14:textId="77777777" w:rsidR="006769BF" w:rsidRPr="006769BF" w:rsidRDefault="006769BF" w:rsidP="008E3CB7">
      <w:pPr>
        <w:spacing w:after="100"/>
        <w:jc w:val="both"/>
        <w:rPr>
          <w:sz w:val="24"/>
          <w:szCs w:val="24"/>
        </w:rPr>
      </w:pPr>
    </w:p>
    <w:p w14:paraId="3ABD0592" w14:textId="77777777" w:rsidR="0065571E" w:rsidRPr="006769BF" w:rsidRDefault="00000000" w:rsidP="008E3CB7">
      <w:pPr>
        <w:pStyle w:val="Heading2"/>
        <w:jc w:val="both"/>
        <w:rPr>
          <w:sz w:val="28"/>
          <w:szCs w:val="28"/>
        </w:rPr>
      </w:pPr>
      <w:r>
        <w:rPr>
          <w:sz w:val="28"/>
          <w:szCs w:val="28"/>
        </w:rPr>
        <w:t>2.2 Key Revenue &amp; Cost Drivers</w:t>
      </w:r>
    </w:p>
    <w:p w14:paraId="008B837E" w14:textId="77777777" w:rsidR="00AF5B48" w:rsidRPr="00AF5B48" w:rsidRDefault="00AF5B48" w:rsidP="008E3CB7">
      <w:pPr>
        <w:pStyle w:val="Heading2"/>
        <w:jc w:val="both"/>
        <w:rPr>
          <w:b w:val="0"/>
          <w:bCs w:val="0"/>
          <w:color w:val="auto"/>
        </w:rPr>
      </w:pPr>
      <w:r>
        <w:rPr>
          <w:b w:val="0"/>
          <w:bCs w:val="0"/>
          <w:color w:val="auto"/>
        </w:rPr>
        <w:t>Tiger Brands' revenue is primarily driven by domestic volume throughput in core staple categories, pricing power across its branded portfolio, and market share dynamics within the South African FMCG sector. Volume recovery supported by the SKU rationalisation programme and improved product availability is the primary near-term revenue growth catalyst.</w:t>
      </w:r>
    </w:p>
    <w:p w14:paraId="034016E6" w14:textId="77777777" w:rsidR="00AF5B48" w:rsidRPr="00AF5B48" w:rsidRDefault="00AF5B48" w:rsidP="008E3CB7">
      <w:pPr>
        <w:pStyle w:val="Heading2"/>
        <w:jc w:val="both"/>
        <w:rPr>
          <w:b w:val="0"/>
          <w:bCs w:val="0"/>
          <w:color w:val="auto"/>
        </w:rPr>
      </w:pPr>
      <w:r>
        <w:rPr>
          <w:b w:val="0"/>
          <w:bCs w:val="0"/>
          <w:color w:val="auto"/>
        </w:rPr>
        <w:t>On the cost side, the principal drivers are raw agricultural commodity prices (white maize, wheat, and sugar), industrial packaging materials, and factory energy costs. These production-stage input costs are highly sensitive to domestic agricultural output, global commodity price cycles, and rand exchange rate movements. Operating overhead costs, including logistics, administration, and marketing, are driven by broader consumer economy price dynamics and physical volume throughput.</w:t>
      </w:r>
    </w:p>
    <w:p w14:paraId="4CBB29C8" w14:textId="77777777" w:rsidR="0065571E" w:rsidRPr="006769BF" w:rsidRDefault="00000000" w:rsidP="008E3CB7">
      <w:pPr>
        <w:pStyle w:val="Heading2"/>
        <w:jc w:val="both"/>
        <w:rPr>
          <w:sz w:val="28"/>
          <w:szCs w:val="28"/>
        </w:rPr>
      </w:pPr>
      <w:r>
        <w:rPr>
          <w:sz w:val="28"/>
          <w:szCs w:val="28"/>
        </w:rPr>
        <w:t>2.3 Current Strategy: Cost Leadership &amp; Operational Turnaround</w:t>
      </w:r>
    </w:p>
    <w:p w14:paraId="433EB3C9" w14:textId="77777777" w:rsidR="00AF5B48" w:rsidRPr="006769BF" w:rsidRDefault="00AF5B48" w:rsidP="008E3CB7">
      <w:pPr>
        <w:spacing w:after="60"/>
        <w:jc w:val="both"/>
        <w:rPr>
          <w:sz w:val="24"/>
          <w:szCs w:val="24"/>
        </w:rPr>
      </w:pPr>
      <w:r>
        <w:rPr>
          <w:sz w:val="24"/>
          <w:szCs w:val="24"/>
        </w:rPr>
        <w:t>Tiger Brands is currently executing an aggressive Cost Leadership strategy to defend its market share against the proliferation of cheap generic private-label supermarket entries. Three strategic levers define this phase:</w:t>
      </w:r>
    </w:p>
    <w:p w14:paraId="5783F43E" w14:textId="77777777" w:rsidR="00AF5B48" w:rsidRPr="00AF5B48" w:rsidRDefault="00AF5B48" w:rsidP="008E3CB7">
      <w:pPr>
        <w:pStyle w:val="Heading2"/>
        <w:numPr>
          <w:ilvl w:val="0"/>
          <w:numId w:val="4"/>
        </w:numPr>
        <w:jc w:val="both"/>
        <w:rPr>
          <w:b w:val="0"/>
          <w:bCs w:val="0"/>
          <w:color w:val="auto"/>
        </w:rPr>
      </w:pPr>
      <w:r>
        <w:rPr>
          <w:b w:val="0"/>
          <w:bCs w:val="0"/>
          <w:color w:val="auto"/>
        </w:rPr>
        <w:t>SKU Rationalisation: Management has actively reduced Stock Keeping Units by over 20%, clearing slow-moving inventory from the supply chain and improving working capital efficiency. This initiative has been a primary driver of the significant positive working capital cash releases observed in FY2024 and FY2025.</w:t>
      </w:r>
    </w:p>
    <w:p w14:paraId="7C3DE0A3" w14:textId="77777777" w:rsidR="00AF5B48" w:rsidRPr="00AF5B48" w:rsidRDefault="00AF5B48" w:rsidP="008E3CB7">
      <w:pPr>
        <w:pStyle w:val="Heading2"/>
        <w:numPr>
          <w:ilvl w:val="0"/>
          <w:numId w:val="4"/>
        </w:numPr>
        <w:jc w:val="both"/>
        <w:rPr>
          <w:b w:val="0"/>
          <w:bCs w:val="0"/>
          <w:color w:val="auto"/>
        </w:rPr>
      </w:pPr>
      <w:r>
        <w:rPr>
          <w:b w:val="0"/>
          <w:bCs w:val="0"/>
          <w:color w:val="auto"/>
        </w:rPr>
        <w:t>Continuous Improvement (CI) Programme: A structural programme targeting the elimination of R500 million in value-chain waste through logistics optimisations, super-bakery standardisation, and factory automation. This initiative is driving cash generation growth that meaningfully outpaces top-line revenue expansion during the turnaround phase.</w:t>
      </w:r>
    </w:p>
    <w:p w14:paraId="6CDFBF8E" w14:textId="77777777" w:rsidR="00AF5B48" w:rsidRPr="00AF5B48" w:rsidRDefault="00AF5B48" w:rsidP="008E3CB7">
      <w:pPr>
        <w:pStyle w:val="Heading2"/>
        <w:numPr>
          <w:ilvl w:val="0"/>
          <w:numId w:val="4"/>
        </w:numPr>
        <w:jc w:val="both"/>
        <w:rPr>
          <w:b w:val="0"/>
          <w:bCs w:val="0"/>
          <w:color w:val="auto"/>
        </w:rPr>
      </w:pPr>
      <w:r>
        <w:rPr>
          <w:b w:val="0"/>
          <w:bCs w:val="0"/>
          <w:color w:val="auto"/>
        </w:rPr>
        <w:t>Portfolio Simplification: To concentrate resources on high-margin core categories, Tiger Brands has divested non-core underperforming assets, including its Langeberg &amp; Ashton Foods canning plants, select maize mills, and international segments such as Chococam in Central Africa.</w:t>
      </w:r>
    </w:p>
    <w:p w14:paraId="5EC48B9E" w14:textId="77777777" w:rsidR="00AF5B48" w:rsidRDefault="00AF5B48" w:rsidP="008E3CB7">
      <w:pPr>
        <w:pStyle w:val="Heading2"/>
        <w:jc w:val="both"/>
        <w:rPr>
          <w:b w:val="0"/>
          <w:bCs w:val="0"/>
          <w:color w:val="auto"/>
        </w:rPr>
      </w:pPr>
      <w:r>
        <w:rPr>
          <w:b w:val="0"/>
          <w:bCs w:val="0"/>
          <w:color w:val="auto"/>
        </w:rPr>
        <w:t>The results of this strategy are tangible and measurable. EBIT grew 34.2% in FY2025 to R3.8 billion, and gross margin recovered 370 basis points from its FY2023 trough of 27.7% to 31.3% in FY2025 confirming that the operational turnaround is delivering real and sustained financial improvement.</w:t>
      </w:r>
    </w:p>
    <w:p w14:paraId="25607328" w14:textId="77777777" w:rsidR="00954F05" w:rsidRPr="00AF5B48" w:rsidRDefault="00954F05" w:rsidP="008E3CB7">
      <w:pPr>
        <w:pStyle w:val="Heading2"/>
        <w:jc w:val="both"/>
        <w:rPr>
          <w:b w:val="0"/>
          <w:bCs w:val="0"/>
          <w:color w:val="auto"/>
        </w:rPr>
      </w:pPr>
    </w:p>
    <w:p w14:paraId="352D0EEE" w14:textId="77777777" w:rsidR="0065571E" w:rsidRPr="006769BF" w:rsidRDefault="00000000" w:rsidP="008E3CB7">
      <w:pPr>
        <w:pStyle w:val="Heading2"/>
        <w:jc w:val="both"/>
        <w:rPr>
          <w:sz w:val="28"/>
          <w:szCs w:val="28"/>
        </w:rPr>
      </w:pPr>
      <w:r>
        <w:rPr>
          <w:sz w:val="28"/>
          <w:szCs w:val="28"/>
        </w:rPr>
        <w:lastRenderedPageBreak/>
        <w:t>2.4 Shareholder &amp; Management Structure</w:t>
      </w:r>
    </w:p>
    <w:p w14:paraId="1CA294D5" w14:textId="77777777" w:rsidR="00AF5B48" w:rsidRPr="00AF5B48" w:rsidRDefault="00AF5B48" w:rsidP="008E3CB7">
      <w:pPr>
        <w:pStyle w:val="Heading2"/>
        <w:jc w:val="both"/>
        <w:rPr>
          <w:b w:val="0"/>
          <w:bCs w:val="0"/>
          <w:color w:val="auto"/>
        </w:rPr>
      </w:pPr>
      <w:r>
        <w:rPr>
          <w:b w:val="0"/>
          <w:bCs w:val="0"/>
          <w:color w:val="auto"/>
        </w:rPr>
        <w:t>Tiger Brands is listed on the JSE Main Board under the ticker symbol TBS.JO. The company is governed by a board composed of a majority of independent non-executive directors, consistent with King IV corporate governance requirements and JSE Listings Requirements.</w:t>
      </w:r>
    </w:p>
    <w:p w14:paraId="24347716" w14:textId="7CC7721A" w:rsidR="00AF5B48" w:rsidRPr="00AF5B48" w:rsidRDefault="00AF5B48" w:rsidP="008E3CB7">
      <w:pPr>
        <w:pStyle w:val="Heading2"/>
        <w:jc w:val="both"/>
        <w:rPr>
          <w:b w:val="0"/>
          <w:bCs w:val="0"/>
          <w:color w:val="auto"/>
        </w:rPr>
      </w:pPr>
      <w:r>
        <w:rPr>
          <w:b w:val="0"/>
          <w:bCs w:val="0"/>
          <w:color w:val="auto"/>
        </w:rPr>
        <w:t>Senior management is led by Chief Executive Officer Noel Dowd, who joined Tiger Brands in 2022 and has spearheaded the Cost Leadership turnaround strategy, and Chief Financial Officer Deepa Sita, who has served since 2019 and has overseen the company's disciplined balance sheet deleveraging and capital allocation programme. Under their combined tenure, EBIT has grown from R2.1 billion in FY2021 to R3.8 billion in FY2025</w:t>
      </w:r>
      <w:r w:rsidR="00954F05">
        <w:rPr>
          <w:b w:val="0"/>
          <w:bCs w:val="0"/>
          <w:color w:val="auto"/>
        </w:rPr>
        <w:t>,</w:t>
      </w:r>
      <w:r>
        <w:rPr>
          <w:b w:val="0"/>
          <w:bCs w:val="0"/>
          <w:color w:val="auto"/>
        </w:rPr>
        <w:t xml:space="preserve"> </w:t>
      </w:r>
      <w:r w:rsidR="00954F05">
        <w:rPr>
          <w:b w:val="0"/>
          <w:bCs w:val="0"/>
          <w:color w:val="auto"/>
        </w:rPr>
        <w:t>an</w:t>
      </w:r>
      <w:r>
        <w:rPr>
          <w:b w:val="0"/>
          <w:bCs w:val="0"/>
          <w:color w:val="auto"/>
        </w:rPr>
        <w:t xml:space="preserve"> 83% cumulative improvement</w:t>
      </w:r>
      <w:r w:rsidR="00954F05">
        <w:rPr>
          <w:b w:val="0"/>
          <w:bCs w:val="0"/>
          <w:color w:val="auto"/>
        </w:rPr>
        <w:t>,</w:t>
      </w:r>
      <w:r>
        <w:rPr>
          <w:b w:val="0"/>
          <w:bCs w:val="0"/>
          <w:color w:val="auto"/>
        </w:rPr>
        <w:t xml:space="preserve"> while net debt has been effectively eliminated. Key capital allocation decisions</w:t>
      </w:r>
      <w:r w:rsidR="00954F05">
        <w:rPr>
          <w:b w:val="0"/>
          <w:bCs w:val="0"/>
          <w:color w:val="auto"/>
        </w:rPr>
        <w:t>,</w:t>
      </w:r>
      <w:r>
        <w:rPr>
          <w:b w:val="0"/>
          <w:bCs w:val="0"/>
          <w:color w:val="auto"/>
        </w:rPr>
        <w:t xml:space="preserve"> including the permanent reduction of the dividend cover ratio from 1.75x to 1.15x, the execution of a R1.5 billion share buyback programme, and the disciplined divestiture of non-core assets</w:t>
      </w:r>
      <w:r w:rsidR="00954F05">
        <w:rPr>
          <w:b w:val="0"/>
          <w:bCs w:val="0"/>
          <w:color w:val="auto"/>
        </w:rPr>
        <w:t>,</w:t>
      </w:r>
      <w:r>
        <w:rPr>
          <w:b w:val="0"/>
          <w:bCs w:val="0"/>
          <w:color w:val="auto"/>
        </w:rPr>
        <w:t xml:space="preserve"> including Langeberg</w:t>
      </w:r>
      <w:r w:rsidR="00954F05">
        <w:rPr>
          <w:b w:val="0"/>
          <w:bCs w:val="0"/>
          <w:color w:val="auto"/>
        </w:rPr>
        <w:t>,</w:t>
      </w:r>
      <w:r>
        <w:rPr>
          <w:b w:val="0"/>
          <w:bCs w:val="0"/>
          <w:color w:val="auto"/>
        </w:rPr>
        <w:t xml:space="preserve"> Ashton Foods</w:t>
      </w:r>
      <w:r w:rsidR="00954F05">
        <w:rPr>
          <w:b w:val="0"/>
          <w:bCs w:val="0"/>
          <w:color w:val="auto"/>
        </w:rPr>
        <w:t>,</w:t>
      </w:r>
      <w:r>
        <w:rPr>
          <w:b w:val="0"/>
          <w:bCs w:val="0"/>
          <w:color w:val="auto"/>
        </w:rPr>
        <w:t xml:space="preserve"> and </w:t>
      </w:r>
      <w:proofErr w:type="spellStart"/>
      <w:r>
        <w:rPr>
          <w:b w:val="0"/>
          <w:bCs w:val="0"/>
          <w:color w:val="auto"/>
        </w:rPr>
        <w:t>Chococam</w:t>
      </w:r>
      <w:proofErr w:type="spellEnd"/>
      <w:r w:rsidR="00954F05">
        <w:rPr>
          <w:b w:val="0"/>
          <w:bCs w:val="0"/>
          <w:color w:val="auto"/>
        </w:rPr>
        <w:t>,</w:t>
      </w:r>
      <w:r>
        <w:rPr>
          <w:b w:val="0"/>
          <w:bCs w:val="0"/>
          <w:color w:val="auto"/>
        </w:rPr>
        <w:t xml:space="preserve"> reflect a clear shareholder-returns-first philosophy. Executive remuneration is structured around fixed salary, short-term performance bonuses linked to revenue growth and operating income targets, and long-term incentive plans tied to share price performance and EPS growth</w:t>
      </w:r>
      <w:r w:rsidR="00954F05">
        <w:rPr>
          <w:b w:val="0"/>
          <w:bCs w:val="0"/>
          <w:color w:val="auto"/>
        </w:rPr>
        <w:t>,</w:t>
      </w:r>
      <w:r>
        <w:rPr>
          <w:b w:val="0"/>
          <w:bCs w:val="0"/>
          <w:color w:val="auto"/>
        </w:rPr>
        <w:t xml:space="preserve"> ensuring management interests are aligned with long-term shareholders. Noel Dowd holds approximately 0.03% of shares outstanding through long-term incentive plan awards, maintaining skin in the game during the critical turnaround phase.</w:t>
      </w:r>
    </w:p>
    <w:p w14:paraId="0BC95A51" w14:textId="77777777" w:rsidR="00AF5B48" w:rsidRPr="00AF5B48" w:rsidRDefault="00AF5B48" w:rsidP="008E3CB7">
      <w:pPr>
        <w:pStyle w:val="Heading2"/>
        <w:jc w:val="both"/>
        <w:rPr>
          <w:b w:val="0"/>
          <w:bCs w:val="0"/>
          <w:color w:val="auto"/>
        </w:rPr>
      </w:pPr>
      <w:r>
        <w:rPr>
          <w:b w:val="0"/>
          <w:bCs w:val="0"/>
          <w:color w:val="auto"/>
        </w:rPr>
        <w:t>A notable governance gap is the absence of a formally disclosed public succession plan for senior management. In a business of Tiger Brands' scale and complexity, key-person dependency at the executive level represents a minor but real governance risk that investors should monitor, particularly given the critical nature of the ongoing turnaround execution.</w:t>
      </w:r>
    </w:p>
    <w:p w14:paraId="469A884D" w14:textId="77777777" w:rsidR="0065571E" w:rsidRPr="006769BF" w:rsidRDefault="00000000" w:rsidP="008E3CB7">
      <w:pPr>
        <w:pStyle w:val="Heading2"/>
        <w:jc w:val="both"/>
        <w:rPr>
          <w:sz w:val="28"/>
          <w:szCs w:val="28"/>
        </w:rPr>
      </w:pPr>
      <w:r>
        <w:rPr>
          <w:sz w:val="28"/>
          <w:szCs w:val="28"/>
        </w:rPr>
        <w:t>2.5 Environmental, Social &amp; Governance (ESG)</w:t>
      </w:r>
    </w:p>
    <w:p w14:paraId="316BD8A0" w14:textId="77777777" w:rsidR="002B4B5D" w:rsidRPr="002B4B5D" w:rsidRDefault="002B4B5D" w:rsidP="008E3CB7">
      <w:pPr>
        <w:spacing w:after="240"/>
        <w:jc w:val="both"/>
        <w:rPr>
          <w:sz w:val="24"/>
          <w:szCs w:val="24"/>
        </w:rPr>
      </w:pPr>
      <w:r>
        <w:rPr>
          <w:sz w:val="24"/>
          <w:szCs w:val="24"/>
        </w:rPr>
        <w:t>Tiger Brands publishes an annual Integrated Report aligned to the International Integrated Reporting Council (IIRC) framework and adheres to King IV corporate governance principles.</w:t>
      </w:r>
    </w:p>
    <w:p w14:paraId="1162461F" w14:textId="77777777" w:rsidR="002B4B5D" w:rsidRPr="006769BF" w:rsidRDefault="002B4B5D" w:rsidP="008E3CB7">
      <w:pPr>
        <w:pStyle w:val="ListParagraph"/>
        <w:numPr>
          <w:ilvl w:val="0"/>
          <w:numId w:val="5"/>
        </w:numPr>
        <w:spacing w:after="240"/>
        <w:jc w:val="both"/>
        <w:rPr>
          <w:sz w:val="24"/>
          <w:szCs w:val="24"/>
        </w:rPr>
      </w:pPr>
      <w:r>
        <w:rPr>
          <w:b/>
          <w:bCs/>
          <w:sz w:val="24"/>
          <w:szCs w:val="24"/>
        </w:rPr>
        <w:t>Environmental:</w:t>
      </w:r>
      <w:r>
        <w:rPr>
          <w:sz w:val="24"/>
          <w:szCs w:val="24"/>
        </w:rPr>
        <w:t xml:space="preserve"> The group has committed to reducing its carbon footprint through factory energy efficiency investments and responsible water usage across its 34 manufacturing sites. Packaging sustainability is an active focus area given increasing regulatory pressure on single-use plastics and growing consumer awareness of environmental impact.</w:t>
      </w:r>
    </w:p>
    <w:p w14:paraId="0228DE7E" w14:textId="1AC3261A" w:rsidR="002B4B5D" w:rsidRPr="006769BF" w:rsidRDefault="002B4B5D" w:rsidP="008E3CB7">
      <w:pPr>
        <w:pStyle w:val="ListParagraph"/>
        <w:numPr>
          <w:ilvl w:val="0"/>
          <w:numId w:val="5"/>
        </w:numPr>
        <w:spacing w:after="240"/>
        <w:jc w:val="both"/>
        <w:rPr>
          <w:sz w:val="24"/>
          <w:szCs w:val="24"/>
        </w:rPr>
      </w:pPr>
      <w:r>
        <w:rPr>
          <w:b/>
          <w:bCs/>
          <w:sz w:val="24"/>
          <w:szCs w:val="24"/>
        </w:rPr>
        <w:t>Social:</w:t>
      </w:r>
      <w:r>
        <w:rPr>
          <w:sz w:val="24"/>
          <w:szCs w:val="24"/>
        </w:rPr>
        <w:t xml:space="preserve"> As a major employer of approximately 11,395 people, Tiger Brands has a significant social footprint. Its B-BBEE initiatives, community development programmes, and commitment to consumer nutrition</w:t>
      </w:r>
      <w:r w:rsidR="00954F05">
        <w:rPr>
          <w:sz w:val="24"/>
          <w:szCs w:val="24"/>
        </w:rPr>
        <w:t>,</w:t>
      </w:r>
      <w:r>
        <w:rPr>
          <w:sz w:val="24"/>
          <w:szCs w:val="24"/>
        </w:rPr>
        <w:t xml:space="preserve"> including the mandatory fortification of staple foods such as maize meal and bread flour</w:t>
      </w:r>
      <w:r w:rsidR="00954F05">
        <w:rPr>
          <w:sz w:val="24"/>
          <w:szCs w:val="24"/>
        </w:rPr>
        <w:t>,</w:t>
      </w:r>
      <w:r>
        <w:rPr>
          <w:sz w:val="24"/>
          <w:szCs w:val="24"/>
        </w:rPr>
        <w:t xml:space="preserve"> underscore the company's social licence to operate and its alignment with South Africa's broader socioeconomic development objectives.</w:t>
      </w:r>
    </w:p>
    <w:p w14:paraId="74EC4955" w14:textId="77777777" w:rsidR="002B4B5D" w:rsidRPr="006769BF" w:rsidRDefault="002B4B5D" w:rsidP="008E3CB7">
      <w:pPr>
        <w:pStyle w:val="ListParagraph"/>
        <w:numPr>
          <w:ilvl w:val="0"/>
          <w:numId w:val="5"/>
        </w:numPr>
        <w:spacing w:after="240"/>
        <w:jc w:val="both"/>
        <w:rPr>
          <w:sz w:val="24"/>
          <w:szCs w:val="24"/>
        </w:rPr>
      </w:pPr>
      <w:r>
        <w:rPr>
          <w:b/>
          <w:bCs/>
          <w:sz w:val="24"/>
          <w:szCs w:val="24"/>
        </w:rPr>
        <w:t>Governance:</w:t>
      </w:r>
      <w:r>
        <w:rPr>
          <w:sz w:val="24"/>
          <w:szCs w:val="24"/>
        </w:rPr>
        <w:t xml:space="preserve"> Board independence is meaningful, with a majority of non-executive directors overseeing management accountability. Executive remuneration structures include performance-linked components designed to align management incentives with long-term shareholder value creation. Tiger Brands' governance framework is further strengthened by dedicated audit, risk, and remuneration committees operating independently of executive management.</w:t>
      </w:r>
    </w:p>
    <w:p w14:paraId="27C63F9D" w14:textId="77777777" w:rsidR="0065571E" w:rsidRDefault="0065571E" w:rsidP="008E3CB7">
      <w:pPr>
        <w:spacing w:after="240"/>
        <w:jc w:val="both"/>
      </w:pPr>
    </w:p>
    <w:p w14:paraId="7B832CA5" w14:textId="77777777" w:rsidR="0065571E" w:rsidRPr="007439B7" w:rsidRDefault="00000000" w:rsidP="008E3CB7">
      <w:pPr>
        <w:jc w:val="both"/>
        <w:rPr>
          <w:sz w:val="32"/>
          <w:szCs w:val="32"/>
        </w:rPr>
      </w:pPr>
      <w:r>
        <w:rPr>
          <w:b/>
          <w:bCs/>
          <w:color w:val="1F3864"/>
          <w:sz w:val="32"/>
          <w:szCs w:val="32"/>
        </w:rPr>
        <w:lastRenderedPageBreak/>
        <w:t>3. Market &amp; Industry Analysis &amp; Competitive Positioning</w:t>
      </w:r>
    </w:p>
    <w:p w14:paraId="7254A223" w14:textId="77777777" w:rsidR="0065571E" w:rsidRPr="006769BF" w:rsidRDefault="00000000" w:rsidP="008E3CB7">
      <w:pPr>
        <w:pStyle w:val="Heading2"/>
        <w:jc w:val="both"/>
        <w:rPr>
          <w:sz w:val="28"/>
          <w:szCs w:val="28"/>
        </w:rPr>
      </w:pPr>
      <w:r>
        <w:rPr>
          <w:sz w:val="28"/>
          <w:szCs w:val="28"/>
        </w:rPr>
        <w:t>3.1 Industry Description &amp; Life Cycle</w:t>
      </w:r>
    </w:p>
    <w:p w14:paraId="33DCFDA5" w14:textId="24E74D08" w:rsidR="00EE3495" w:rsidRPr="006769BF" w:rsidRDefault="00EE3495" w:rsidP="008E3CB7">
      <w:pPr>
        <w:pStyle w:val="Heading2"/>
        <w:jc w:val="both"/>
        <w:rPr>
          <w:b w:val="0"/>
          <w:bCs w:val="0"/>
          <w:color w:val="auto"/>
        </w:rPr>
      </w:pPr>
      <w:r>
        <w:rPr>
          <w:b w:val="0"/>
          <w:bCs w:val="0"/>
          <w:color w:val="auto"/>
        </w:rPr>
        <w:t>The South African FMCG and food manufacturing sector is a mature, highly consolidated industry in the late-growth to mature phase of its life cycle. Domestic volume growth is constrained by flat to marginally growing household income levels and persistent cost-of-living pressures on South African consumers. Revenue growth for the sector is therefore primarily driven by pricing actions</w:t>
      </w:r>
      <w:r w:rsidR="00954F05">
        <w:rPr>
          <w:b w:val="0"/>
          <w:bCs w:val="0"/>
          <w:color w:val="auto"/>
        </w:rPr>
        <w:t>,</w:t>
      </w:r>
      <w:r>
        <w:rPr>
          <w:b w:val="0"/>
          <w:bCs w:val="0"/>
          <w:color w:val="auto"/>
        </w:rPr>
        <w:t xml:space="preserve"> inflation pass-through to the consumer</w:t>
      </w:r>
      <w:r w:rsidR="00954F05">
        <w:rPr>
          <w:b w:val="0"/>
          <w:bCs w:val="0"/>
          <w:color w:val="auto"/>
        </w:rPr>
        <w:t>,</w:t>
      </w:r>
      <w:r>
        <w:rPr>
          <w:b w:val="0"/>
          <w:bCs w:val="0"/>
          <w:color w:val="auto"/>
        </w:rPr>
        <w:t xml:space="preserve"> rather than genuine volume uplift. This structural dynamic directly informs the conservative top-line revenue growth assumption of 3.02% per annum</w:t>
      </w:r>
      <w:r w:rsidR="00954F05">
        <w:rPr>
          <w:b w:val="0"/>
          <w:bCs w:val="0"/>
          <w:color w:val="auto"/>
        </w:rPr>
        <w:t>,</w:t>
      </w:r>
      <w:r>
        <w:rPr>
          <w:b w:val="0"/>
          <w:bCs w:val="0"/>
          <w:color w:val="auto"/>
        </w:rPr>
        <w:t xml:space="preserve"> anchored to the five-year trailing historical average, rather than an aggressive expansion trajectory that would be inconsistent with the demand environment Tiger Brands operates.</w:t>
      </w:r>
    </w:p>
    <w:p w14:paraId="3FFB7031" w14:textId="77777777" w:rsidR="0065571E" w:rsidRPr="006769BF" w:rsidRDefault="00000000" w:rsidP="008E3CB7">
      <w:pPr>
        <w:pStyle w:val="Heading2"/>
        <w:jc w:val="both"/>
        <w:rPr>
          <w:sz w:val="28"/>
          <w:szCs w:val="28"/>
        </w:rPr>
      </w:pPr>
      <w:r>
        <w:rPr>
          <w:sz w:val="28"/>
          <w:szCs w:val="28"/>
        </w:rPr>
        <w:t>3.2 PESTEL Analysis</w:t>
      </w:r>
    </w:p>
    <w:p w14:paraId="2C0BEC0E" w14:textId="77777777" w:rsidR="0065571E" w:rsidRPr="006769BF" w:rsidRDefault="00000000" w:rsidP="008E3CB7">
      <w:pPr>
        <w:pStyle w:val="Heading3"/>
        <w:jc w:val="both"/>
        <w:rPr>
          <w:sz w:val="24"/>
          <w:szCs w:val="24"/>
        </w:rPr>
      </w:pPr>
      <w:r>
        <w:rPr>
          <w:sz w:val="24"/>
          <w:szCs w:val="24"/>
        </w:rPr>
        <w:t>Political</w:t>
      </w:r>
    </w:p>
    <w:p w14:paraId="606BB046" w14:textId="77777777" w:rsidR="00AF5B48" w:rsidRPr="006769BF" w:rsidRDefault="00AF5B48" w:rsidP="008E3CB7">
      <w:pPr>
        <w:pStyle w:val="Heading3"/>
        <w:jc w:val="both"/>
        <w:rPr>
          <w:b w:val="0"/>
          <w:bCs w:val="0"/>
          <w:color w:val="auto"/>
          <w:sz w:val="24"/>
          <w:szCs w:val="24"/>
        </w:rPr>
      </w:pPr>
      <w:r>
        <w:rPr>
          <w:b w:val="0"/>
          <w:bCs w:val="0"/>
          <w:color w:val="auto"/>
          <w:sz w:val="24"/>
          <w:szCs w:val="24"/>
        </w:rPr>
        <w:t>South Africa's political environment is characterised by moderate policy uncertainty following the formation of the Government of National Unity (GNU) in 2024. For Tiger Brands, political risk manifests primarily through food pricing regulations, potential B-BBEE equity ownership requirements, and trade policy affecting import tariffs on agricultural raw materials. The company's deep reliance on domestic grain supply chains also creates meaningful exposure to government agricultural support policy and land reform decisions that could affect long-term commodity availability and pricing.</w:t>
      </w:r>
    </w:p>
    <w:p w14:paraId="1E564972" w14:textId="77777777" w:rsidR="0065571E" w:rsidRPr="006769BF" w:rsidRDefault="00000000" w:rsidP="008E3CB7">
      <w:pPr>
        <w:pStyle w:val="Heading3"/>
        <w:jc w:val="both"/>
        <w:rPr>
          <w:sz w:val="24"/>
          <w:szCs w:val="24"/>
        </w:rPr>
      </w:pPr>
      <w:r>
        <w:rPr>
          <w:sz w:val="24"/>
          <w:szCs w:val="24"/>
        </w:rPr>
        <w:t>Economic</w:t>
      </w:r>
    </w:p>
    <w:p w14:paraId="6F4C4FFC" w14:textId="773E395A" w:rsidR="00AF5B48" w:rsidRPr="006769BF" w:rsidRDefault="00AF5B48" w:rsidP="008E3CB7">
      <w:pPr>
        <w:pStyle w:val="Heading3"/>
        <w:jc w:val="both"/>
        <w:rPr>
          <w:b w:val="0"/>
          <w:bCs w:val="0"/>
          <w:color w:val="auto"/>
          <w:sz w:val="24"/>
          <w:szCs w:val="24"/>
        </w:rPr>
      </w:pPr>
      <w:r>
        <w:rPr>
          <w:b w:val="0"/>
          <w:bCs w:val="0"/>
          <w:color w:val="auto"/>
          <w:sz w:val="24"/>
          <w:szCs w:val="24"/>
        </w:rPr>
        <w:t>South Africa's macroeconomic environment features persistently high unemployment of approximately 32%, subdued GDP growth, and elevated interest rates (Stats SA, 2025). The South African Reserve Bank (SARB) has maintained the repurchase rate at restrictive levels to anchor inflation expectations, constraining consumer discretionary spending and suppressing FMCG volume growth. While Headline CPI has moderated toward the lower end of the SARB's 3%–6% target band in early 2026, the 4.50% rate applied to operating expenses in this model reflects the SARB's stated midpoint inflation target</w:t>
      </w:r>
      <w:r w:rsidR="008D688B">
        <w:rPr>
          <w:b w:val="0"/>
          <w:bCs w:val="0"/>
          <w:color w:val="auto"/>
          <w:sz w:val="24"/>
          <w:szCs w:val="24"/>
        </w:rPr>
        <w:t>,</w:t>
      </w:r>
      <w:r>
        <w:rPr>
          <w:b w:val="0"/>
          <w:bCs w:val="0"/>
          <w:color w:val="auto"/>
          <w:sz w:val="24"/>
          <w:szCs w:val="24"/>
        </w:rPr>
        <w:t xml:space="preserve"> a conservative and forward-looking assumption for a five-year forecast horizon rather than a single-year snapshot (Stats SA, 2026). </w:t>
      </w:r>
    </w:p>
    <w:p w14:paraId="5DA571E1" w14:textId="77777777" w:rsidR="0065571E" w:rsidRPr="006769BF" w:rsidRDefault="00000000" w:rsidP="008E3CB7">
      <w:pPr>
        <w:pStyle w:val="Heading3"/>
        <w:jc w:val="both"/>
        <w:rPr>
          <w:sz w:val="24"/>
          <w:szCs w:val="24"/>
        </w:rPr>
      </w:pPr>
      <w:r>
        <w:rPr>
          <w:sz w:val="24"/>
          <w:szCs w:val="24"/>
        </w:rPr>
        <w:t>Social</w:t>
      </w:r>
    </w:p>
    <w:p w14:paraId="2F0E9DFB" w14:textId="3AF80E45" w:rsidR="00AF5B48" w:rsidRPr="006769BF" w:rsidRDefault="00AF5B48" w:rsidP="008E3CB7">
      <w:pPr>
        <w:pStyle w:val="Heading3"/>
        <w:jc w:val="both"/>
        <w:rPr>
          <w:b w:val="0"/>
          <w:bCs w:val="0"/>
          <w:color w:val="auto"/>
          <w:sz w:val="24"/>
          <w:szCs w:val="24"/>
        </w:rPr>
      </w:pPr>
      <w:r>
        <w:rPr>
          <w:b w:val="0"/>
          <w:bCs w:val="0"/>
          <w:color w:val="auto"/>
          <w:sz w:val="24"/>
          <w:szCs w:val="24"/>
        </w:rPr>
        <w:t>High youth unemployment and declining real household disposable incomes are accelerating a structural consumer shift toward private-label and value brands at the expense of premium branded products. This is the primary demand-side threat facing Tiger Brands' portfolio and directly motivates the company's Cost Leadership strategy</w:t>
      </w:r>
      <w:r w:rsidR="008D688B">
        <w:rPr>
          <w:b w:val="0"/>
          <w:bCs w:val="0"/>
          <w:color w:val="auto"/>
          <w:sz w:val="24"/>
          <w:szCs w:val="24"/>
        </w:rPr>
        <w:t>. If</w:t>
      </w:r>
      <w:r>
        <w:rPr>
          <w:b w:val="0"/>
          <w:bCs w:val="0"/>
          <w:color w:val="auto"/>
          <w:sz w:val="24"/>
          <w:szCs w:val="24"/>
        </w:rPr>
        <w:t xml:space="preserve"> Tiger Brands cannot reduce its own cost base, it loses the ability to price competitively against cheaper alternatives on supermarket shelves. Simultaneously, growing urbanisation and the expansion of informal settlements create new long-term distribution opportunities for ambient, shelf-stable staple products in underserved communities.</w:t>
      </w:r>
    </w:p>
    <w:p w14:paraId="5ECF6678" w14:textId="77777777" w:rsidR="0065571E" w:rsidRPr="006769BF" w:rsidRDefault="00000000" w:rsidP="008E3CB7">
      <w:pPr>
        <w:pStyle w:val="Heading3"/>
        <w:jc w:val="both"/>
        <w:rPr>
          <w:sz w:val="24"/>
          <w:szCs w:val="24"/>
        </w:rPr>
      </w:pPr>
      <w:r>
        <w:rPr>
          <w:sz w:val="24"/>
          <w:szCs w:val="24"/>
        </w:rPr>
        <w:t>Technological</w:t>
      </w:r>
    </w:p>
    <w:p w14:paraId="559B03F3" w14:textId="161D9436" w:rsidR="00AF5B48" w:rsidRPr="006769BF" w:rsidRDefault="00AF5B48" w:rsidP="008E3CB7">
      <w:pPr>
        <w:pStyle w:val="Heading3"/>
        <w:jc w:val="both"/>
        <w:rPr>
          <w:b w:val="0"/>
          <w:bCs w:val="0"/>
          <w:color w:val="auto"/>
          <w:sz w:val="24"/>
          <w:szCs w:val="24"/>
        </w:rPr>
      </w:pPr>
      <w:r>
        <w:rPr>
          <w:b w:val="0"/>
          <w:bCs w:val="0"/>
          <w:color w:val="auto"/>
          <w:sz w:val="24"/>
          <w:szCs w:val="24"/>
        </w:rPr>
        <w:t xml:space="preserve">Tiger Brands is actively investing in factory automation and digital supply chain management tools as part of its Continuous Improvement programme. These investments are improving inventory forecasting accuracy, reducing production waste, and lowering the unit cost of manufacturing. E-commerce penetration in South African grocery retail remains relatively low but is expanding rapidly through platforms such as Checkers Sixty60 and </w:t>
      </w:r>
      <w:proofErr w:type="spellStart"/>
      <w:r w:rsidR="008D688B">
        <w:rPr>
          <w:b w:val="0"/>
          <w:bCs w:val="0"/>
          <w:color w:val="auto"/>
          <w:sz w:val="24"/>
          <w:szCs w:val="24"/>
        </w:rPr>
        <w:t>Pick'n</w:t>
      </w:r>
      <w:proofErr w:type="spellEnd"/>
      <w:r>
        <w:rPr>
          <w:b w:val="0"/>
          <w:bCs w:val="0"/>
          <w:color w:val="auto"/>
          <w:sz w:val="24"/>
          <w:szCs w:val="24"/>
        </w:rPr>
        <w:t xml:space="preserve"> Pay's on-</w:t>
      </w:r>
      <w:r>
        <w:rPr>
          <w:b w:val="0"/>
          <w:bCs w:val="0"/>
          <w:color w:val="auto"/>
          <w:sz w:val="24"/>
          <w:szCs w:val="24"/>
        </w:rPr>
        <w:lastRenderedPageBreak/>
        <w:t xml:space="preserve">demand delivery service. For Tiger Brands, this shift creates both an opportunity as its branded products </w:t>
      </w:r>
      <w:proofErr w:type="gramStart"/>
      <w:r w:rsidR="008D688B">
        <w:rPr>
          <w:b w:val="0"/>
          <w:bCs w:val="0"/>
          <w:color w:val="auto"/>
          <w:sz w:val="24"/>
          <w:szCs w:val="24"/>
        </w:rPr>
        <w:t>gain</w:t>
      </w:r>
      <w:proofErr w:type="gramEnd"/>
      <w:r>
        <w:rPr>
          <w:b w:val="0"/>
          <w:bCs w:val="0"/>
          <w:color w:val="auto"/>
          <w:sz w:val="24"/>
          <w:szCs w:val="24"/>
        </w:rPr>
        <w:t xml:space="preserve"> a new direct-to-consumer channel and a threat, as e-commerce platforms make price comparison easier for consumers, intensifying competitive pressure on branded versus private-label pricing.</w:t>
      </w:r>
    </w:p>
    <w:p w14:paraId="36F372DF" w14:textId="77777777" w:rsidR="0065571E" w:rsidRPr="006769BF" w:rsidRDefault="00000000" w:rsidP="008E3CB7">
      <w:pPr>
        <w:pStyle w:val="Heading3"/>
        <w:jc w:val="both"/>
        <w:rPr>
          <w:sz w:val="24"/>
          <w:szCs w:val="24"/>
        </w:rPr>
      </w:pPr>
      <w:r>
        <w:rPr>
          <w:sz w:val="24"/>
          <w:szCs w:val="24"/>
        </w:rPr>
        <w:t>Environmental</w:t>
      </w:r>
    </w:p>
    <w:p w14:paraId="348A9693" w14:textId="18CE1794" w:rsidR="00AF5B48" w:rsidRPr="006769BF" w:rsidRDefault="00AF5B48" w:rsidP="008E3CB7">
      <w:pPr>
        <w:pStyle w:val="Heading3"/>
        <w:jc w:val="both"/>
        <w:rPr>
          <w:b w:val="0"/>
          <w:bCs w:val="0"/>
          <w:color w:val="auto"/>
          <w:sz w:val="24"/>
          <w:szCs w:val="24"/>
        </w:rPr>
      </w:pPr>
      <w:r>
        <w:rPr>
          <w:b w:val="0"/>
          <w:bCs w:val="0"/>
          <w:color w:val="auto"/>
          <w:sz w:val="24"/>
          <w:szCs w:val="24"/>
        </w:rPr>
        <w:t>Climatic variability</w:t>
      </w:r>
      <w:r w:rsidR="008D688B">
        <w:rPr>
          <w:b w:val="0"/>
          <w:bCs w:val="0"/>
          <w:color w:val="auto"/>
          <w:sz w:val="24"/>
          <w:szCs w:val="24"/>
        </w:rPr>
        <w:t>,</w:t>
      </w:r>
      <w:r>
        <w:rPr>
          <w:b w:val="0"/>
          <w:bCs w:val="0"/>
          <w:color w:val="auto"/>
          <w:sz w:val="24"/>
          <w:szCs w:val="24"/>
        </w:rPr>
        <w:t xml:space="preserve"> particularly droughts affecting the white maize and wheat growing regions of the Free State and </w:t>
      </w:r>
      <w:proofErr w:type="gramStart"/>
      <w:r>
        <w:rPr>
          <w:b w:val="0"/>
          <w:bCs w:val="0"/>
          <w:color w:val="auto"/>
          <w:sz w:val="24"/>
          <w:szCs w:val="24"/>
        </w:rPr>
        <w:t>North West</w:t>
      </w:r>
      <w:proofErr w:type="gramEnd"/>
      <w:r>
        <w:rPr>
          <w:b w:val="0"/>
          <w:bCs w:val="0"/>
          <w:color w:val="auto"/>
          <w:sz w:val="24"/>
          <w:szCs w:val="24"/>
        </w:rPr>
        <w:t xml:space="preserve"> provinces</w:t>
      </w:r>
      <w:r w:rsidR="008D688B">
        <w:rPr>
          <w:b w:val="0"/>
          <w:bCs w:val="0"/>
          <w:color w:val="auto"/>
          <w:sz w:val="24"/>
          <w:szCs w:val="24"/>
        </w:rPr>
        <w:t>,</w:t>
      </w:r>
      <w:r>
        <w:rPr>
          <w:b w:val="0"/>
          <w:bCs w:val="0"/>
          <w:color w:val="auto"/>
          <w:sz w:val="24"/>
          <w:szCs w:val="24"/>
        </w:rPr>
        <w:t xml:space="preserve"> introduces significant input cost volatility for Tiger Brands' Grains segment. A poor agricultural season can drive SAFEX commodity prices materially above the 2.30% PPI baseline embedded in COGS forecasts, compressing gross margins in ways the model captures through the Bear Case scenario. Additionally, water scarcity at manufacturing sites and municipal infrastructure failures</w:t>
      </w:r>
      <w:r w:rsidR="008D688B">
        <w:rPr>
          <w:b w:val="0"/>
          <w:bCs w:val="0"/>
          <w:color w:val="auto"/>
          <w:sz w:val="24"/>
          <w:szCs w:val="24"/>
        </w:rPr>
        <w:t>,</w:t>
      </w:r>
      <w:r>
        <w:rPr>
          <w:b w:val="0"/>
          <w:bCs w:val="0"/>
          <w:color w:val="auto"/>
          <w:sz w:val="24"/>
          <w:szCs w:val="24"/>
        </w:rPr>
        <w:t xml:space="preserve"> including power outages and water supply disruptions</w:t>
      </w:r>
      <w:r w:rsidR="008D688B">
        <w:rPr>
          <w:b w:val="0"/>
          <w:bCs w:val="0"/>
          <w:color w:val="auto"/>
          <w:sz w:val="24"/>
          <w:szCs w:val="24"/>
        </w:rPr>
        <w:t>,</w:t>
      </w:r>
      <w:r>
        <w:rPr>
          <w:b w:val="0"/>
          <w:bCs w:val="0"/>
          <w:color w:val="auto"/>
          <w:sz w:val="24"/>
          <w:szCs w:val="24"/>
        </w:rPr>
        <w:t xml:space="preserve"> require Tiger Brands to invest in backup generation and water storage infrastructure, adding to the capital expenditure burden beyond normal maintenance CapEx cycles.</w:t>
      </w:r>
    </w:p>
    <w:p w14:paraId="43BF5CC5" w14:textId="77777777" w:rsidR="0065571E" w:rsidRPr="006769BF" w:rsidRDefault="00000000" w:rsidP="008E3CB7">
      <w:pPr>
        <w:pStyle w:val="Heading3"/>
        <w:jc w:val="both"/>
        <w:rPr>
          <w:sz w:val="24"/>
          <w:szCs w:val="24"/>
        </w:rPr>
      </w:pPr>
      <w:r>
        <w:rPr>
          <w:sz w:val="24"/>
          <w:szCs w:val="24"/>
        </w:rPr>
        <w:t>Legal</w:t>
      </w:r>
    </w:p>
    <w:p w14:paraId="1F56C377" w14:textId="77777777" w:rsidR="009211DB" w:rsidRDefault="00AF5B48" w:rsidP="008E3CB7">
      <w:pPr>
        <w:pStyle w:val="Heading2"/>
        <w:jc w:val="both"/>
        <w:rPr>
          <w:b w:val="0"/>
          <w:bCs w:val="0"/>
          <w:color w:val="auto"/>
          <w:sz w:val="20"/>
          <w:szCs w:val="20"/>
        </w:rPr>
      </w:pPr>
      <w:r>
        <w:rPr>
          <w:b w:val="0"/>
          <w:bCs w:val="0"/>
          <w:color w:val="auto"/>
        </w:rPr>
        <w:t>The Competition Commission of South Africa remains an active regulator in the food manufacturing sector, with historical enforcement actions against bread and milling companies for price-fixing conduct. Tiger Brands must navigate strict food safety legislation under the Consumer Protection Act, evolving product labelling requirements, and increasing regulatory scrutiny on sugar and salt content in processed foods and beverages a risk particularly relevant to the Beacon confectionery and Oros beverage product lines. Compliance frameworks are managed at an enterprise level, but regulatory changes remain an ongoing source of cost and operational complexity for the business</w:t>
      </w:r>
      <w:r>
        <w:rPr>
          <w:b w:val="0"/>
          <w:bCs w:val="0"/>
          <w:color w:val="auto"/>
          <w:sz w:val="20"/>
          <w:szCs w:val="20"/>
        </w:rPr>
        <w:t>.</w:t>
      </w:r>
    </w:p>
    <w:p w14:paraId="5E957429" w14:textId="77777777" w:rsidR="006769BF" w:rsidRPr="006769BF" w:rsidRDefault="00000000" w:rsidP="008E3CB7">
      <w:pPr>
        <w:pStyle w:val="Heading2"/>
        <w:jc w:val="both"/>
        <w:rPr>
          <w:sz w:val="28"/>
          <w:szCs w:val="28"/>
        </w:rPr>
      </w:pPr>
      <w:r>
        <w:rPr>
          <w:sz w:val="28"/>
          <w:szCs w:val="28"/>
        </w:rPr>
        <w:t>3.3 Competitive Landscape &amp; Porter's Five Forces</w:t>
      </w:r>
    </w:p>
    <w:p w14:paraId="2696311F" w14:textId="77777777" w:rsidR="006769BF" w:rsidRPr="006769BF" w:rsidRDefault="00000000" w:rsidP="008E3CB7">
      <w:pPr>
        <w:pStyle w:val="Heading3"/>
        <w:jc w:val="both"/>
        <w:rPr>
          <w:sz w:val="28"/>
          <w:szCs w:val="28"/>
        </w:rPr>
      </w:pPr>
      <w:r>
        <w:rPr>
          <w:sz w:val="28"/>
          <w:szCs w:val="28"/>
        </w:rPr>
        <w:t>Rivalry Among Existing Competitors</w:t>
      </w:r>
    </w:p>
    <w:p w14:paraId="4C6EF047" w14:textId="0BD49230" w:rsidR="006769BF" w:rsidRDefault="002B4B5D" w:rsidP="008E3CB7">
      <w:pPr>
        <w:spacing w:after="120"/>
        <w:jc w:val="both"/>
      </w:pPr>
      <w:r>
        <w:rPr>
          <w:sz w:val="24"/>
          <w:szCs w:val="24"/>
        </w:rPr>
        <w:t xml:space="preserve">Competition is intense among the four major JSE-listed FMCG manufacturers. Tiger Brands competes directly with AVI Limited (FY2025 Revenue: R16.0bn), RCL Foods (R26.5bn), and Premier Group Holdings (R19.9bn). The industry operates under a </w:t>
      </w:r>
      <w:r w:rsidR="008D688B">
        <w:rPr>
          <w:sz w:val="24"/>
          <w:szCs w:val="24"/>
        </w:rPr>
        <w:t>near-zero-sum</w:t>
      </w:r>
      <w:r>
        <w:rPr>
          <w:sz w:val="24"/>
          <w:szCs w:val="24"/>
        </w:rPr>
        <w:t xml:space="preserve"> volume dynamic because total market volume growth is constrained by consumer purchasing power limits</w:t>
      </w:r>
      <w:r w:rsidR="008D688B">
        <w:rPr>
          <w:sz w:val="24"/>
          <w:szCs w:val="24"/>
        </w:rPr>
        <w:t>;</w:t>
      </w:r>
      <w:r>
        <w:rPr>
          <w:sz w:val="24"/>
          <w:szCs w:val="24"/>
        </w:rPr>
        <w:t xml:space="preserve"> market share gains by one competitor come at the direct expense of another. As shown in the peer comparison table below, Tiger Brands leads on absolute revenue scale but trails AVI significantly on EBIT margin, highlighting the margin improvement opportunity that underpins the investment thesis</w:t>
      </w:r>
      <w:r>
        <w:t>.</w:t>
      </w:r>
    </w:p>
    <w:p w14:paraId="3D320DFC" w14:textId="77777777" w:rsidR="00FE0ACD" w:rsidRDefault="00FE0ACD" w:rsidP="008E3CB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973405" w14:paraId="710F05E7" w14:textId="77777777">
        <w:tc>
          <w:tcPr>
            <w:tcW w:w="2340" w:type="dxa"/>
            <w:shd w:val="clear" w:color="auto" w:fill="1F3864"/>
            <w:tcMar>
              <w:top w:w="80" w:type="dxa"/>
              <w:left w:w="120" w:type="dxa"/>
              <w:bottom w:w="80" w:type="dxa"/>
              <w:right w:w="120" w:type="dxa"/>
            </w:tcMar>
            <w:vAlign w:val="center"/>
          </w:tcPr>
          <w:p w14:paraId="5704B4E6" w14:textId="77777777" w:rsidR="0065571E" w:rsidRDefault="00000000" w:rsidP="008E3CB7">
            <w:pPr>
              <w:jc w:val="both"/>
            </w:pPr>
            <w:r>
              <w:rPr>
                <w:b/>
                <w:bCs/>
                <w:color w:val="FFFFFF"/>
                <w:sz w:val="18"/>
                <w:szCs w:val="18"/>
              </w:rPr>
              <w:t>Metric (FY2025)</w:t>
            </w:r>
          </w:p>
        </w:tc>
        <w:tc>
          <w:tcPr>
            <w:tcW w:w="1755" w:type="dxa"/>
            <w:shd w:val="clear" w:color="auto" w:fill="1F3864"/>
            <w:tcMar>
              <w:top w:w="80" w:type="dxa"/>
              <w:left w:w="120" w:type="dxa"/>
              <w:bottom w:w="80" w:type="dxa"/>
              <w:right w:w="120" w:type="dxa"/>
            </w:tcMar>
            <w:vAlign w:val="center"/>
          </w:tcPr>
          <w:p w14:paraId="6A9CC4FA" w14:textId="77777777" w:rsidR="0065571E" w:rsidRDefault="00000000" w:rsidP="008E3CB7">
            <w:pPr>
              <w:jc w:val="both"/>
            </w:pPr>
            <w:r>
              <w:rPr>
                <w:b/>
                <w:bCs/>
                <w:color w:val="FFFFFF"/>
                <w:sz w:val="18"/>
                <w:szCs w:val="18"/>
              </w:rPr>
              <w:t>Tiger Brands</w:t>
            </w:r>
          </w:p>
        </w:tc>
        <w:tc>
          <w:tcPr>
            <w:tcW w:w="1755" w:type="dxa"/>
            <w:shd w:val="clear" w:color="auto" w:fill="1F3864"/>
            <w:tcMar>
              <w:top w:w="80" w:type="dxa"/>
              <w:left w:w="120" w:type="dxa"/>
              <w:bottom w:w="80" w:type="dxa"/>
              <w:right w:w="120" w:type="dxa"/>
            </w:tcMar>
            <w:vAlign w:val="center"/>
          </w:tcPr>
          <w:p w14:paraId="1B3D9A77" w14:textId="77777777" w:rsidR="0065571E" w:rsidRDefault="00000000" w:rsidP="008E3CB7">
            <w:pPr>
              <w:jc w:val="both"/>
            </w:pPr>
            <w:r>
              <w:rPr>
                <w:b/>
                <w:bCs/>
                <w:color w:val="FFFFFF"/>
                <w:sz w:val="18"/>
                <w:szCs w:val="18"/>
              </w:rPr>
              <w:t>AVI Ltd</w:t>
            </w:r>
          </w:p>
        </w:tc>
        <w:tc>
          <w:tcPr>
            <w:tcW w:w="1755" w:type="dxa"/>
            <w:shd w:val="clear" w:color="auto" w:fill="1F3864"/>
            <w:tcMar>
              <w:top w:w="80" w:type="dxa"/>
              <w:left w:w="120" w:type="dxa"/>
              <w:bottom w:w="80" w:type="dxa"/>
              <w:right w:w="120" w:type="dxa"/>
            </w:tcMar>
            <w:vAlign w:val="center"/>
          </w:tcPr>
          <w:p w14:paraId="255B936F" w14:textId="77777777" w:rsidR="0065571E" w:rsidRDefault="00000000" w:rsidP="008E3CB7">
            <w:pPr>
              <w:jc w:val="both"/>
            </w:pPr>
            <w:r>
              <w:rPr>
                <w:b/>
                <w:bCs/>
                <w:color w:val="FFFFFF"/>
                <w:sz w:val="18"/>
                <w:szCs w:val="18"/>
              </w:rPr>
              <w:t>RCL Foods</w:t>
            </w:r>
          </w:p>
        </w:tc>
        <w:tc>
          <w:tcPr>
            <w:tcW w:w="1755" w:type="dxa"/>
            <w:shd w:val="clear" w:color="auto" w:fill="1F3864"/>
            <w:tcMar>
              <w:top w:w="80" w:type="dxa"/>
              <w:left w:w="120" w:type="dxa"/>
              <w:bottom w:w="80" w:type="dxa"/>
              <w:right w:w="120" w:type="dxa"/>
            </w:tcMar>
            <w:vAlign w:val="center"/>
          </w:tcPr>
          <w:p w14:paraId="4533D8C0" w14:textId="77777777" w:rsidR="0065571E" w:rsidRDefault="00000000" w:rsidP="008E3CB7">
            <w:pPr>
              <w:jc w:val="both"/>
            </w:pPr>
            <w:r>
              <w:rPr>
                <w:b/>
                <w:bCs/>
                <w:color w:val="FFFFFF"/>
                <w:sz w:val="18"/>
                <w:szCs w:val="18"/>
              </w:rPr>
              <w:t>Premier Group</w:t>
            </w:r>
          </w:p>
        </w:tc>
      </w:tr>
      <w:tr w:rsidR="00973405" w14:paraId="250A9048" w14:textId="77777777">
        <w:tc>
          <w:tcPr>
            <w:tcW w:w="2340" w:type="dxa"/>
            <w:shd w:val="clear" w:color="auto" w:fill="F2F2F2"/>
            <w:tcMar>
              <w:top w:w="60" w:type="dxa"/>
              <w:left w:w="120" w:type="dxa"/>
              <w:bottom w:w="60" w:type="dxa"/>
              <w:right w:w="120" w:type="dxa"/>
            </w:tcMar>
            <w:vAlign w:val="center"/>
          </w:tcPr>
          <w:p w14:paraId="68626C0C" w14:textId="77777777" w:rsidR="0065571E" w:rsidRDefault="00000000" w:rsidP="008E3CB7">
            <w:pPr>
              <w:jc w:val="both"/>
            </w:pPr>
            <w:r>
              <w:rPr>
                <w:sz w:val="18"/>
                <w:szCs w:val="18"/>
              </w:rPr>
              <w:t>Revenue (R'bn)</w:t>
            </w:r>
          </w:p>
        </w:tc>
        <w:tc>
          <w:tcPr>
            <w:tcW w:w="1755" w:type="dxa"/>
            <w:shd w:val="clear" w:color="auto" w:fill="FFFFFF"/>
            <w:tcMar>
              <w:top w:w="60" w:type="dxa"/>
              <w:left w:w="120" w:type="dxa"/>
              <w:bottom w:w="60" w:type="dxa"/>
              <w:right w:w="120" w:type="dxa"/>
            </w:tcMar>
            <w:vAlign w:val="center"/>
          </w:tcPr>
          <w:p w14:paraId="22D7EF63" w14:textId="77777777" w:rsidR="0065571E" w:rsidRDefault="00000000" w:rsidP="008E3CB7">
            <w:pPr>
              <w:jc w:val="both"/>
            </w:pPr>
            <w:r>
              <w:rPr>
                <w:b/>
                <w:bCs/>
                <w:sz w:val="18"/>
                <w:szCs w:val="18"/>
              </w:rPr>
              <w:t>34.4</w:t>
            </w:r>
          </w:p>
        </w:tc>
        <w:tc>
          <w:tcPr>
            <w:tcW w:w="1755" w:type="dxa"/>
            <w:shd w:val="clear" w:color="auto" w:fill="FFFFFF"/>
            <w:tcMar>
              <w:top w:w="60" w:type="dxa"/>
              <w:left w:w="120" w:type="dxa"/>
              <w:bottom w:w="60" w:type="dxa"/>
              <w:right w:w="120" w:type="dxa"/>
            </w:tcMar>
            <w:vAlign w:val="center"/>
          </w:tcPr>
          <w:p w14:paraId="51077970" w14:textId="77777777" w:rsidR="0065571E" w:rsidRDefault="00000000" w:rsidP="008E3CB7">
            <w:pPr>
              <w:jc w:val="both"/>
            </w:pPr>
            <w:r>
              <w:rPr>
                <w:sz w:val="18"/>
                <w:szCs w:val="18"/>
              </w:rPr>
              <w:t>16.0</w:t>
            </w:r>
          </w:p>
        </w:tc>
        <w:tc>
          <w:tcPr>
            <w:tcW w:w="1755" w:type="dxa"/>
            <w:shd w:val="clear" w:color="auto" w:fill="FFFFFF"/>
            <w:tcMar>
              <w:top w:w="60" w:type="dxa"/>
              <w:left w:w="120" w:type="dxa"/>
              <w:bottom w:w="60" w:type="dxa"/>
              <w:right w:w="120" w:type="dxa"/>
            </w:tcMar>
            <w:vAlign w:val="center"/>
          </w:tcPr>
          <w:p w14:paraId="26CA9AAD" w14:textId="77777777" w:rsidR="0065571E" w:rsidRDefault="00000000" w:rsidP="008E3CB7">
            <w:pPr>
              <w:jc w:val="both"/>
            </w:pPr>
            <w:r>
              <w:rPr>
                <w:sz w:val="18"/>
                <w:szCs w:val="18"/>
              </w:rPr>
              <w:t>26.5</w:t>
            </w:r>
          </w:p>
        </w:tc>
        <w:tc>
          <w:tcPr>
            <w:tcW w:w="1755" w:type="dxa"/>
            <w:shd w:val="clear" w:color="auto" w:fill="FFFFFF"/>
            <w:tcMar>
              <w:top w:w="60" w:type="dxa"/>
              <w:left w:w="120" w:type="dxa"/>
              <w:bottom w:w="60" w:type="dxa"/>
              <w:right w:w="120" w:type="dxa"/>
            </w:tcMar>
            <w:vAlign w:val="center"/>
          </w:tcPr>
          <w:p w14:paraId="459CA248" w14:textId="77777777" w:rsidR="0065571E" w:rsidRDefault="00000000" w:rsidP="008E3CB7">
            <w:pPr>
              <w:jc w:val="both"/>
            </w:pPr>
            <w:r>
              <w:rPr>
                <w:sz w:val="18"/>
                <w:szCs w:val="18"/>
              </w:rPr>
              <w:t>19.9</w:t>
            </w:r>
          </w:p>
        </w:tc>
      </w:tr>
      <w:tr w:rsidR="00973405" w14:paraId="497AABD6" w14:textId="77777777">
        <w:tc>
          <w:tcPr>
            <w:tcW w:w="2340" w:type="dxa"/>
            <w:shd w:val="clear" w:color="auto" w:fill="FFFFFF"/>
            <w:tcMar>
              <w:top w:w="60" w:type="dxa"/>
              <w:left w:w="120" w:type="dxa"/>
              <w:bottom w:w="60" w:type="dxa"/>
              <w:right w:w="120" w:type="dxa"/>
            </w:tcMar>
            <w:vAlign w:val="center"/>
          </w:tcPr>
          <w:p w14:paraId="214DD1C1" w14:textId="77777777" w:rsidR="0065571E" w:rsidRDefault="00000000" w:rsidP="008E3CB7">
            <w:pPr>
              <w:jc w:val="both"/>
            </w:pPr>
            <w:r>
              <w:rPr>
                <w:sz w:val="18"/>
                <w:szCs w:val="18"/>
              </w:rPr>
              <w:t>EBIT (R'bn)</w:t>
            </w:r>
          </w:p>
        </w:tc>
        <w:tc>
          <w:tcPr>
            <w:tcW w:w="1755" w:type="dxa"/>
            <w:shd w:val="clear" w:color="auto" w:fill="FFFFFF"/>
            <w:tcMar>
              <w:top w:w="60" w:type="dxa"/>
              <w:left w:w="120" w:type="dxa"/>
              <w:bottom w:w="60" w:type="dxa"/>
              <w:right w:w="120" w:type="dxa"/>
            </w:tcMar>
            <w:vAlign w:val="center"/>
          </w:tcPr>
          <w:p w14:paraId="4174AA69" w14:textId="77777777" w:rsidR="0065571E" w:rsidRDefault="00000000" w:rsidP="008E3CB7">
            <w:pPr>
              <w:jc w:val="both"/>
            </w:pPr>
            <w:r>
              <w:rPr>
                <w:b/>
                <w:bCs/>
                <w:sz w:val="18"/>
                <w:szCs w:val="18"/>
              </w:rPr>
              <w:t>3.8</w:t>
            </w:r>
          </w:p>
        </w:tc>
        <w:tc>
          <w:tcPr>
            <w:tcW w:w="1755" w:type="dxa"/>
            <w:shd w:val="clear" w:color="auto" w:fill="FFFFFF"/>
            <w:tcMar>
              <w:top w:w="60" w:type="dxa"/>
              <w:left w:w="120" w:type="dxa"/>
              <w:bottom w:w="60" w:type="dxa"/>
              <w:right w:w="120" w:type="dxa"/>
            </w:tcMar>
            <w:vAlign w:val="center"/>
          </w:tcPr>
          <w:p w14:paraId="33BA5B0F" w14:textId="77777777" w:rsidR="0065571E" w:rsidRDefault="00000000" w:rsidP="008E3CB7">
            <w:pPr>
              <w:jc w:val="both"/>
            </w:pPr>
            <w:r>
              <w:rPr>
                <w:sz w:val="18"/>
                <w:szCs w:val="18"/>
              </w:rPr>
              <w:t>3.6</w:t>
            </w:r>
          </w:p>
        </w:tc>
        <w:tc>
          <w:tcPr>
            <w:tcW w:w="1755" w:type="dxa"/>
            <w:shd w:val="clear" w:color="auto" w:fill="FFFFFF"/>
            <w:tcMar>
              <w:top w:w="60" w:type="dxa"/>
              <w:left w:w="120" w:type="dxa"/>
              <w:bottom w:w="60" w:type="dxa"/>
              <w:right w:w="120" w:type="dxa"/>
            </w:tcMar>
            <w:vAlign w:val="center"/>
          </w:tcPr>
          <w:p w14:paraId="0F440AEB" w14:textId="77777777" w:rsidR="0065571E" w:rsidRDefault="00000000" w:rsidP="008E3CB7">
            <w:pPr>
              <w:jc w:val="both"/>
            </w:pPr>
            <w:r>
              <w:rPr>
                <w:sz w:val="18"/>
                <w:szCs w:val="18"/>
              </w:rPr>
              <w:t>1.8</w:t>
            </w:r>
          </w:p>
        </w:tc>
        <w:tc>
          <w:tcPr>
            <w:tcW w:w="1755" w:type="dxa"/>
            <w:shd w:val="clear" w:color="auto" w:fill="FFFFFF"/>
            <w:tcMar>
              <w:top w:w="60" w:type="dxa"/>
              <w:left w:w="120" w:type="dxa"/>
              <w:bottom w:w="60" w:type="dxa"/>
              <w:right w:w="120" w:type="dxa"/>
            </w:tcMar>
            <w:vAlign w:val="center"/>
          </w:tcPr>
          <w:p w14:paraId="4063A340" w14:textId="77777777" w:rsidR="0065571E" w:rsidRDefault="00000000" w:rsidP="008E3CB7">
            <w:pPr>
              <w:jc w:val="both"/>
            </w:pPr>
            <w:r>
              <w:rPr>
                <w:sz w:val="18"/>
                <w:szCs w:val="18"/>
              </w:rPr>
              <w:t>1.9</w:t>
            </w:r>
          </w:p>
        </w:tc>
      </w:tr>
      <w:tr w:rsidR="00973405" w14:paraId="6018108A" w14:textId="77777777">
        <w:tc>
          <w:tcPr>
            <w:tcW w:w="2340" w:type="dxa"/>
            <w:shd w:val="clear" w:color="auto" w:fill="F2F2F2"/>
            <w:tcMar>
              <w:top w:w="60" w:type="dxa"/>
              <w:left w:w="120" w:type="dxa"/>
              <w:bottom w:w="60" w:type="dxa"/>
              <w:right w:w="120" w:type="dxa"/>
            </w:tcMar>
            <w:vAlign w:val="center"/>
          </w:tcPr>
          <w:p w14:paraId="021F0591" w14:textId="77777777" w:rsidR="0065571E" w:rsidRDefault="00000000" w:rsidP="008E3CB7">
            <w:pPr>
              <w:jc w:val="both"/>
            </w:pPr>
            <w:r>
              <w:rPr>
                <w:sz w:val="18"/>
                <w:szCs w:val="18"/>
              </w:rPr>
              <w:t>EBIT Margin</w:t>
            </w:r>
          </w:p>
        </w:tc>
        <w:tc>
          <w:tcPr>
            <w:tcW w:w="1755" w:type="dxa"/>
            <w:shd w:val="clear" w:color="auto" w:fill="FFFFFF"/>
            <w:tcMar>
              <w:top w:w="60" w:type="dxa"/>
              <w:left w:w="120" w:type="dxa"/>
              <w:bottom w:w="60" w:type="dxa"/>
              <w:right w:w="120" w:type="dxa"/>
            </w:tcMar>
            <w:vAlign w:val="center"/>
          </w:tcPr>
          <w:p w14:paraId="7B253076" w14:textId="77777777" w:rsidR="0065571E" w:rsidRDefault="00000000" w:rsidP="008E3CB7">
            <w:pPr>
              <w:jc w:val="both"/>
            </w:pPr>
            <w:r>
              <w:rPr>
                <w:b/>
                <w:bCs/>
                <w:sz w:val="18"/>
                <w:szCs w:val="18"/>
              </w:rPr>
              <w:t>11.1%</w:t>
            </w:r>
          </w:p>
        </w:tc>
        <w:tc>
          <w:tcPr>
            <w:tcW w:w="1755" w:type="dxa"/>
            <w:shd w:val="clear" w:color="auto" w:fill="FFFFFF"/>
            <w:tcMar>
              <w:top w:w="60" w:type="dxa"/>
              <w:left w:w="120" w:type="dxa"/>
              <w:bottom w:w="60" w:type="dxa"/>
              <w:right w:w="120" w:type="dxa"/>
            </w:tcMar>
            <w:vAlign w:val="center"/>
          </w:tcPr>
          <w:p w14:paraId="5CC12630" w14:textId="77777777" w:rsidR="0065571E" w:rsidRDefault="00000000" w:rsidP="008E3CB7">
            <w:pPr>
              <w:jc w:val="both"/>
            </w:pPr>
            <w:r>
              <w:rPr>
                <w:sz w:val="18"/>
                <w:szCs w:val="18"/>
              </w:rPr>
              <w:t>22.2%</w:t>
            </w:r>
          </w:p>
        </w:tc>
        <w:tc>
          <w:tcPr>
            <w:tcW w:w="1755" w:type="dxa"/>
            <w:shd w:val="clear" w:color="auto" w:fill="FFFFFF"/>
            <w:tcMar>
              <w:top w:w="60" w:type="dxa"/>
              <w:left w:w="120" w:type="dxa"/>
              <w:bottom w:w="60" w:type="dxa"/>
              <w:right w:w="120" w:type="dxa"/>
            </w:tcMar>
            <w:vAlign w:val="center"/>
          </w:tcPr>
          <w:p w14:paraId="78E2F200" w14:textId="77777777" w:rsidR="0065571E" w:rsidRDefault="00000000" w:rsidP="008E3CB7">
            <w:pPr>
              <w:jc w:val="both"/>
            </w:pPr>
            <w:r>
              <w:rPr>
                <w:sz w:val="18"/>
                <w:szCs w:val="18"/>
              </w:rPr>
              <w:t>7.0%</w:t>
            </w:r>
          </w:p>
        </w:tc>
        <w:tc>
          <w:tcPr>
            <w:tcW w:w="1755" w:type="dxa"/>
            <w:shd w:val="clear" w:color="auto" w:fill="FFFFFF"/>
            <w:tcMar>
              <w:top w:w="60" w:type="dxa"/>
              <w:left w:w="120" w:type="dxa"/>
              <w:bottom w:w="60" w:type="dxa"/>
              <w:right w:w="120" w:type="dxa"/>
            </w:tcMar>
            <w:vAlign w:val="center"/>
          </w:tcPr>
          <w:p w14:paraId="356ADFCA" w14:textId="77777777" w:rsidR="0065571E" w:rsidRDefault="00000000" w:rsidP="008E3CB7">
            <w:pPr>
              <w:jc w:val="both"/>
            </w:pPr>
            <w:r>
              <w:rPr>
                <w:sz w:val="18"/>
                <w:szCs w:val="18"/>
              </w:rPr>
              <w:t>9.6%</w:t>
            </w:r>
          </w:p>
        </w:tc>
      </w:tr>
      <w:tr w:rsidR="00973405" w14:paraId="66788B5C" w14:textId="77777777">
        <w:tc>
          <w:tcPr>
            <w:tcW w:w="2340" w:type="dxa"/>
            <w:shd w:val="clear" w:color="auto" w:fill="FFFFFF"/>
            <w:tcMar>
              <w:top w:w="60" w:type="dxa"/>
              <w:left w:w="120" w:type="dxa"/>
              <w:bottom w:w="60" w:type="dxa"/>
              <w:right w:w="120" w:type="dxa"/>
            </w:tcMar>
            <w:vAlign w:val="center"/>
          </w:tcPr>
          <w:p w14:paraId="163F54E7" w14:textId="77777777" w:rsidR="0065571E" w:rsidRDefault="00000000" w:rsidP="008E3CB7">
            <w:pPr>
              <w:jc w:val="both"/>
            </w:pPr>
            <w:r>
              <w:rPr>
                <w:sz w:val="18"/>
                <w:szCs w:val="18"/>
              </w:rPr>
              <w:t>Core Brand Moat</w:t>
            </w:r>
          </w:p>
        </w:tc>
        <w:tc>
          <w:tcPr>
            <w:tcW w:w="1755" w:type="dxa"/>
            <w:shd w:val="clear" w:color="auto" w:fill="FFFFFF"/>
            <w:tcMar>
              <w:top w:w="60" w:type="dxa"/>
              <w:left w:w="120" w:type="dxa"/>
              <w:bottom w:w="60" w:type="dxa"/>
              <w:right w:w="120" w:type="dxa"/>
            </w:tcMar>
            <w:vAlign w:val="center"/>
          </w:tcPr>
          <w:p w14:paraId="16A8E26F" w14:textId="77777777" w:rsidR="0065571E" w:rsidRDefault="00000000" w:rsidP="008E3CB7">
            <w:pPr>
              <w:jc w:val="both"/>
            </w:pPr>
            <w:r>
              <w:rPr>
                <w:sz w:val="18"/>
                <w:szCs w:val="18"/>
              </w:rPr>
              <w:t>Albany, KOO, Tastic</w:t>
            </w:r>
          </w:p>
        </w:tc>
        <w:tc>
          <w:tcPr>
            <w:tcW w:w="1755" w:type="dxa"/>
            <w:shd w:val="clear" w:color="auto" w:fill="FFFFFF"/>
            <w:tcMar>
              <w:top w:w="60" w:type="dxa"/>
              <w:left w:w="120" w:type="dxa"/>
              <w:bottom w:w="60" w:type="dxa"/>
              <w:right w:w="120" w:type="dxa"/>
            </w:tcMar>
            <w:vAlign w:val="center"/>
          </w:tcPr>
          <w:p w14:paraId="68037EDC" w14:textId="77777777" w:rsidR="0065571E" w:rsidRDefault="00000000" w:rsidP="008E3CB7">
            <w:pPr>
              <w:jc w:val="both"/>
            </w:pPr>
            <w:r>
              <w:rPr>
                <w:sz w:val="18"/>
                <w:szCs w:val="18"/>
              </w:rPr>
              <w:t>Bakers, Five Roses</w:t>
            </w:r>
          </w:p>
        </w:tc>
        <w:tc>
          <w:tcPr>
            <w:tcW w:w="1755" w:type="dxa"/>
            <w:shd w:val="clear" w:color="auto" w:fill="FFFFFF"/>
            <w:tcMar>
              <w:top w:w="60" w:type="dxa"/>
              <w:left w:w="120" w:type="dxa"/>
              <w:bottom w:w="60" w:type="dxa"/>
              <w:right w:w="120" w:type="dxa"/>
            </w:tcMar>
            <w:vAlign w:val="center"/>
          </w:tcPr>
          <w:p w14:paraId="6926A326" w14:textId="77777777" w:rsidR="0065571E" w:rsidRDefault="00000000" w:rsidP="008E3CB7">
            <w:pPr>
              <w:jc w:val="both"/>
            </w:pPr>
            <w:r>
              <w:rPr>
                <w:sz w:val="18"/>
                <w:szCs w:val="18"/>
              </w:rPr>
              <w:t>Selati, Ouma, Nola</w:t>
            </w:r>
          </w:p>
        </w:tc>
        <w:tc>
          <w:tcPr>
            <w:tcW w:w="1755" w:type="dxa"/>
            <w:shd w:val="clear" w:color="auto" w:fill="FFFFFF"/>
            <w:tcMar>
              <w:top w:w="60" w:type="dxa"/>
              <w:left w:w="120" w:type="dxa"/>
              <w:bottom w:w="60" w:type="dxa"/>
              <w:right w:w="120" w:type="dxa"/>
            </w:tcMar>
            <w:vAlign w:val="center"/>
          </w:tcPr>
          <w:p w14:paraId="0A4DD1DC" w14:textId="77777777" w:rsidR="0065571E" w:rsidRDefault="00000000" w:rsidP="008E3CB7">
            <w:pPr>
              <w:jc w:val="both"/>
            </w:pPr>
            <w:r>
              <w:rPr>
                <w:sz w:val="18"/>
                <w:szCs w:val="18"/>
              </w:rPr>
              <w:t>Blue Ribbon, Snowflake</w:t>
            </w:r>
          </w:p>
        </w:tc>
      </w:tr>
    </w:tbl>
    <w:p w14:paraId="3987293B" w14:textId="3BE16CB8" w:rsidR="0065571E" w:rsidRDefault="00FE0ACD" w:rsidP="008E3CB7">
      <w:pPr>
        <w:spacing w:before="40" w:after="140"/>
        <w:jc w:val="both"/>
        <w:rPr>
          <w:i/>
          <w:iCs/>
          <w:color w:val="595959"/>
          <w:sz w:val="18"/>
          <w:szCs w:val="18"/>
        </w:rPr>
      </w:pPr>
      <w:r>
        <w:rPr>
          <w:i/>
          <w:iCs/>
          <w:color w:val="595959"/>
          <w:sz w:val="18"/>
          <w:szCs w:val="18"/>
        </w:rPr>
        <w:t xml:space="preserve"> Table 3.1 FY2025 Peer Comparison Selected Financial Metrics</w:t>
      </w:r>
    </w:p>
    <w:p w14:paraId="114589FD" w14:textId="77777777" w:rsidR="001F2A0D" w:rsidRDefault="00716C35" w:rsidP="008E3CB7">
      <w:pPr>
        <w:spacing w:after="120"/>
        <w:jc w:val="both"/>
      </w:pPr>
      <w:r>
        <w:rPr>
          <w:noProof/>
        </w:rPr>
        <w:lastRenderedPageBreak/>
        <w:drawing>
          <wp:inline distT="0" distB="0" distL="0" distR="0" wp14:anchorId="146AD15A" wp14:editId="60EE2915">
            <wp:extent cx="2870791" cy="2126512"/>
            <wp:effectExtent l="0" t="0" r="6350" b="7620"/>
            <wp:docPr id="1" name="Chart 1">
              <a:extLst xmlns:a="http://schemas.openxmlformats.org/drawingml/2006/main">
                <a:ext uri="{FF2B5EF4-FFF2-40B4-BE49-F238E27FC236}">
                  <a16:creationId xmlns:a16="http://schemas.microsoft.com/office/drawing/2014/main" id="{8D8E74A8-437D-C04D-5C1D-E05A827280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t xml:space="preserve">    </w:t>
      </w:r>
      <w:r>
        <w:rPr>
          <w:noProof/>
        </w:rPr>
        <w:drawing>
          <wp:inline distT="0" distB="0" distL="0" distR="0" wp14:anchorId="2BAAFE18" wp14:editId="59E2B509">
            <wp:extent cx="2905125" cy="2152650"/>
            <wp:effectExtent l="0" t="0" r="9525" b="0"/>
            <wp:docPr id="3" name="Chart 3">
              <a:extLst xmlns:a="http://schemas.openxmlformats.org/drawingml/2006/main">
                <a:ext uri="{FF2B5EF4-FFF2-40B4-BE49-F238E27FC236}">
                  <a16:creationId xmlns:a16="http://schemas.microsoft.com/office/drawing/2014/main" id="{72768B3D-A2D1-4657-8C5C-059A14820F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3CB6250" w14:textId="77777777" w:rsidR="006769BF" w:rsidRDefault="006769BF" w:rsidP="008E3CB7">
      <w:pPr>
        <w:spacing w:after="120"/>
        <w:jc w:val="both"/>
      </w:pPr>
    </w:p>
    <w:p w14:paraId="1C8761C5" w14:textId="77777777" w:rsidR="0065571E" w:rsidRPr="006769BF" w:rsidRDefault="002B4B5D" w:rsidP="008E3CB7">
      <w:pPr>
        <w:spacing w:after="120"/>
        <w:jc w:val="both"/>
        <w:rPr>
          <w:sz w:val="24"/>
          <w:szCs w:val="24"/>
        </w:rPr>
      </w:pPr>
      <w:r>
        <w:rPr>
          <w:sz w:val="24"/>
          <w:szCs w:val="24"/>
        </w:rPr>
        <w:t>Notably, AVI's superior EBIT margin of 22.2% versus Tiger Brands' 11.1% reflects AVI's focus on premium, high-margin branded categories rather than commodity-driven staples. This margin gap represents both a benchmark for Tiger Brands' turnaround ambitions and a structural ceiling that is unlikely to be fully closed given the inherently lower-margin nature of grain milling and ambient grocery manufacturing.</w:t>
      </w:r>
    </w:p>
    <w:p w14:paraId="10BE79B8" w14:textId="77777777" w:rsidR="0065571E" w:rsidRPr="006769BF" w:rsidRDefault="00000000" w:rsidP="008E3CB7">
      <w:pPr>
        <w:pStyle w:val="Heading3"/>
        <w:jc w:val="both"/>
        <w:rPr>
          <w:sz w:val="24"/>
          <w:szCs w:val="24"/>
        </w:rPr>
      </w:pPr>
      <w:r>
        <w:rPr>
          <w:sz w:val="24"/>
          <w:szCs w:val="24"/>
        </w:rPr>
        <w:t>Threat of New Entrants</w:t>
      </w:r>
    </w:p>
    <w:p w14:paraId="76502F54" w14:textId="72B45A60" w:rsidR="0065571E" w:rsidRPr="006769BF" w:rsidRDefault="002B4B5D" w:rsidP="008E3CB7">
      <w:pPr>
        <w:spacing w:after="100"/>
        <w:jc w:val="both"/>
        <w:rPr>
          <w:sz w:val="24"/>
          <w:szCs w:val="24"/>
        </w:rPr>
      </w:pPr>
      <w:r>
        <w:rPr>
          <w:sz w:val="24"/>
          <w:szCs w:val="24"/>
        </w:rPr>
        <w:t xml:space="preserve">The threat of new entrants is low. Tiger Brands' network of 34 manufacturing plants, deeply established distribution infrastructure, century-old brand equity, and R42 billion market capitalisation represent formidable and largely </w:t>
      </w:r>
      <w:r w:rsidR="008D688B">
        <w:rPr>
          <w:sz w:val="24"/>
          <w:szCs w:val="24"/>
        </w:rPr>
        <w:t>irreparable</w:t>
      </w:r>
      <w:r>
        <w:rPr>
          <w:sz w:val="24"/>
          <w:szCs w:val="24"/>
        </w:rPr>
        <w:t xml:space="preserve"> barriers to entry. The capital requirements for food manufacturing at scale are substantial, and the brand loyalty embedded in South African consumers through generational purchasing patterns</w:t>
      </w:r>
      <w:r w:rsidR="008D688B">
        <w:rPr>
          <w:sz w:val="24"/>
          <w:szCs w:val="24"/>
        </w:rPr>
        <w:t>,</w:t>
      </w:r>
      <w:r>
        <w:rPr>
          <w:sz w:val="24"/>
          <w:szCs w:val="24"/>
        </w:rPr>
        <w:t xml:space="preserve"> Jungle Oats at breakfast, </w:t>
      </w:r>
      <w:proofErr w:type="spellStart"/>
      <w:r>
        <w:rPr>
          <w:sz w:val="24"/>
          <w:szCs w:val="24"/>
        </w:rPr>
        <w:t>Tastic</w:t>
      </w:r>
      <w:proofErr w:type="spellEnd"/>
      <w:r>
        <w:rPr>
          <w:sz w:val="24"/>
          <w:szCs w:val="24"/>
        </w:rPr>
        <w:t xml:space="preserve"> at dinner, </w:t>
      </w:r>
      <w:r w:rsidR="008D688B">
        <w:rPr>
          <w:sz w:val="24"/>
          <w:szCs w:val="24"/>
        </w:rPr>
        <w:t xml:space="preserve">and </w:t>
      </w:r>
      <w:r>
        <w:rPr>
          <w:sz w:val="24"/>
          <w:szCs w:val="24"/>
        </w:rPr>
        <w:t>KOO on the shelf</w:t>
      </w:r>
      <w:r w:rsidR="008D688B">
        <w:rPr>
          <w:sz w:val="24"/>
          <w:szCs w:val="24"/>
        </w:rPr>
        <w:t>, make</w:t>
      </w:r>
      <w:r>
        <w:rPr>
          <w:sz w:val="24"/>
          <w:szCs w:val="24"/>
        </w:rPr>
        <w:t xml:space="preserve"> competitive replication from scratch practically impossible within any meaningful timeframe.</w:t>
      </w:r>
    </w:p>
    <w:p w14:paraId="7D349F26" w14:textId="77777777" w:rsidR="0065571E" w:rsidRPr="006769BF" w:rsidRDefault="00000000" w:rsidP="008E3CB7">
      <w:pPr>
        <w:pStyle w:val="Heading3"/>
        <w:jc w:val="both"/>
        <w:rPr>
          <w:sz w:val="24"/>
          <w:szCs w:val="24"/>
        </w:rPr>
      </w:pPr>
      <w:r>
        <w:rPr>
          <w:sz w:val="24"/>
          <w:szCs w:val="24"/>
        </w:rPr>
        <w:t>Bargaining Power of Suppliers</w:t>
      </w:r>
    </w:p>
    <w:p w14:paraId="66CA7BE6" w14:textId="77777777" w:rsidR="002B4B5D" w:rsidRPr="006769BF" w:rsidRDefault="002B4B5D" w:rsidP="008E3CB7">
      <w:pPr>
        <w:pStyle w:val="Heading3"/>
        <w:jc w:val="both"/>
        <w:rPr>
          <w:b w:val="0"/>
          <w:bCs w:val="0"/>
          <w:color w:val="auto"/>
          <w:sz w:val="24"/>
          <w:szCs w:val="24"/>
        </w:rPr>
      </w:pPr>
      <w:r>
        <w:rPr>
          <w:b w:val="0"/>
          <w:bCs w:val="0"/>
          <w:color w:val="auto"/>
          <w:sz w:val="24"/>
          <w:szCs w:val="24"/>
        </w:rPr>
        <w:t>Supplier power is moderate to high in the commodity raw materials segment. White maize, wheat, and sugar are globally traded commodities whose domestic prices are influenced by international exchange rates, seasonal agricultural yields, and SAFEX futures market dynamics. Drought-induced supply shocks can cause rapid and severe input cost spikes that Tiger Brands cannot immediately pass on to price-sensitive consumers without risking volume loss, creating short-term gross margin compression that represents one of the most material operational risks facing the business.</w:t>
      </w:r>
    </w:p>
    <w:p w14:paraId="01001394" w14:textId="77777777" w:rsidR="0065571E" w:rsidRPr="006769BF" w:rsidRDefault="00000000" w:rsidP="008E3CB7">
      <w:pPr>
        <w:pStyle w:val="Heading3"/>
        <w:jc w:val="both"/>
        <w:rPr>
          <w:sz w:val="24"/>
          <w:szCs w:val="24"/>
        </w:rPr>
      </w:pPr>
      <w:r>
        <w:rPr>
          <w:sz w:val="24"/>
          <w:szCs w:val="24"/>
        </w:rPr>
        <w:t>Bargaining Power of Buyers</w:t>
      </w:r>
    </w:p>
    <w:p w14:paraId="7AFBD341" w14:textId="6EF053CD" w:rsidR="002B4B5D" w:rsidRPr="006769BF" w:rsidRDefault="002B4B5D" w:rsidP="008E3CB7">
      <w:pPr>
        <w:pStyle w:val="Heading3"/>
        <w:jc w:val="both"/>
        <w:rPr>
          <w:b w:val="0"/>
          <w:bCs w:val="0"/>
          <w:color w:val="auto"/>
          <w:sz w:val="24"/>
          <w:szCs w:val="24"/>
        </w:rPr>
      </w:pPr>
      <w:r>
        <w:rPr>
          <w:b w:val="0"/>
          <w:bCs w:val="0"/>
          <w:color w:val="auto"/>
          <w:sz w:val="24"/>
          <w:szCs w:val="24"/>
        </w:rPr>
        <w:t>Buyer power</w:t>
      </w:r>
      <w:r w:rsidR="008D688B">
        <w:rPr>
          <w:b w:val="0"/>
          <w:bCs w:val="0"/>
          <w:color w:val="auto"/>
          <w:sz w:val="24"/>
          <w:szCs w:val="24"/>
        </w:rPr>
        <w:t>,</w:t>
      </w:r>
      <w:r>
        <w:rPr>
          <w:b w:val="0"/>
          <w:bCs w:val="0"/>
          <w:color w:val="auto"/>
          <w:sz w:val="24"/>
          <w:szCs w:val="24"/>
        </w:rPr>
        <w:t xml:space="preserve"> primarily exercised by the major South African grocery retailers including Shoprite, </w:t>
      </w:r>
      <w:proofErr w:type="gramStart"/>
      <w:r>
        <w:rPr>
          <w:b w:val="0"/>
          <w:bCs w:val="0"/>
          <w:color w:val="auto"/>
          <w:sz w:val="24"/>
          <w:szCs w:val="24"/>
        </w:rPr>
        <w:t>Pick</w:t>
      </w:r>
      <w:proofErr w:type="gramEnd"/>
      <w:r>
        <w:rPr>
          <w:b w:val="0"/>
          <w:bCs w:val="0"/>
          <w:color w:val="auto"/>
          <w:sz w:val="24"/>
          <w:szCs w:val="24"/>
        </w:rPr>
        <w:t xml:space="preserve"> n Pay, Checkers, and Woolworths</w:t>
      </w:r>
      <w:r w:rsidR="008D688B">
        <w:rPr>
          <w:b w:val="0"/>
          <w:bCs w:val="0"/>
          <w:color w:val="auto"/>
          <w:sz w:val="24"/>
          <w:szCs w:val="24"/>
        </w:rPr>
        <w:t>,</w:t>
      </w:r>
      <w:r>
        <w:rPr>
          <w:b w:val="0"/>
          <w:bCs w:val="0"/>
          <w:color w:val="auto"/>
          <w:sz w:val="24"/>
          <w:szCs w:val="24"/>
        </w:rPr>
        <w:t xml:space="preserve"> is high. These retailers collectively control the shelf space on which Tiger Brands' products live, and they have both the incentive and the ability to promote their own private-label ranges at the direct expense of branded manufacturers. This structural power imbalance is the central motivation for Tiger Brands' Cost Leadership strategy</w:t>
      </w:r>
      <w:r w:rsidR="008D688B">
        <w:rPr>
          <w:b w:val="0"/>
          <w:bCs w:val="0"/>
          <w:color w:val="auto"/>
          <w:sz w:val="24"/>
          <w:szCs w:val="24"/>
        </w:rPr>
        <w:t>. If</w:t>
      </w:r>
      <w:r>
        <w:rPr>
          <w:b w:val="0"/>
          <w:bCs w:val="0"/>
          <w:color w:val="auto"/>
          <w:sz w:val="24"/>
          <w:szCs w:val="24"/>
        </w:rPr>
        <w:t xml:space="preserve"> the company cannot match private-label pricing on core staples without destroying its margins, it risks losing the volume throughput that sustains its entire manufacturing cost base.</w:t>
      </w:r>
    </w:p>
    <w:p w14:paraId="29E45130" w14:textId="77777777" w:rsidR="0065571E" w:rsidRPr="006769BF" w:rsidRDefault="00000000" w:rsidP="008E3CB7">
      <w:pPr>
        <w:pStyle w:val="Heading3"/>
        <w:jc w:val="both"/>
        <w:rPr>
          <w:sz w:val="24"/>
          <w:szCs w:val="24"/>
        </w:rPr>
      </w:pPr>
      <w:r>
        <w:rPr>
          <w:sz w:val="24"/>
          <w:szCs w:val="24"/>
        </w:rPr>
        <w:t>Threat of Substitutes</w:t>
      </w:r>
    </w:p>
    <w:p w14:paraId="370B6519" w14:textId="770A9018" w:rsidR="002B4B5D" w:rsidRPr="006769BF" w:rsidRDefault="002B4B5D" w:rsidP="008E3CB7">
      <w:pPr>
        <w:pStyle w:val="Heading2"/>
        <w:jc w:val="both"/>
        <w:rPr>
          <w:b w:val="0"/>
          <w:bCs w:val="0"/>
          <w:color w:val="auto"/>
        </w:rPr>
      </w:pPr>
      <w:r>
        <w:rPr>
          <w:b w:val="0"/>
          <w:bCs w:val="0"/>
          <w:color w:val="auto"/>
        </w:rPr>
        <w:t>The threat of substitutes is moderate to high and represents the most immediate competitive pressure facing Tiger Brands in the near term. Private-label house brands</w:t>
      </w:r>
      <w:r w:rsidR="008D688B">
        <w:rPr>
          <w:b w:val="0"/>
          <w:bCs w:val="0"/>
          <w:color w:val="auto"/>
        </w:rPr>
        <w:t>,</w:t>
      </w:r>
      <w:r>
        <w:rPr>
          <w:b w:val="0"/>
          <w:bCs w:val="0"/>
          <w:color w:val="auto"/>
        </w:rPr>
        <w:t xml:space="preserve"> including Shoprite's </w:t>
      </w:r>
      <w:proofErr w:type="spellStart"/>
      <w:r>
        <w:rPr>
          <w:b w:val="0"/>
          <w:bCs w:val="0"/>
          <w:color w:val="auto"/>
        </w:rPr>
        <w:t>Ritebrand</w:t>
      </w:r>
      <w:proofErr w:type="spellEnd"/>
      <w:r>
        <w:rPr>
          <w:b w:val="0"/>
          <w:bCs w:val="0"/>
          <w:color w:val="auto"/>
        </w:rPr>
        <w:t xml:space="preserve"> and </w:t>
      </w:r>
      <w:proofErr w:type="spellStart"/>
      <w:r w:rsidR="008D688B">
        <w:rPr>
          <w:b w:val="0"/>
          <w:bCs w:val="0"/>
          <w:color w:val="auto"/>
        </w:rPr>
        <w:t>Pick'n</w:t>
      </w:r>
      <w:proofErr w:type="spellEnd"/>
      <w:r>
        <w:rPr>
          <w:b w:val="0"/>
          <w:bCs w:val="0"/>
          <w:color w:val="auto"/>
        </w:rPr>
        <w:t xml:space="preserve"> Pay's No Name range</w:t>
      </w:r>
      <w:r w:rsidR="008D688B">
        <w:rPr>
          <w:b w:val="0"/>
          <w:bCs w:val="0"/>
          <w:color w:val="auto"/>
        </w:rPr>
        <w:t>,</w:t>
      </w:r>
      <w:r>
        <w:rPr>
          <w:b w:val="0"/>
          <w:bCs w:val="0"/>
          <w:color w:val="auto"/>
        </w:rPr>
        <w:t xml:space="preserve"> offer consumers functionally </w:t>
      </w:r>
      <w:r>
        <w:rPr>
          <w:b w:val="0"/>
          <w:bCs w:val="0"/>
          <w:color w:val="auto"/>
        </w:rPr>
        <w:lastRenderedPageBreak/>
        <w:t xml:space="preserve">equivalent products at materially lower price points. The substitution risk is particularly acute in the Grains segment, where branded maize meal such as Ace competes in a category where quality differentiation between branded and unbranded </w:t>
      </w:r>
      <w:r w:rsidR="008D688B">
        <w:rPr>
          <w:b w:val="0"/>
          <w:bCs w:val="0"/>
          <w:color w:val="auto"/>
        </w:rPr>
        <w:t>products</w:t>
      </w:r>
      <w:r>
        <w:rPr>
          <w:b w:val="0"/>
          <w:bCs w:val="0"/>
          <w:color w:val="auto"/>
        </w:rPr>
        <w:t xml:space="preserve"> is limited</w:t>
      </w:r>
      <w:r w:rsidR="008D688B">
        <w:rPr>
          <w:b w:val="0"/>
          <w:bCs w:val="0"/>
          <w:color w:val="auto"/>
        </w:rPr>
        <w:t>,</w:t>
      </w:r>
      <w:r>
        <w:rPr>
          <w:b w:val="0"/>
          <w:bCs w:val="0"/>
          <w:color w:val="auto"/>
        </w:rPr>
        <w:t xml:space="preserve"> and price is the primary purchase decision driver for the majority of Tiger Brands' core consumer base.</w:t>
      </w:r>
    </w:p>
    <w:p w14:paraId="4B322E92" w14:textId="77777777" w:rsidR="0065571E" w:rsidRPr="006769BF" w:rsidRDefault="00000000">
      <w:pPr>
        <w:pStyle w:val="Heading2"/>
        <w:rPr>
          <w:sz w:val="28"/>
          <w:szCs w:val="28"/>
        </w:rPr>
      </w:pPr>
      <w:r>
        <w:rPr>
          <w:sz w:val="28"/>
          <w:szCs w:val="28"/>
        </w:rPr>
        <w:t>3.4 Future Industry Outlook</w:t>
      </w:r>
    </w:p>
    <w:p w14:paraId="5F31839C" w14:textId="77777777" w:rsidR="0065571E" w:rsidRPr="00F9489E" w:rsidRDefault="00000000" w:rsidP="008E3CB7">
      <w:pPr>
        <w:spacing w:after="100"/>
        <w:jc w:val="both"/>
        <w:rPr>
          <w:sz w:val="24"/>
          <w:szCs w:val="24"/>
        </w:rPr>
      </w:pPr>
      <w:r>
        <w:rPr>
          <w:sz w:val="24"/>
          <w:szCs w:val="24"/>
        </w:rPr>
        <w:t>Three structural themes will define the medium-term competitive landscape for South African FMCG:</w:t>
      </w:r>
    </w:p>
    <w:p w14:paraId="0992D915" w14:textId="2B818429" w:rsidR="002B4B5D" w:rsidRPr="00F9489E" w:rsidRDefault="002B4B5D" w:rsidP="008E3CB7">
      <w:pPr>
        <w:pStyle w:val="font-claude-response-body"/>
        <w:numPr>
          <w:ilvl w:val="0"/>
          <w:numId w:val="2"/>
        </w:numPr>
        <w:jc w:val="both"/>
        <w:rPr>
          <w:rFonts w:ascii="Arial" w:hAnsi="Arial" w:cs="Arial"/>
        </w:rPr>
      </w:pPr>
      <w:r>
        <w:rPr>
          <w:rStyle w:val="Strong"/>
          <w:rFonts w:ascii="Arial" w:hAnsi="Arial" w:cs="Arial"/>
        </w:rPr>
        <w:t>Private Label Proliferation:</w:t>
      </w:r>
      <w:r>
        <w:rPr>
          <w:rFonts w:ascii="Arial" w:hAnsi="Arial" w:cs="Arial"/>
        </w:rPr>
        <w:t xml:space="preserve"> Consumer migration toward value alternatives is not a temporary cyclical phenomenon</w:t>
      </w:r>
      <w:r w:rsidR="008D688B">
        <w:rPr>
          <w:rFonts w:ascii="Arial" w:hAnsi="Arial" w:cs="Arial"/>
        </w:rPr>
        <w:t>;</w:t>
      </w:r>
      <w:r>
        <w:rPr>
          <w:rFonts w:ascii="Arial" w:hAnsi="Arial" w:cs="Arial"/>
        </w:rPr>
        <w:t xml:space="preserve"> it is a structural shift driven by persistently low real disposable income growth in South Africa. As major retailers continue investing in and expanding their private-label ranges, branded manufacturers like Tiger Brands will face sustained margin pressure. The ability to reduce internal cost structures faster than revenue declines will determine which branded manufacturers survive and grow in this environment.</w:t>
      </w:r>
    </w:p>
    <w:p w14:paraId="619EB333" w14:textId="6133415F" w:rsidR="002B4B5D" w:rsidRPr="00F9489E" w:rsidRDefault="002B4B5D" w:rsidP="008E3CB7">
      <w:pPr>
        <w:pStyle w:val="font-claude-response-body"/>
        <w:numPr>
          <w:ilvl w:val="0"/>
          <w:numId w:val="2"/>
        </w:numPr>
        <w:jc w:val="both"/>
        <w:rPr>
          <w:rFonts w:ascii="Arial" w:hAnsi="Arial" w:cs="Arial"/>
        </w:rPr>
      </w:pPr>
      <w:r>
        <w:rPr>
          <w:rStyle w:val="Strong"/>
          <w:rFonts w:ascii="Arial" w:hAnsi="Arial" w:cs="Arial"/>
        </w:rPr>
        <w:t>Agricultural Commodity Volatility:</w:t>
      </w:r>
      <w:r>
        <w:rPr>
          <w:rFonts w:ascii="Arial" w:hAnsi="Arial" w:cs="Arial"/>
        </w:rPr>
        <w:t xml:space="preserve"> Climate-related disruptions to domestic grain supply chains</w:t>
      </w:r>
      <w:r w:rsidR="008D688B">
        <w:rPr>
          <w:rFonts w:ascii="Arial" w:hAnsi="Arial" w:cs="Arial"/>
        </w:rPr>
        <w:t>,</w:t>
      </w:r>
      <w:r>
        <w:rPr>
          <w:rFonts w:ascii="Arial" w:hAnsi="Arial" w:cs="Arial"/>
        </w:rPr>
        <w:t xml:space="preserve"> particularly drought cycles affecting white maize and </w:t>
      </w:r>
      <w:r w:rsidR="008D688B">
        <w:rPr>
          <w:rFonts w:ascii="Arial" w:hAnsi="Arial" w:cs="Arial"/>
        </w:rPr>
        <w:t>wheat-producing</w:t>
      </w:r>
      <w:r>
        <w:rPr>
          <w:rFonts w:ascii="Arial" w:hAnsi="Arial" w:cs="Arial"/>
        </w:rPr>
        <w:t xml:space="preserve"> regions</w:t>
      </w:r>
      <w:r w:rsidR="008D688B">
        <w:rPr>
          <w:rFonts w:ascii="Arial" w:hAnsi="Arial" w:cs="Arial"/>
        </w:rPr>
        <w:t>,</w:t>
      </w:r>
      <w:r>
        <w:rPr>
          <w:rFonts w:ascii="Arial" w:hAnsi="Arial" w:cs="Arial"/>
        </w:rPr>
        <w:t xml:space="preserve"> will continue to create unpredictable input cost spikes for Tiger Brands' Grains segment. As global weather patterns become increasingly erratic, the frequency and severity of these supply shocks is likely to intensify, making input cost management and commodity price risk hedging increasingly critical capabilities for the business.</w:t>
      </w:r>
    </w:p>
    <w:p w14:paraId="204D8AB0" w14:textId="368CE9D7" w:rsidR="002B4B5D" w:rsidRPr="00F9489E" w:rsidRDefault="002B4B5D" w:rsidP="008E3CB7">
      <w:pPr>
        <w:pStyle w:val="font-claude-response-body"/>
        <w:numPr>
          <w:ilvl w:val="0"/>
          <w:numId w:val="2"/>
        </w:numPr>
        <w:jc w:val="both"/>
        <w:rPr>
          <w:rFonts w:ascii="Arial" w:hAnsi="Arial" w:cs="Arial"/>
        </w:rPr>
      </w:pPr>
      <w:r>
        <w:rPr>
          <w:rStyle w:val="Strong"/>
          <w:rFonts w:ascii="Arial" w:hAnsi="Arial" w:cs="Arial"/>
        </w:rPr>
        <w:t>Infrastructure Cost Burden:</w:t>
      </w:r>
      <w:r>
        <w:rPr>
          <w:rFonts w:ascii="Arial" w:hAnsi="Arial" w:cs="Arial"/>
        </w:rPr>
        <w:t xml:space="preserve"> Persistent municipal infrastructure failures</w:t>
      </w:r>
      <w:r w:rsidR="008D688B">
        <w:rPr>
          <w:rFonts w:ascii="Arial" w:hAnsi="Arial" w:cs="Arial"/>
        </w:rPr>
        <w:t>,</w:t>
      </w:r>
      <w:r>
        <w:rPr>
          <w:rFonts w:ascii="Arial" w:hAnsi="Arial" w:cs="Arial"/>
        </w:rPr>
        <w:t xml:space="preserve"> including load-shedding, water supply disruptions, and deteriorating road networks</w:t>
      </w:r>
      <w:r w:rsidR="008D688B">
        <w:rPr>
          <w:rFonts w:ascii="Arial" w:hAnsi="Arial" w:cs="Arial"/>
        </w:rPr>
        <w:t>,</w:t>
      </w:r>
      <w:r>
        <w:rPr>
          <w:rFonts w:ascii="Arial" w:hAnsi="Arial" w:cs="Arial"/>
        </w:rPr>
        <w:t xml:space="preserve"> will continue to impose elevated operational costs on South African food manufacturers. Businesses like Tiger Brands must maintain expensive backup infrastructure</w:t>
      </w:r>
      <w:r w:rsidR="008D688B">
        <w:rPr>
          <w:rFonts w:ascii="Arial" w:hAnsi="Arial" w:cs="Arial"/>
        </w:rPr>
        <w:t>,</w:t>
      </w:r>
      <w:r>
        <w:rPr>
          <w:rFonts w:ascii="Arial" w:hAnsi="Arial" w:cs="Arial"/>
        </w:rPr>
        <w:t xml:space="preserve"> including diesel generators, industrial water storage, and private logistics security, costs that are unlikely to decrease materially until meaningful public infrastructure investment is delivered by the South African government.</w:t>
      </w:r>
    </w:p>
    <w:p w14:paraId="59CE4FA3" w14:textId="77777777" w:rsidR="0065571E" w:rsidRDefault="0065571E" w:rsidP="008E3CB7">
      <w:pPr>
        <w:spacing w:after="240"/>
        <w:jc w:val="both"/>
      </w:pPr>
    </w:p>
    <w:p w14:paraId="5AD207EA" w14:textId="77777777" w:rsidR="0065571E" w:rsidRPr="005A4BFC" w:rsidRDefault="00000000" w:rsidP="008E3CB7">
      <w:pPr>
        <w:jc w:val="both"/>
      </w:pPr>
      <w:r>
        <w:rPr>
          <w:b/>
          <w:bCs/>
          <w:color w:val="1F3864"/>
          <w:sz w:val="28"/>
          <w:szCs w:val="28"/>
        </w:rPr>
        <w:t>4. Financial Analysis</w:t>
      </w:r>
    </w:p>
    <w:p w14:paraId="468684D5" w14:textId="77777777" w:rsidR="0065571E" w:rsidRDefault="00000000" w:rsidP="008E3CB7">
      <w:pPr>
        <w:pStyle w:val="Heading2"/>
        <w:jc w:val="both"/>
      </w:pPr>
      <w:r>
        <w:rPr>
          <w:sz w:val="28"/>
          <w:szCs w:val="28"/>
        </w:rPr>
        <w:t>4.1 Historical Financial Summary (FY2021–FY2025</w:t>
      </w:r>
      <w:r>
        <w:t>)</w:t>
      </w:r>
    </w:p>
    <w:p w14:paraId="31A2BDA4" w14:textId="77777777" w:rsidR="0065571E" w:rsidRDefault="0065571E" w:rsidP="008E3CB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70"/>
        <w:gridCol w:w="1170"/>
        <w:gridCol w:w="1170"/>
        <w:gridCol w:w="1170"/>
        <w:gridCol w:w="1170"/>
        <w:gridCol w:w="1170"/>
      </w:tblGrid>
      <w:tr w:rsidR="00973405" w14:paraId="42221732" w14:textId="77777777">
        <w:tc>
          <w:tcPr>
            <w:tcW w:w="2340" w:type="dxa"/>
            <w:shd w:val="clear" w:color="auto" w:fill="1F3864"/>
            <w:tcMar>
              <w:top w:w="80" w:type="dxa"/>
              <w:left w:w="120" w:type="dxa"/>
              <w:bottom w:w="80" w:type="dxa"/>
              <w:right w:w="120" w:type="dxa"/>
            </w:tcMar>
            <w:vAlign w:val="center"/>
          </w:tcPr>
          <w:p w14:paraId="4B520363" w14:textId="77777777" w:rsidR="0065571E" w:rsidRDefault="00000000" w:rsidP="008E3CB7">
            <w:pPr>
              <w:jc w:val="both"/>
            </w:pPr>
            <w:r>
              <w:rPr>
                <w:b/>
                <w:bCs/>
                <w:color w:val="FFFFFF"/>
                <w:sz w:val="18"/>
                <w:szCs w:val="18"/>
              </w:rPr>
              <w:t>R'million</w:t>
            </w:r>
          </w:p>
        </w:tc>
        <w:tc>
          <w:tcPr>
            <w:tcW w:w="1170" w:type="dxa"/>
            <w:shd w:val="clear" w:color="auto" w:fill="1F3864"/>
            <w:tcMar>
              <w:top w:w="80" w:type="dxa"/>
              <w:left w:w="120" w:type="dxa"/>
              <w:bottom w:w="80" w:type="dxa"/>
              <w:right w:w="120" w:type="dxa"/>
            </w:tcMar>
            <w:vAlign w:val="center"/>
          </w:tcPr>
          <w:p w14:paraId="2458B965" w14:textId="77777777" w:rsidR="0065571E" w:rsidRDefault="00000000" w:rsidP="008E3CB7">
            <w:pPr>
              <w:jc w:val="both"/>
            </w:pPr>
            <w:r>
              <w:rPr>
                <w:b/>
                <w:bCs/>
                <w:color w:val="FFFFFF"/>
                <w:sz w:val="18"/>
                <w:szCs w:val="18"/>
              </w:rPr>
              <w:t>FY2021</w:t>
            </w:r>
          </w:p>
        </w:tc>
        <w:tc>
          <w:tcPr>
            <w:tcW w:w="1170" w:type="dxa"/>
            <w:shd w:val="clear" w:color="auto" w:fill="1F3864"/>
            <w:tcMar>
              <w:top w:w="80" w:type="dxa"/>
              <w:left w:w="120" w:type="dxa"/>
              <w:bottom w:w="80" w:type="dxa"/>
              <w:right w:w="120" w:type="dxa"/>
            </w:tcMar>
            <w:vAlign w:val="center"/>
          </w:tcPr>
          <w:p w14:paraId="7ACD15A7" w14:textId="77777777" w:rsidR="0065571E" w:rsidRDefault="00000000" w:rsidP="008E3CB7">
            <w:pPr>
              <w:jc w:val="both"/>
            </w:pPr>
            <w:r>
              <w:rPr>
                <w:b/>
                <w:bCs/>
                <w:color w:val="FFFFFF"/>
                <w:sz w:val="18"/>
                <w:szCs w:val="18"/>
              </w:rPr>
              <w:t>FY2022</w:t>
            </w:r>
          </w:p>
        </w:tc>
        <w:tc>
          <w:tcPr>
            <w:tcW w:w="1170" w:type="dxa"/>
            <w:shd w:val="clear" w:color="auto" w:fill="1F3864"/>
            <w:tcMar>
              <w:top w:w="80" w:type="dxa"/>
              <w:left w:w="120" w:type="dxa"/>
              <w:bottom w:w="80" w:type="dxa"/>
              <w:right w:w="120" w:type="dxa"/>
            </w:tcMar>
            <w:vAlign w:val="center"/>
          </w:tcPr>
          <w:p w14:paraId="28C4B030" w14:textId="77777777" w:rsidR="0065571E" w:rsidRDefault="00000000" w:rsidP="008E3CB7">
            <w:pPr>
              <w:jc w:val="both"/>
            </w:pPr>
            <w:r>
              <w:rPr>
                <w:b/>
                <w:bCs/>
                <w:color w:val="FFFFFF"/>
                <w:sz w:val="18"/>
                <w:szCs w:val="18"/>
              </w:rPr>
              <w:t>FY2023</w:t>
            </w:r>
          </w:p>
        </w:tc>
        <w:tc>
          <w:tcPr>
            <w:tcW w:w="1170" w:type="dxa"/>
            <w:shd w:val="clear" w:color="auto" w:fill="1F3864"/>
            <w:tcMar>
              <w:top w:w="80" w:type="dxa"/>
              <w:left w:w="120" w:type="dxa"/>
              <w:bottom w:w="80" w:type="dxa"/>
              <w:right w:w="120" w:type="dxa"/>
            </w:tcMar>
            <w:vAlign w:val="center"/>
          </w:tcPr>
          <w:p w14:paraId="1CA7F97B" w14:textId="77777777" w:rsidR="0065571E" w:rsidRDefault="00000000" w:rsidP="008E3CB7">
            <w:pPr>
              <w:jc w:val="both"/>
            </w:pPr>
            <w:r>
              <w:rPr>
                <w:b/>
                <w:bCs/>
                <w:color w:val="FFFFFF"/>
                <w:sz w:val="18"/>
                <w:szCs w:val="18"/>
              </w:rPr>
              <w:t>FY2024</w:t>
            </w:r>
          </w:p>
        </w:tc>
        <w:tc>
          <w:tcPr>
            <w:tcW w:w="1170" w:type="dxa"/>
            <w:shd w:val="clear" w:color="auto" w:fill="1F3864"/>
            <w:tcMar>
              <w:top w:w="80" w:type="dxa"/>
              <w:left w:w="120" w:type="dxa"/>
              <w:bottom w:w="80" w:type="dxa"/>
              <w:right w:w="120" w:type="dxa"/>
            </w:tcMar>
            <w:vAlign w:val="center"/>
          </w:tcPr>
          <w:p w14:paraId="731AA791" w14:textId="77777777" w:rsidR="0065571E" w:rsidRDefault="00000000" w:rsidP="008E3CB7">
            <w:pPr>
              <w:jc w:val="both"/>
            </w:pPr>
            <w:r>
              <w:rPr>
                <w:b/>
                <w:bCs/>
                <w:color w:val="FFFFFF"/>
                <w:sz w:val="18"/>
                <w:szCs w:val="18"/>
              </w:rPr>
              <w:t>FY2025</w:t>
            </w:r>
          </w:p>
        </w:tc>
        <w:tc>
          <w:tcPr>
            <w:tcW w:w="1170" w:type="dxa"/>
            <w:shd w:val="clear" w:color="auto" w:fill="1F3864"/>
            <w:tcMar>
              <w:top w:w="80" w:type="dxa"/>
              <w:left w:w="120" w:type="dxa"/>
              <w:bottom w:w="80" w:type="dxa"/>
              <w:right w:w="120" w:type="dxa"/>
            </w:tcMar>
            <w:vAlign w:val="center"/>
          </w:tcPr>
          <w:p w14:paraId="609B553E" w14:textId="77777777" w:rsidR="0065571E" w:rsidRDefault="00000000" w:rsidP="008E3CB7">
            <w:pPr>
              <w:jc w:val="both"/>
            </w:pPr>
            <w:r>
              <w:rPr>
                <w:b/>
                <w:bCs/>
                <w:color w:val="FFFFFF"/>
                <w:sz w:val="18"/>
                <w:szCs w:val="18"/>
              </w:rPr>
              <w:t>FY2026E</w:t>
            </w:r>
          </w:p>
        </w:tc>
      </w:tr>
      <w:tr w:rsidR="00973405" w14:paraId="00A93FCD" w14:textId="77777777">
        <w:tc>
          <w:tcPr>
            <w:tcW w:w="2340" w:type="dxa"/>
            <w:shd w:val="clear" w:color="auto" w:fill="F2F2F2"/>
            <w:tcMar>
              <w:top w:w="60" w:type="dxa"/>
              <w:left w:w="120" w:type="dxa"/>
              <w:bottom w:w="60" w:type="dxa"/>
              <w:right w:w="120" w:type="dxa"/>
            </w:tcMar>
            <w:vAlign w:val="center"/>
          </w:tcPr>
          <w:p w14:paraId="30E0B3AE" w14:textId="77777777" w:rsidR="0065571E" w:rsidRDefault="00000000" w:rsidP="008E3CB7">
            <w:pPr>
              <w:jc w:val="both"/>
            </w:pPr>
            <w:r>
              <w:rPr>
                <w:b/>
                <w:bCs/>
                <w:sz w:val="18"/>
                <w:szCs w:val="18"/>
              </w:rPr>
              <w:t>Total Revenue</w:t>
            </w:r>
          </w:p>
        </w:tc>
        <w:tc>
          <w:tcPr>
            <w:tcW w:w="1170" w:type="dxa"/>
            <w:shd w:val="clear" w:color="auto" w:fill="FFFFFF"/>
            <w:tcMar>
              <w:top w:w="60" w:type="dxa"/>
              <w:left w:w="120" w:type="dxa"/>
              <w:bottom w:w="60" w:type="dxa"/>
              <w:right w:w="120" w:type="dxa"/>
            </w:tcMar>
            <w:vAlign w:val="center"/>
          </w:tcPr>
          <w:p w14:paraId="3759DDDF" w14:textId="77777777" w:rsidR="0065571E" w:rsidRDefault="00000000" w:rsidP="008E3CB7">
            <w:pPr>
              <w:jc w:val="both"/>
            </w:pPr>
            <w:r>
              <w:rPr>
                <w:sz w:val="18"/>
                <w:szCs w:val="18"/>
              </w:rPr>
              <w:t>30,954</w:t>
            </w:r>
          </w:p>
        </w:tc>
        <w:tc>
          <w:tcPr>
            <w:tcW w:w="1170" w:type="dxa"/>
            <w:shd w:val="clear" w:color="auto" w:fill="FFFFFF"/>
            <w:tcMar>
              <w:top w:w="60" w:type="dxa"/>
              <w:left w:w="120" w:type="dxa"/>
              <w:bottom w:w="60" w:type="dxa"/>
              <w:right w:w="120" w:type="dxa"/>
            </w:tcMar>
            <w:vAlign w:val="center"/>
          </w:tcPr>
          <w:p w14:paraId="0DA18EAE" w14:textId="77777777" w:rsidR="0065571E" w:rsidRDefault="00000000" w:rsidP="008E3CB7">
            <w:pPr>
              <w:jc w:val="both"/>
            </w:pPr>
            <w:r>
              <w:rPr>
                <w:sz w:val="18"/>
                <w:szCs w:val="18"/>
              </w:rPr>
              <w:t>34,029</w:t>
            </w:r>
          </w:p>
        </w:tc>
        <w:tc>
          <w:tcPr>
            <w:tcW w:w="1170" w:type="dxa"/>
            <w:shd w:val="clear" w:color="auto" w:fill="FFFFFF"/>
            <w:tcMar>
              <w:top w:w="60" w:type="dxa"/>
              <w:left w:w="120" w:type="dxa"/>
              <w:bottom w:w="60" w:type="dxa"/>
              <w:right w:w="120" w:type="dxa"/>
            </w:tcMar>
            <w:vAlign w:val="center"/>
          </w:tcPr>
          <w:p w14:paraId="09EB5473" w14:textId="77777777" w:rsidR="0065571E" w:rsidRDefault="00000000" w:rsidP="008E3CB7">
            <w:pPr>
              <w:jc w:val="both"/>
            </w:pPr>
            <w:r>
              <w:rPr>
                <w:sz w:val="18"/>
                <w:szCs w:val="18"/>
              </w:rPr>
              <w:t>37,389</w:t>
            </w:r>
          </w:p>
        </w:tc>
        <w:tc>
          <w:tcPr>
            <w:tcW w:w="1170" w:type="dxa"/>
            <w:shd w:val="clear" w:color="auto" w:fill="FFFFFF"/>
            <w:tcMar>
              <w:top w:w="60" w:type="dxa"/>
              <w:left w:w="120" w:type="dxa"/>
              <w:bottom w:w="60" w:type="dxa"/>
              <w:right w:w="120" w:type="dxa"/>
            </w:tcMar>
            <w:vAlign w:val="center"/>
          </w:tcPr>
          <w:p w14:paraId="24136BD6" w14:textId="77777777" w:rsidR="0065571E" w:rsidRDefault="00000000" w:rsidP="008E3CB7">
            <w:pPr>
              <w:jc w:val="both"/>
            </w:pPr>
            <w:r>
              <w:rPr>
                <w:sz w:val="18"/>
                <w:szCs w:val="18"/>
              </w:rPr>
              <w:t>33,494</w:t>
            </w:r>
          </w:p>
        </w:tc>
        <w:tc>
          <w:tcPr>
            <w:tcW w:w="1170" w:type="dxa"/>
            <w:shd w:val="clear" w:color="auto" w:fill="FFFFFF"/>
            <w:tcMar>
              <w:top w:w="60" w:type="dxa"/>
              <w:left w:w="120" w:type="dxa"/>
              <w:bottom w:w="60" w:type="dxa"/>
              <w:right w:w="120" w:type="dxa"/>
            </w:tcMar>
            <w:vAlign w:val="center"/>
          </w:tcPr>
          <w:p w14:paraId="181CC317" w14:textId="77777777" w:rsidR="0065571E" w:rsidRDefault="00000000" w:rsidP="008E3CB7">
            <w:pPr>
              <w:jc w:val="both"/>
            </w:pPr>
            <w:r>
              <w:rPr>
                <w:sz w:val="18"/>
                <w:szCs w:val="18"/>
              </w:rPr>
              <w:t>34,392</w:t>
            </w:r>
          </w:p>
        </w:tc>
        <w:tc>
          <w:tcPr>
            <w:tcW w:w="1170" w:type="dxa"/>
            <w:shd w:val="clear" w:color="auto" w:fill="FFFFFF"/>
            <w:tcMar>
              <w:top w:w="60" w:type="dxa"/>
              <w:left w:w="120" w:type="dxa"/>
              <w:bottom w:w="60" w:type="dxa"/>
              <w:right w:w="120" w:type="dxa"/>
            </w:tcMar>
            <w:vAlign w:val="center"/>
          </w:tcPr>
          <w:p w14:paraId="227514BC" w14:textId="77777777" w:rsidR="0065571E" w:rsidRDefault="00000000" w:rsidP="008E3CB7">
            <w:pPr>
              <w:jc w:val="both"/>
            </w:pPr>
            <w:r>
              <w:rPr>
                <w:sz w:val="18"/>
                <w:szCs w:val="18"/>
              </w:rPr>
              <w:t>35,430E</w:t>
            </w:r>
          </w:p>
        </w:tc>
      </w:tr>
      <w:tr w:rsidR="00973405" w14:paraId="66118ED5" w14:textId="77777777">
        <w:tc>
          <w:tcPr>
            <w:tcW w:w="2340" w:type="dxa"/>
            <w:shd w:val="clear" w:color="auto" w:fill="FFFFFF"/>
            <w:tcMar>
              <w:top w:w="60" w:type="dxa"/>
              <w:left w:w="120" w:type="dxa"/>
              <w:bottom w:w="60" w:type="dxa"/>
              <w:right w:w="120" w:type="dxa"/>
            </w:tcMar>
            <w:vAlign w:val="center"/>
          </w:tcPr>
          <w:p w14:paraId="7801443B" w14:textId="77777777" w:rsidR="0065571E" w:rsidRDefault="00000000" w:rsidP="008E3CB7">
            <w:pPr>
              <w:jc w:val="both"/>
            </w:pPr>
            <w:r>
              <w:rPr>
                <w:sz w:val="18"/>
                <w:szCs w:val="18"/>
              </w:rPr>
              <w:t>Gross Profit</w:t>
            </w:r>
          </w:p>
        </w:tc>
        <w:tc>
          <w:tcPr>
            <w:tcW w:w="1170" w:type="dxa"/>
            <w:shd w:val="clear" w:color="auto" w:fill="FFFFFF"/>
            <w:tcMar>
              <w:top w:w="60" w:type="dxa"/>
              <w:left w:w="120" w:type="dxa"/>
              <w:bottom w:w="60" w:type="dxa"/>
              <w:right w:w="120" w:type="dxa"/>
            </w:tcMar>
            <w:vAlign w:val="center"/>
          </w:tcPr>
          <w:p w14:paraId="63A38471" w14:textId="77777777" w:rsidR="0065571E" w:rsidRDefault="00000000" w:rsidP="008E3CB7">
            <w:pPr>
              <w:jc w:val="both"/>
            </w:pPr>
            <w:r>
              <w:rPr>
                <w:sz w:val="18"/>
                <w:szCs w:val="18"/>
              </w:rPr>
              <w:t>8,810</w:t>
            </w:r>
          </w:p>
        </w:tc>
        <w:tc>
          <w:tcPr>
            <w:tcW w:w="1170" w:type="dxa"/>
            <w:shd w:val="clear" w:color="auto" w:fill="FFFFFF"/>
            <w:tcMar>
              <w:top w:w="60" w:type="dxa"/>
              <w:left w:w="120" w:type="dxa"/>
              <w:bottom w:w="60" w:type="dxa"/>
              <w:right w:w="120" w:type="dxa"/>
            </w:tcMar>
            <w:vAlign w:val="center"/>
          </w:tcPr>
          <w:p w14:paraId="131CD5EB" w14:textId="77777777" w:rsidR="0065571E" w:rsidRDefault="00000000" w:rsidP="008E3CB7">
            <w:pPr>
              <w:jc w:val="both"/>
            </w:pPr>
            <w:r>
              <w:rPr>
                <w:sz w:val="18"/>
                <w:szCs w:val="18"/>
              </w:rPr>
              <w:t>10,316</w:t>
            </w:r>
          </w:p>
        </w:tc>
        <w:tc>
          <w:tcPr>
            <w:tcW w:w="1170" w:type="dxa"/>
            <w:shd w:val="clear" w:color="auto" w:fill="FFFFFF"/>
            <w:tcMar>
              <w:top w:w="60" w:type="dxa"/>
              <w:left w:w="120" w:type="dxa"/>
              <w:bottom w:w="60" w:type="dxa"/>
              <w:right w:w="120" w:type="dxa"/>
            </w:tcMar>
            <w:vAlign w:val="center"/>
          </w:tcPr>
          <w:p w14:paraId="54475D4E" w14:textId="77777777" w:rsidR="0065571E" w:rsidRDefault="00000000" w:rsidP="008E3CB7">
            <w:pPr>
              <w:jc w:val="both"/>
            </w:pPr>
            <w:r>
              <w:rPr>
                <w:sz w:val="18"/>
                <w:szCs w:val="18"/>
              </w:rPr>
              <w:t>10,340</w:t>
            </w:r>
          </w:p>
        </w:tc>
        <w:tc>
          <w:tcPr>
            <w:tcW w:w="1170" w:type="dxa"/>
            <w:shd w:val="clear" w:color="auto" w:fill="FFFFFF"/>
            <w:tcMar>
              <w:top w:w="60" w:type="dxa"/>
              <w:left w:w="120" w:type="dxa"/>
              <w:bottom w:w="60" w:type="dxa"/>
              <w:right w:w="120" w:type="dxa"/>
            </w:tcMar>
            <w:vAlign w:val="center"/>
          </w:tcPr>
          <w:p w14:paraId="50D3575F" w14:textId="77777777" w:rsidR="0065571E" w:rsidRDefault="00000000" w:rsidP="008E3CB7">
            <w:pPr>
              <w:jc w:val="both"/>
            </w:pPr>
            <w:r>
              <w:rPr>
                <w:sz w:val="18"/>
                <w:szCs w:val="18"/>
              </w:rPr>
              <w:t>9,754</w:t>
            </w:r>
          </w:p>
        </w:tc>
        <w:tc>
          <w:tcPr>
            <w:tcW w:w="1170" w:type="dxa"/>
            <w:shd w:val="clear" w:color="auto" w:fill="FFFFFF"/>
            <w:tcMar>
              <w:top w:w="60" w:type="dxa"/>
              <w:left w:w="120" w:type="dxa"/>
              <w:bottom w:w="60" w:type="dxa"/>
              <w:right w:w="120" w:type="dxa"/>
            </w:tcMar>
            <w:vAlign w:val="center"/>
          </w:tcPr>
          <w:p w14:paraId="56CBAFC7" w14:textId="77777777" w:rsidR="0065571E" w:rsidRDefault="00000000" w:rsidP="008E3CB7">
            <w:pPr>
              <w:jc w:val="both"/>
            </w:pPr>
            <w:r>
              <w:rPr>
                <w:sz w:val="18"/>
                <w:szCs w:val="18"/>
              </w:rPr>
              <w:t>10,772</w:t>
            </w:r>
          </w:p>
        </w:tc>
        <w:tc>
          <w:tcPr>
            <w:tcW w:w="1170" w:type="dxa"/>
            <w:shd w:val="clear" w:color="auto" w:fill="FFFFFF"/>
            <w:tcMar>
              <w:top w:w="60" w:type="dxa"/>
              <w:left w:w="120" w:type="dxa"/>
              <w:bottom w:w="60" w:type="dxa"/>
              <w:right w:w="120" w:type="dxa"/>
            </w:tcMar>
            <w:vAlign w:val="center"/>
          </w:tcPr>
          <w:p w14:paraId="5F233E15" w14:textId="77777777" w:rsidR="0065571E" w:rsidRDefault="00000000" w:rsidP="008E3CB7">
            <w:pPr>
              <w:jc w:val="both"/>
            </w:pPr>
            <w:r>
              <w:rPr>
                <w:sz w:val="18"/>
                <w:szCs w:val="18"/>
              </w:rPr>
              <w:t>11,267E</w:t>
            </w:r>
          </w:p>
        </w:tc>
      </w:tr>
      <w:tr w:rsidR="00973405" w14:paraId="3BC129B2" w14:textId="77777777">
        <w:tc>
          <w:tcPr>
            <w:tcW w:w="2340" w:type="dxa"/>
            <w:shd w:val="clear" w:color="auto" w:fill="F2F2F2"/>
            <w:tcMar>
              <w:top w:w="60" w:type="dxa"/>
              <w:left w:w="120" w:type="dxa"/>
              <w:bottom w:w="60" w:type="dxa"/>
              <w:right w:w="120" w:type="dxa"/>
            </w:tcMar>
            <w:vAlign w:val="center"/>
          </w:tcPr>
          <w:p w14:paraId="4AA16E19" w14:textId="77777777" w:rsidR="0065571E" w:rsidRDefault="00000000" w:rsidP="008E3CB7">
            <w:pPr>
              <w:jc w:val="both"/>
            </w:pPr>
            <w:r>
              <w:rPr>
                <w:sz w:val="18"/>
                <w:szCs w:val="18"/>
              </w:rPr>
              <w:t>Gross Margin %</w:t>
            </w:r>
          </w:p>
        </w:tc>
        <w:tc>
          <w:tcPr>
            <w:tcW w:w="1170" w:type="dxa"/>
            <w:shd w:val="clear" w:color="auto" w:fill="FFFFFF"/>
            <w:tcMar>
              <w:top w:w="60" w:type="dxa"/>
              <w:left w:w="120" w:type="dxa"/>
              <w:bottom w:w="60" w:type="dxa"/>
              <w:right w:w="120" w:type="dxa"/>
            </w:tcMar>
            <w:vAlign w:val="center"/>
          </w:tcPr>
          <w:p w14:paraId="2E09A46D" w14:textId="77777777" w:rsidR="0065571E" w:rsidRDefault="00000000" w:rsidP="008E3CB7">
            <w:pPr>
              <w:jc w:val="both"/>
            </w:pPr>
            <w:r>
              <w:rPr>
                <w:sz w:val="18"/>
                <w:szCs w:val="18"/>
              </w:rPr>
              <w:t>28.5%</w:t>
            </w:r>
          </w:p>
        </w:tc>
        <w:tc>
          <w:tcPr>
            <w:tcW w:w="1170" w:type="dxa"/>
            <w:shd w:val="clear" w:color="auto" w:fill="FFFFFF"/>
            <w:tcMar>
              <w:top w:w="60" w:type="dxa"/>
              <w:left w:w="120" w:type="dxa"/>
              <w:bottom w:w="60" w:type="dxa"/>
              <w:right w:w="120" w:type="dxa"/>
            </w:tcMar>
            <w:vAlign w:val="center"/>
          </w:tcPr>
          <w:p w14:paraId="42F5C04A" w14:textId="77777777" w:rsidR="0065571E" w:rsidRDefault="00000000" w:rsidP="008E3CB7">
            <w:pPr>
              <w:jc w:val="both"/>
            </w:pPr>
            <w:r>
              <w:rPr>
                <w:sz w:val="18"/>
                <w:szCs w:val="18"/>
              </w:rPr>
              <w:t>30.3%</w:t>
            </w:r>
          </w:p>
        </w:tc>
        <w:tc>
          <w:tcPr>
            <w:tcW w:w="1170" w:type="dxa"/>
            <w:shd w:val="clear" w:color="auto" w:fill="FFFFFF"/>
            <w:tcMar>
              <w:top w:w="60" w:type="dxa"/>
              <w:left w:w="120" w:type="dxa"/>
              <w:bottom w:w="60" w:type="dxa"/>
              <w:right w:w="120" w:type="dxa"/>
            </w:tcMar>
            <w:vAlign w:val="center"/>
          </w:tcPr>
          <w:p w14:paraId="68DEB6CA" w14:textId="77777777" w:rsidR="0065571E" w:rsidRDefault="00000000" w:rsidP="008E3CB7">
            <w:pPr>
              <w:jc w:val="both"/>
            </w:pPr>
            <w:r>
              <w:rPr>
                <w:sz w:val="18"/>
                <w:szCs w:val="18"/>
              </w:rPr>
              <w:t>27.7%</w:t>
            </w:r>
          </w:p>
        </w:tc>
        <w:tc>
          <w:tcPr>
            <w:tcW w:w="1170" w:type="dxa"/>
            <w:shd w:val="clear" w:color="auto" w:fill="FFFFFF"/>
            <w:tcMar>
              <w:top w:w="60" w:type="dxa"/>
              <w:left w:w="120" w:type="dxa"/>
              <w:bottom w:w="60" w:type="dxa"/>
              <w:right w:w="120" w:type="dxa"/>
            </w:tcMar>
            <w:vAlign w:val="center"/>
          </w:tcPr>
          <w:p w14:paraId="43175067" w14:textId="77777777" w:rsidR="0065571E" w:rsidRDefault="00000000" w:rsidP="008E3CB7">
            <w:pPr>
              <w:jc w:val="both"/>
            </w:pPr>
            <w:r>
              <w:rPr>
                <w:sz w:val="18"/>
                <w:szCs w:val="18"/>
              </w:rPr>
              <w:t>29.1%</w:t>
            </w:r>
          </w:p>
        </w:tc>
        <w:tc>
          <w:tcPr>
            <w:tcW w:w="1170" w:type="dxa"/>
            <w:shd w:val="clear" w:color="auto" w:fill="FFFFFF"/>
            <w:tcMar>
              <w:top w:w="60" w:type="dxa"/>
              <w:left w:w="120" w:type="dxa"/>
              <w:bottom w:w="60" w:type="dxa"/>
              <w:right w:w="120" w:type="dxa"/>
            </w:tcMar>
            <w:vAlign w:val="center"/>
          </w:tcPr>
          <w:p w14:paraId="70746445" w14:textId="77777777" w:rsidR="0065571E" w:rsidRDefault="00000000" w:rsidP="008E3CB7">
            <w:pPr>
              <w:jc w:val="both"/>
            </w:pPr>
            <w:r>
              <w:rPr>
                <w:sz w:val="18"/>
                <w:szCs w:val="18"/>
              </w:rPr>
              <w:t>31.3%</w:t>
            </w:r>
          </w:p>
        </w:tc>
        <w:tc>
          <w:tcPr>
            <w:tcW w:w="1170" w:type="dxa"/>
            <w:shd w:val="clear" w:color="auto" w:fill="FFFFFF"/>
            <w:tcMar>
              <w:top w:w="60" w:type="dxa"/>
              <w:left w:w="120" w:type="dxa"/>
              <w:bottom w:w="60" w:type="dxa"/>
              <w:right w:w="120" w:type="dxa"/>
            </w:tcMar>
            <w:vAlign w:val="center"/>
          </w:tcPr>
          <w:p w14:paraId="3C3797A3" w14:textId="77777777" w:rsidR="0065571E" w:rsidRDefault="00000000" w:rsidP="008E3CB7">
            <w:pPr>
              <w:jc w:val="both"/>
            </w:pPr>
            <w:r>
              <w:rPr>
                <w:sz w:val="18"/>
                <w:szCs w:val="18"/>
              </w:rPr>
              <w:t>31.8%E</w:t>
            </w:r>
          </w:p>
        </w:tc>
      </w:tr>
      <w:tr w:rsidR="00973405" w14:paraId="0777B8D5" w14:textId="77777777">
        <w:tc>
          <w:tcPr>
            <w:tcW w:w="2340" w:type="dxa"/>
            <w:shd w:val="clear" w:color="auto" w:fill="FFFFFF"/>
            <w:tcMar>
              <w:top w:w="60" w:type="dxa"/>
              <w:left w:w="120" w:type="dxa"/>
              <w:bottom w:w="60" w:type="dxa"/>
              <w:right w:w="120" w:type="dxa"/>
            </w:tcMar>
            <w:vAlign w:val="center"/>
          </w:tcPr>
          <w:p w14:paraId="7C697790" w14:textId="77777777" w:rsidR="0065571E" w:rsidRDefault="00000000" w:rsidP="008E3CB7">
            <w:pPr>
              <w:jc w:val="both"/>
            </w:pPr>
            <w:r>
              <w:rPr>
                <w:sz w:val="18"/>
                <w:szCs w:val="18"/>
              </w:rPr>
              <w:t>EBIT</w:t>
            </w:r>
          </w:p>
        </w:tc>
        <w:tc>
          <w:tcPr>
            <w:tcW w:w="1170" w:type="dxa"/>
            <w:shd w:val="clear" w:color="auto" w:fill="FFFFFF"/>
            <w:tcMar>
              <w:top w:w="60" w:type="dxa"/>
              <w:left w:w="120" w:type="dxa"/>
              <w:bottom w:w="60" w:type="dxa"/>
              <w:right w:w="120" w:type="dxa"/>
            </w:tcMar>
            <w:vAlign w:val="center"/>
          </w:tcPr>
          <w:p w14:paraId="751CD0B6" w14:textId="77777777" w:rsidR="0065571E" w:rsidRDefault="00000000" w:rsidP="008E3CB7">
            <w:pPr>
              <w:jc w:val="both"/>
            </w:pPr>
            <w:r>
              <w:rPr>
                <w:sz w:val="18"/>
                <w:szCs w:val="18"/>
              </w:rPr>
              <w:t>2,081</w:t>
            </w:r>
          </w:p>
        </w:tc>
        <w:tc>
          <w:tcPr>
            <w:tcW w:w="1170" w:type="dxa"/>
            <w:shd w:val="clear" w:color="auto" w:fill="FFFFFF"/>
            <w:tcMar>
              <w:top w:w="60" w:type="dxa"/>
              <w:left w:w="120" w:type="dxa"/>
              <w:bottom w:w="60" w:type="dxa"/>
              <w:right w:w="120" w:type="dxa"/>
            </w:tcMar>
            <w:vAlign w:val="center"/>
          </w:tcPr>
          <w:p w14:paraId="6D7FCAA1" w14:textId="77777777" w:rsidR="0065571E" w:rsidRDefault="00000000" w:rsidP="008E3CB7">
            <w:pPr>
              <w:jc w:val="both"/>
            </w:pPr>
            <w:r>
              <w:rPr>
                <w:sz w:val="18"/>
                <w:szCs w:val="18"/>
              </w:rPr>
              <w:t>3,415</w:t>
            </w:r>
          </w:p>
        </w:tc>
        <w:tc>
          <w:tcPr>
            <w:tcW w:w="1170" w:type="dxa"/>
            <w:shd w:val="clear" w:color="auto" w:fill="FFFFFF"/>
            <w:tcMar>
              <w:top w:w="60" w:type="dxa"/>
              <w:left w:w="120" w:type="dxa"/>
              <w:bottom w:w="60" w:type="dxa"/>
              <w:right w:w="120" w:type="dxa"/>
            </w:tcMar>
            <w:vAlign w:val="center"/>
          </w:tcPr>
          <w:p w14:paraId="5A8D6DB6" w14:textId="77777777" w:rsidR="0065571E" w:rsidRDefault="00000000" w:rsidP="008E3CB7">
            <w:pPr>
              <w:jc w:val="both"/>
            </w:pPr>
            <w:r>
              <w:rPr>
                <w:sz w:val="18"/>
                <w:szCs w:val="18"/>
              </w:rPr>
              <w:t>3,075</w:t>
            </w:r>
          </w:p>
        </w:tc>
        <w:tc>
          <w:tcPr>
            <w:tcW w:w="1170" w:type="dxa"/>
            <w:shd w:val="clear" w:color="auto" w:fill="FFFFFF"/>
            <w:tcMar>
              <w:top w:w="60" w:type="dxa"/>
              <w:left w:w="120" w:type="dxa"/>
              <w:bottom w:w="60" w:type="dxa"/>
              <w:right w:w="120" w:type="dxa"/>
            </w:tcMar>
            <w:vAlign w:val="center"/>
          </w:tcPr>
          <w:p w14:paraId="7EB6B641" w14:textId="77777777" w:rsidR="0065571E" w:rsidRDefault="00000000" w:rsidP="008E3CB7">
            <w:pPr>
              <w:jc w:val="both"/>
            </w:pPr>
            <w:r>
              <w:rPr>
                <w:sz w:val="18"/>
                <w:szCs w:val="18"/>
              </w:rPr>
              <w:t>2,840</w:t>
            </w:r>
          </w:p>
        </w:tc>
        <w:tc>
          <w:tcPr>
            <w:tcW w:w="1170" w:type="dxa"/>
            <w:shd w:val="clear" w:color="auto" w:fill="FFFFFF"/>
            <w:tcMar>
              <w:top w:w="60" w:type="dxa"/>
              <w:left w:w="120" w:type="dxa"/>
              <w:bottom w:w="60" w:type="dxa"/>
              <w:right w:w="120" w:type="dxa"/>
            </w:tcMar>
            <w:vAlign w:val="center"/>
          </w:tcPr>
          <w:p w14:paraId="427AE555" w14:textId="77777777" w:rsidR="0065571E" w:rsidRDefault="00000000" w:rsidP="008E3CB7">
            <w:pPr>
              <w:jc w:val="both"/>
            </w:pPr>
            <w:r>
              <w:rPr>
                <w:sz w:val="18"/>
                <w:szCs w:val="18"/>
              </w:rPr>
              <w:t>3,812</w:t>
            </w:r>
          </w:p>
        </w:tc>
        <w:tc>
          <w:tcPr>
            <w:tcW w:w="1170" w:type="dxa"/>
            <w:shd w:val="clear" w:color="auto" w:fill="FFFFFF"/>
            <w:tcMar>
              <w:top w:w="60" w:type="dxa"/>
              <w:left w:w="120" w:type="dxa"/>
              <w:bottom w:w="60" w:type="dxa"/>
              <w:right w:w="120" w:type="dxa"/>
            </w:tcMar>
            <w:vAlign w:val="center"/>
          </w:tcPr>
          <w:p w14:paraId="7FBCC252" w14:textId="77777777" w:rsidR="0065571E" w:rsidRDefault="00000000" w:rsidP="008E3CB7">
            <w:pPr>
              <w:jc w:val="both"/>
            </w:pPr>
            <w:r>
              <w:rPr>
                <w:sz w:val="18"/>
                <w:szCs w:val="18"/>
              </w:rPr>
              <w:t>3,849E</w:t>
            </w:r>
          </w:p>
        </w:tc>
      </w:tr>
      <w:tr w:rsidR="00973405" w14:paraId="7B16F122" w14:textId="77777777">
        <w:tc>
          <w:tcPr>
            <w:tcW w:w="2340" w:type="dxa"/>
            <w:shd w:val="clear" w:color="auto" w:fill="F2F2F2"/>
            <w:tcMar>
              <w:top w:w="60" w:type="dxa"/>
              <w:left w:w="120" w:type="dxa"/>
              <w:bottom w:w="60" w:type="dxa"/>
              <w:right w:w="120" w:type="dxa"/>
            </w:tcMar>
            <w:vAlign w:val="center"/>
          </w:tcPr>
          <w:p w14:paraId="16FA6C5E" w14:textId="77777777" w:rsidR="0065571E" w:rsidRDefault="00000000" w:rsidP="008E3CB7">
            <w:pPr>
              <w:jc w:val="both"/>
            </w:pPr>
            <w:r>
              <w:rPr>
                <w:sz w:val="18"/>
                <w:szCs w:val="18"/>
              </w:rPr>
              <w:t>EBIT Margin %</w:t>
            </w:r>
          </w:p>
        </w:tc>
        <w:tc>
          <w:tcPr>
            <w:tcW w:w="1170" w:type="dxa"/>
            <w:shd w:val="clear" w:color="auto" w:fill="FFFFFF"/>
            <w:tcMar>
              <w:top w:w="60" w:type="dxa"/>
              <w:left w:w="120" w:type="dxa"/>
              <w:bottom w:w="60" w:type="dxa"/>
              <w:right w:w="120" w:type="dxa"/>
            </w:tcMar>
            <w:vAlign w:val="center"/>
          </w:tcPr>
          <w:p w14:paraId="201C1357" w14:textId="77777777" w:rsidR="0065571E" w:rsidRDefault="00000000" w:rsidP="008E3CB7">
            <w:pPr>
              <w:jc w:val="both"/>
            </w:pPr>
            <w:r>
              <w:rPr>
                <w:sz w:val="18"/>
                <w:szCs w:val="18"/>
              </w:rPr>
              <w:t>6.7%</w:t>
            </w:r>
          </w:p>
        </w:tc>
        <w:tc>
          <w:tcPr>
            <w:tcW w:w="1170" w:type="dxa"/>
            <w:shd w:val="clear" w:color="auto" w:fill="FFFFFF"/>
            <w:tcMar>
              <w:top w:w="60" w:type="dxa"/>
              <w:left w:w="120" w:type="dxa"/>
              <w:bottom w:w="60" w:type="dxa"/>
              <w:right w:w="120" w:type="dxa"/>
            </w:tcMar>
            <w:vAlign w:val="center"/>
          </w:tcPr>
          <w:p w14:paraId="701EA521" w14:textId="77777777" w:rsidR="0065571E" w:rsidRDefault="00000000" w:rsidP="008E3CB7">
            <w:pPr>
              <w:jc w:val="both"/>
            </w:pPr>
            <w:r>
              <w:rPr>
                <w:sz w:val="18"/>
                <w:szCs w:val="18"/>
              </w:rPr>
              <w:t>10.0%</w:t>
            </w:r>
          </w:p>
        </w:tc>
        <w:tc>
          <w:tcPr>
            <w:tcW w:w="1170" w:type="dxa"/>
            <w:shd w:val="clear" w:color="auto" w:fill="FFFFFF"/>
            <w:tcMar>
              <w:top w:w="60" w:type="dxa"/>
              <w:left w:w="120" w:type="dxa"/>
              <w:bottom w:w="60" w:type="dxa"/>
              <w:right w:w="120" w:type="dxa"/>
            </w:tcMar>
            <w:vAlign w:val="center"/>
          </w:tcPr>
          <w:p w14:paraId="62B1C97D" w14:textId="77777777" w:rsidR="0065571E" w:rsidRDefault="00000000" w:rsidP="008E3CB7">
            <w:pPr>
              <w:jc w:val="both"/>
            </w:pPr>
            <w:r>
              <w:rPr>
                <w:sz w:val="18"/>
                <w:szCs w:val="18"/>
              </w:rPr>
              <w:t>8.2%</w:t>
            </w:r>
          </w:p>
        </w:tc>
        <w:tc>
          <w:tcPr>
            <w:tcW w:w="1170" w:type="dxa"/>
            <w:shd w:val="clear" w:color="auto" w:fill="FFFFFF"/>
            <w:tcMar>
              <w:top w:w="60" w:type="dxa"/>
              <w:left w:w="120" w:type="dxa"/>
              <w:bottom w:w="60" w:type="dxa"/>
              <w:right w:w="120" w:type="dxa"/>
            </w:tcMar>
            <w:vAlign w:val="center"/>
          </w:tcPr>
          <w:p w14:paraId="598BACD5" w14:textId="77777777" w:rsidR="0065571E" w:rsidRDefault="00000000" w:rsidP="008E3CB7">
            <w:pPr>
              <w:jc w:val="both"/>
            </w:pPr>
            <w:r>
              <w:rPr>
                <w:sz w:val="18"/>
                <w:szCs w:val="18"/>
              </w:rPr>
              <w:t>8.5%</w:t>
            </w:r>
          </w:p>
        </w:tc>
        <w:tc>
          <w:tcPr>
            <w:tcW w:w="1170" w:type="dxa"/>
            <w:shd w:val="clear" w:color="auto" w:fill="FFFFFF"/>
            <w:tcMar>
              <w:top w:w="60" w:type="dxa"/>
              <w:left w:w="120" w:type="dxa"/>
              <w:bottom w:w="60" w:type="dxa"/>
              <w:right w:w="120" w:type="dxa"/>
            </w:tcMar>
            <w:vAlign w:val="center"/>
          </w:tcPr>
          <w:p w14:paraId="5E723AD9" w14:textId="77777777" w:rsidR="0065571E" w:rsidRDefault="00000000" w:rsidP="008E3CB7">
            <w:pPr>
              <w:jc w:val="both"/>
            </w:pPr>
            <w:r>
              <w:rPr>
                <w:sz w:val="18"/>
                <w:szCs w:val="18"/>
              </w:rPr>
              <w:t>11.1%</w:t>
            </w:r>
          </w:p>
        </w:tc>
        <w:tc>
          <w:tcPr>
            <w:tcW w:w="1170" w:type="dxa"/>
            <w:shd w:val="clear" w:color="auto" w:fill="FFFFFF"/>
            <w:tcMar>
              <w:top w:w="60" w:type="dxa"/>
              <w:left w:w="120" w:type="dxa"/>
              <w:bottom w:w="60" w:type="dxa"/>
              <w:right w:w="120" w:type="dxa"/>
            </w:tcMar>
            <w:vAlign w:val="center"/>
          </w:tcPr>
          <w:p w14:paraId="5F487E02" w14:textId="77777777" w:rsidR="0065571E" w:rsidRDefault="00000000" w:rsidP="008E3CB7">
            <w:pPr>
              <w:jc w:val="both"/>
            </w:pPr>
            <w:r>
              <w:rPr>
                <w:sz w:val="18"/>
                <w:szCs w:val="18"/>
              </w:rPr>
              <w:t>10.9%E</w:t>
            </w:r>
          </w:p>
        </w:tc>
      </w:tr>
      <w:tr w:rsidR="00973405" w14:paraId="45B06570" w14:textId="77777777">
        <w:tc>
          <w:tcPr>
            <w:tcW w:w="2340" w:type="dxa"/>
            <w:shd w:val="clear" w:color="auto" w:fill="FFFFFF"/>
            <w:tcMar>
              <w:top w:w="60" w:type="dxa"/>
              <w:left w:w="120" w:type="dxa"/>
              <w:bottom w:w="60" w:type="dxa"/>
              <w:right w:w="120" w:type="dxa"/>
            </w:tcMar>
            <w:vAlign w:val="center"/>
          </w:tcPr>
          <w:p w14:paraId="3A2DA076" w14:textId="77777777" w:rsidR="0065571E" w:rsidRDefault="00000000" w:rsidP="008E3CB7">
            <w:pPr>
              <w:jc w:val="both"/>
            </w:pPr>
            <w:r>
              <w:rPr>
                <w:sz w:val="18"/>
                <w:szCs w:val="18"/>
              </w:rPr>
              <w:t>Net Profit</w:t>
            </w:r>
          </w:p>
        </w:tc>
        <w:tc>
          <w:tcPr>
            <w:tcW w:w="1170" w:type="dxa"/>
            <w:shd w:val="clear" w:color="auto" w:fill="FFFFFF"/>
            <w:tcMar>
              <w:top w:w="60" w:type="dxa"/>
              <w:left w:w="120" w:type="dxa"/>
              <w:bottom w:w="60" w:type="dxa"/>
              <w:right w:w="120" w:type="dxa"/>
            </w:tcMar>
            <w:vAlign w:val="center"/>
          </w:tcPr>
          <w:p w14:paraId="03719322" w14:textId="77777777" w:rsidR="0065571E" w:rsidRDefault="00000000" w:rsidP="008E3CB7">
            <w:pPr>
              <w:jc w:val="both"/>
            </w:pPr>
            <w:r>
              <w:rPr>
                <w:sz w:val="18"/>
                <w:szCs w:val="18"/>
              </w:rPr>
              <w:t>1,802</w:t>
            </w:r>
          </w:p>
        </w:tc>
        <w:tc>
          <w:tcPr>
            <w:tcW w:w="1170" w:type="dxa"/>
            <w:shd w:val="clear" w:color="auto" w:fill="FFFFFF"/>
            <w:tcMar>
              <w:top w:w="60" w:type="dxa"/>
              <w:left w:w="120" w:type="dxa"/>
              <w:bottom w:w="60" w:type="dxa"/>
              <w:right w:w="120" w:type="dxa"/>
            </w:tcMar>
            <w:vAlign w:val="center"/>
          </w:tcPr>
          <w:p w14:paraId="37261EAC" w14:textId="77777777" w:rsidR="0065571E" w:rsidRDefault="00000000" w:rsidP="008E3CB7">
            <w:pPr>
              <w:jc w:val="both"/>
            </w:pPr>
            <w:r>
              <w:rPr>
                <w:sz w:val="18"/>
                <w:szCs w:val="18"/>
              </w:rPr>
              <w:t>2,895</w:t>
            </w:r>
          </w:p>
        </w:tc>
        <w:tc>
          <w:tcPr>
            <w:tcW w:w="1170" w:type="dxa"/>
            <w:shd w:val="clear" w:color="auto" w:fill="FFFFFF"/>
            <w:tcMar>
              <w:top w:w="60" w:type="dxa"/>
              <w:left w:w="120" w:type="dxa"/>
              <w:bottom w:w="60" w:type="dxa"/>
              <w:right w:w="120" w:type="dxa"/>
            </w:tcMar>
            <w:vAlign w:val="center"/>
          </w:tcPr>
          <w:p w14:paraId="4C73837A" w14:textId="77777777" w:rsidR="0065571E" w:rsidRDefault="00000000" w:rsidP="008E3CB7">
            <w:pPr>
              <w:jc w:val="both"/>
            </w:pPr>
            <w:r>
              <w:rPr>
                <w:sz w:val="18"/>
                <w:szCs w:val="18"/>
              </w:rPr>
              <w:t>2,734</w:t>
            </w:r>
          </w:p>
        </w:tc>
        <w:tc>
          <w:tcPr>
            <w:tcW w:w="1170" w:type="dxa"/>
            <w:shd w:val="clear" w:color="auto" w:fill="FFFFFF"/>
            <w:tcMar>
              <w:top w:w="60" w:type="dxa"/>
              <w:left w:w="120" w:type="dxa"/>
              <w:bottom w:w="60" w:type="dxa"/>
              <w:right w:w="120" w:type="dxa"/>
            </w:tcMar>
            <w:vAlign w:val="center"/>
          </w:tcPr>
          <w:p w14:paraId="0687B4BE" w14:textId="77777777" w:rsidR="0065571E" w:rsidRDefault="00000000" w:rsidP="008E3CB7">
            <w:pPr>
              <w:jc w:val="both"/>
            </w:pPr>
            <w:r>
              <w:rPr>
                <w:sz w:val="18"/>
                <w:szCs w:val="18"/>
              </w:rPr>
              <w:t>3,012</w:t>
            </w:r>
          </w:p>
        </w:tc>
        <w:tc>
          <w:tcPr>
            <w:tcW w:w="1170" w:type="dxa"/>
            <w:shd w:val="clear" w:color="auto" w:fill="FFFFFF"/>
            <w:tcMar>
              <w:top w:w="60" w:type="dxa"/>
              <w:left w:w="120" w:type="dxa"/>
              <w:bottom w:w="60" w:type="dxa"/>
              <w:right w:w="120" w:type="dxa"/>
            </w:tcMar>
            <w:vAlign w:val="center"/>
          </w:tcPr>
          <w:p w14:paraId="1F2D9333" w14:textId="77777777" w:rsidR="0065571E" w:rsidRDefault="00000000" w:rsidP="008E3CB7">
            <w:pPr>
              <w:jc w:val="both"/>
            </w:pPr>
            <w:r>
              <w:rPr>
                <w:sz w:val="18"/>
                <w:szCs w:val="18"/>
              </w:rPr>
              <w:t>3,851</w:t>
            </w:r>
          </w:p>
        </w:tc>
        <w:tc>
          <w:tcPr>
            <w:tcW w:w="1170" w:type="dxa"/>
            <w:shd w:val="clear" w:color="auto" w:fill="FFFFFF"/>
            <w:tcMar>
              <w:top w:w="60" w:type="dxa"/>
              <w:left w:w="120" w:type="dxa"/>
              <w:bottom w:w="60" w:type="dxa"/>
              <w:right w:w="120" w:type="dxa"/>
            </w:tcMar>
            <w:vAlign w:val="center"/>
          </w:tcPr>
          <w:p w14:paraId="3274CB84" w14:textId="77777777" w:rsidR="0065571E" w:rsidRDefault="00000000" w:rsidP="008E3CB7">
            <w:pPr>
              <w:jc w:val="both"/>
            </w:pPr>
            <w:r>
              <w:rPr>
                <w:sz w:val="18"/>
                <w:szCs w:val="18"/>
              </w:rPr>
              <w:t>3,270E</w:t>
            </w:r>
          </w:p>
        </w:tc>
      </w:tr>
      <w:tr w:rsidR="00973405" w14:paraId="35B5938F" w14:textId="77777777">
        <w:tc>
          <w:tcPr>
            <w:tcW w:w="2340" w:type="dxa"/>
            <w:shd w:val="clear" w:color="auto" w:fill="F2F2F2"/>
            <w:tcMar>
              <w:top w:w="60" w:type="dxa"/>
              <w:left w:w="120" w:type="dxa"/>
              <w:bottom w:w="60" w:type="dxa"/>
              <w:right w:w="120" w:type="dxa"/>
            </w:tcMar>
            <w:vAlign w:val="center"/>
          </w:tcPr>
          <w:p w14:paraId="1B305567" w14:textId="77777777" w:rsidR="0065571E" w:rsidRDefault="00000000" w:rsidP="008E3CB7">
            <w:pPr>
              <w:jc w:val="both"/>
            </w:pPr>
            <w:r>
              <w:rPr>
                <w:sz w:val="18"/>
                <w:szCs w:val="18"/>
              </w:rPr>
              <w:t>EPS (cents)</w:t>
            </w:r>
          </w:p>
        </w:tc>
        <w:tc>
          <w:tcPr>
            <w:tcW w:w="1170" w:type="dxa"/>
            <w:shd w:val="clear" w:color="auto" w:fill="FFFFFF"/>
            <w:tcMar>
              <w:top w:w="60" w:type="dxa"/>
              <w:left w:w="120" w:type="dxa"/>
              <w:bottom w:w="60" w:type="dxa"/>
              <w:right w:w="120" w:type="dxa"/>
            </w:tcMar>
            <w:vAlign w:val="center"/>
          </w:tcPr>
          <w:p w14:paraId="2849107C" w14:textId="77777777" w:rsidR="0065571E" w:rsidRDefault="00000000" w:rsidP="008E3CB7">
            <w:pPr>
              <w:jc w:val="both"/>
            </w:pPr>
            <w:r>
              <w:rPr>
                <w:sz w:val="18"/>
                <w:szCs w:val="18"/>
              </w:rPr>
              <w:t>1,065c</w:t>
            </w:r>
          </w:p>
        </w:tc>
        <w:tc>
          <w:tcPr>
            <w:tcW w:w="1170" w:type="dxa"/>
            <w:shd w:val="clear" w:color="auto" w:fill="FFFFFF"/>
            <w:tcMar>
              <w:top w:w="60" w:type="dxa"/>
              <w:left w:w="120" w:type="dxa"/>
              <w:bottom w:w="60" w:type="dxa"/>
              <w:right w:w="120" w:type="dxa"/>
            </w:tcMar>
            <w:vAlign w:val="center"/>
          </w:tcPr>
          <w:p w14:paraId="160A2424" w14:textId="77777777" w:rsidR="0065571E" w:rsidRDefault="00000000" w:rsidP="008E3CB7">
            <w:pPr>
              <w:jc w:val="both"/>
            </w:pPr>
            <w:r>
              <w:rPr>
                <w:sz w:val="18"/>
                <w:szCs w:val="18"/>
              </w:rPr>
              <w:t>1,762c</w:t>
            </w:r>
          </w:p>
        </w:tc>
        <w:tc>
          <w:tcPr>
            <w:tcW w:w="1170" w:type="dxa"/>
            <w:shd w:val="clear" w:color="auto" w:fill="FFFFFF"/>
            <w:tcMar>
              <w:top w:w="60" w:type="dxa"/>
              <w:left w:w="120" w:type="dxa"/>
              <w:bottom w:w="60" w:type="dxa"/>
              <w:right w:w="120" w:type="dxa"/>
            </w:tcMar>
            <w:vAlign w:val="center"/>
          </w:tcPr>
          <w:p w14:paraId="1E192A4F" w14:textId="77777777" w:rsidR="0065571E" w:rsidRDefault="00000000" w:rsidP="008E3CB7">
            <w:pPr>
              <w:jc w:val="both"/>
            </w:pPr>
            <w:r>
              <w:rPr>
                <w:sz w:val="18"/>
                <w:szCs w:val="18"/>
              </w:rPr>
              <w:t>1,725c</w:t>
            </w:r>
          </w:p>
        </w:tc>
        <w:tc>
          <w:tcPr>
            <w:tcW w:w="1170" w:type="dxa"/>
            <w:shd w:val="clear" w:color="auto" w:fill="FFFFFF"/>
            <w:tcMar>
              <w:top w:w="60" w:type="dxa"/>
              <w:left w:w="120" w:type="dxa"/>
              <w:bottom w:w="60" w:type="dxa"/>
              <w:right w:w="120" w:type="dxa"/>
            </w:tcMar>
            <w:vAlign w:val="center"/>
          </w:tcPr>
          <w:p w14:paraId="4678D923" w14:textId="77777777" w:rsidR="0065571E" w:rsidRDefault="00000000" w:rsidP="008E3CB7">
            <w:pPr>
              <w:jc w:val="both"/>
            </w:pPr>
            <w:r>
              <w:rPr>
                <w:sz w:val="18"/>
                <w:szCs w:val="18"/>
              </w:rPr>
              <w:t>1,914c</w:t>
            </w:r>
          </w:p>
        </w:tc>
        <w:tc>
          <w:tcPr>
            <w:tcW w:w="1170" w:type="dxa"/>
            <w:shd w:val="clear" w:color="auto" w:fill="FFFFFF"/>
            <w:tcMar>
              <w:top w:w="60" w:type="dxa"/>
              <w:left w:w="120" w:type="dxa"/>
              <w:bottom w:w="60" w:type="dxa"/>
              <w:right w:w="120" w:type="dxa"/>
            </w:tcMar>
            <w:vAlign w:val="center"/>
          </w:tcPr>
          <w:p w14:paraId="252EF5A6" w14:textId="77777777" w:rsidR="0065571E" w:rsidRDefault="00000000" w:rsidP="008E3CB7">
            <w:pPr>
              <w:jc w:val="both"/>
            </w:pPr>
            <w:r>
              <w:rPr>
                <w:sz w:val="18"/>
                <w:szCs w:val="18"/>
              </w:rPr>
              <w:t>2,482c</w:t>
            </w:r>
          </w:p>
        </w:tc>
        <w:tc>
          <w:tcPr>
            <w:tcW w:w="1170" w:type="dxa"/>
            <w:shd w:val="clear" w:color="auto" w:fill="FFFFFF"/>
            <w:tcMar>
              <w:top w:w="60" w:type="dxa"/>
              <w:left w:w="120" w:type="dxa"/>
              <w:bottom w:w="60" w:type="dxa"/>
              <w:right w:w="120" w:type="dxa"/>
            </w:tcMar>
            <w:vAlign w:val="center"/>
          </w:tcPr>
          <w:p w14:paraId="1592A44B" w14:textId="77777777" w:rsidR="0065571E" w:rsidRDefault="00000000" w:rsidP="008E3CB7">
            <w:pPr>
              <w:jc w:val="both"/>
            </w:pPr>
            <w:r>
              <w:rPr>
                <w:sz w:val="18"/>
                <w:szCs w:val="18"/>
              </w:rPr>
              <w:t>~2,171cE</w:t>
            </w:r>
          </w:p>
        </w:tc>
      </w:tr>
    </w:tbl>
    <w:p w14:paraId="11EAA547" w14:textId="77777777" w:rsidR="0065571E" w:rsidRDefault="00000000" w:rsidP="008E3CB7">
      <w:pPr>
        <w:spacing w:before="40" w:after="140"/>
        <w:jc w:val="both"/>
        <w:rPr>
          <w:i/>
          <w:iCs/>
          <w:color w:val="595959"/>
          <w:sz w:val="18"/>
          <w:szCs w:val="18"/>
        </w:rPr>
      </w:pPr>
      <w:r>
        <w:rPr>
          <w:i/>
          <w:iCs/>
          <w:color w:val="595959"/>
          <w:sz w:val="18"/>
          <w:szCs w:val="18"/>
        </w:rPr>
        <w:t>Table 4.1: Tiger Brands Income Statement Summary FY2021–FY2025 Actual &amp; FY2026E Forecast (R'million). Source: Tiger Brands Annual Financial Statements; Author's DCF Model.</w:t>
      </w:r>
    </w:p>
    <w:p w14:paraId="71D33D7A" w14:textId="77777777" w:rsidR="0065571E" w:rsidRDefault="0065571E" w:rsidP="008E3CB7">
      <w:pPr>
        <w:spacing w:after="120"/>
        <w:jc w:val="both"/>
      </w:pPr>
    </w:p>
    <w:p w14:paraId="4FEA635C" w14:textId="77777777" w:rsidR="0065571E" w:rsidRDefault="00000000" w:rsidP="008E3CB7">
      <w:pPr>
        <w:pStyle w:val="Heading2"/>
        <w:jc w:val="both"/>
        <w:rPr>
          <w:sz w:val="28"/>
          <w:szCs w:val="28"/>
        </w:rPr>
      </w:pPr>
      <w:r>
        <w:rPr>
          <w:sz w:val="28"/>
          <w:szCs w:val="28"/>
        </w:rPr>
        <w:t>4.2 Profitability</w:t>
      </w:r>
    </w:p>
    <w:p w14:paraId="6DF2ABF1" w14:textId="77777777" w:rsidR="005C0BD8" w:rsidRPr="005C0BD8" w:rsidRDefault="005C0BD8" w:rsidP="008E3CB7">
      <w:pPr>
        <w:pStyle w:val="Heading2"/>
        <w:jc w:val="both"/>
        <w:rPr>
          <w:b w:val="0"/>
          <w:bCs w:val="0"/>
          <w:color w:val="auto"/>
        </w:rPr>
      </w:pPr>
      <w:r>
        <w:rPr>
          <w:b w:val="0"/>
          <w:bCs w:val="0"/>
          <w:color w:val="auto"/>
        </w:rPr>
        <w:lastRenderedPageBreak/>
        <w:t>Tiger Brands' profitability trajectory reflects the severe operational disruption of FY2023 when surging global commodity costs, residual supply chain disruptions, and the lingering impact of the July 2021 civil unrest on manufacturing operations compressed gross margins to a multi-year low of 27.7% followed by a strong and sustained structural recovery. By FY2025, the gross margin had expanded to 31.3% and the EBIT margin recovered to 11.1%, levels not seen since FY2022's peak performance year.</w:t>
      </w:r>
    </w:p>
    <w:p w14:paraId="11BB2F7E" w14:textId="77777777" w:rsidR="005C0BD8" w:rsidRPr="005C0BD8" w:rsidRDefault="005C0BD8" w:rsidP="008E3CB7">
      <w:pPr>
        <w:pStyle w:val="Heading2"/>
        <w:jc w:val="both"/>
        <w:rPr>
          <w:b w:val="0"/>
          <w:bCs w:val="0"/>
          <w:color w:val="auto"/>
        </w:rPr>
      </w:pPr>
      <w:r>
        <w:rPr>
          <w:b w:val="0"/>
          <w:bCs w:val="0"/>
          <w:color w:val="auto"/>
        </w:rPr>
        <w:t>Return on Equity has improved dramatically, rising from 11.4% in FY2021 to 22.3% in FY2025. This reflects both improved underlying profitability and the company's active share buyback programme of R1.5 billion in FY2025, which has modestly reduced the equity base and amplified per-share return metrics. Net profit margin reached 11.2% in FY2025, reflecting the operational leverage benefits of the Continuous Improvement turnaround programme and the positive effect of non-recurring asset disposal gains during the year.</w:t>
      </w:r>
    </w:p>
    <w:p w14:paraId="5519C0D3" w14:textId="77777777" w:rsidR="005C0BD8" w:rsidRPr="00F9489E" w:rsidRDefault="005C0BD8" w:rsidP="008E3CB7">
      <w:pPr>
        <w:pStyle w:val="Heading2"/>
        <w:jc w:val="both"/>
        <w:rPr>
          <w:sz w:val="28"/>
          <w:szCs w:val="28"/>
        </w:rPr>
      </w:pPr>
    </w:p>
    <w:p w14:paraId="58074680" w14:textId="77777777" w:rsidR="004D5CAA" w:rsidRDefault="004D5CAA" w:rsidP="008E3CB7">
      <w:pPr>
        <w:spacing w:before="80" w:after="80"/>
        <w:jc w:val="both"/>
      </w:pPr>
      <w:r>
        <w:rPr>
          <w:noProof/>
        </w:rPr>
        <w:drawing>
          <wp:inline distT="0" distB="0" distL="0" distR="0" wp14:anchorId="6947FDB2" wp14:editId="09DC974B">
            <wp:extent cx="5829300" cy="3019425"/>
            <wp:effectExtent l="0" t="0" r="0" b="9525"/>
            <wp:docPr id="4" name="Chart 4">
              <a:extLst xmlns:a="http://schemas.openxmlformats.org/drawingml/2006/main">
                <a:ext uri="{FF2B5EF4-FFF2-40B4-BE49-F238E27FC236}">
                  <a16:creationId xmlns:a16="http://schemas.microsoft.com/office/drawing/2014/main" id="{72B1CE83-9516-6594-8D7A-7F02B2F870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A289343" w14:textId="77777777" w:rsidR="00F05A2C" w:rsidRDefault="00F05A2C" w:rsidP="008E3CB7">
      <w:pPr>
        <w:spacing w:before="60" w:after="60"/>
        <w:jc w:val="both"/>
      </w:pPr>
    </w:p>
    <w:p w14:paraId="71A6475B" w14:textId="77777777" w:rsidR="0065571E" w:rsidRPr="00F9489E" w:rsidRDefault="00000000" w:rsidP="008E3CB7">
      <w:pPr>
        <w:pStyle w:val="Heading2"/>
        <w:jc w:val="both"/>
        <w:rPr>
          <w:sz w:val="28"/>
          <w:szCs w:val="28"/>
        </w:rPr>
      </w:pPr>
      <w:r>
        <w:rPr>
          <w:sz w:val="28"/>
          <w:szCs w:val="28"/>
        </w:rPr>
        <w:t>4.3 Liquidity &amp; Capital Structure</w:t>
      </w:r>
    </w:p>
    <w:p w14:paraId="130C5BFB" w14:textId="77777777" w:rsidR="005C0BD8" w:rsidRPr="005C0BD8" w:rsidRDefault="005C0BD8" w:rsidP="008E3CB7">
      <w:pPr>
        <w:pStyle w:val="Heading2"/>
        <w:jc w:val="both"/>
        <w:rPr>
          <w:b w:val="0"/>
          <w:bCs w:val="0"/>
          <w:color w:val="auto"/>
        </w:rPr>
      </w:pPr>
      <w:r>
        <w:rPr>
          <w:b w:val="0"/>
          <w:bCs w:val="0"/>
          <w:color w:val="auto"/>
        </w:rPr>
        <w:t xml:space="preserve">Tiger Brands maintains a highly liquid and conservatively structured balance sheet. The current ratio stood at 1.52x in FY2025, while the quick ratio improved materially to 1.05x indicating that even excluding inventory, the company can fully cover its short-term liabilities from liquid assets alone. The cash ratio of 0.56x reflects R3.1 billion in unrestricted cash and cash equivalents, providing a substantial liquidity buffer against near-term operational shocks. </w:t>
      </w:r>
    </w:p>
    <w:p w14:paraId="5C3171A4" w14:textId="77777777" w:rsidR="005C0BD8" w:rsidRPr="005C0BD8" w:rsidRDefault="005C0BD8" w:rsidP="008E3CB7">
      <w:pPr>
        <w:pStyle w:val="Heading2"/>
        <w:jc w:val="both"/>
      </w:pPr>
      <w:r>
        <w:rPr>
          <w:noProof/>
        </w:rPr>
        <w:lastRenderedPageBreak/>
        <w:drawing>
          <wp:inline distT="0" distB="0" distL="0" distR="0" wp14:anchorId="6EA4D4DC" wp14:editId="4486FA1A">
            <wp:extent cx="6267450" cy="2076450"/>
            <wp:effectExtent l="0" t="0" r="0" b="0"/>
            <wp:docPr id="36" name="Chart 36">
              <a:extLst xmlns:a="http://schemas.openxmlformats.org/drawingml/2006/main">
                <a:ext uri="{FF2B5EF4-FFF2-40B4-BE49-F238E27FC236}">
                  <a16:creationId xmlns:a16="http://schemas.microsoft.com/office/drawing/2014/main" id="{C2A377E0-734F-8155-F85A-8C8BD29E46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FE18907" w14:textId="77777777" w:rsidR="005C0BD8" w:rsidRPr="005C0BD8" w:rsidRDefault="005C0BD8" w:rsidP="008E3CB7">
      <w:pPr>
        <w:pStyle w:val="Heading2"/>
        <w:jc w:val="both"/>
        <w:rPr>
          <w:b w:val="0"/>
          <w:bCs w:val="0"/>
          <w:color w:val="auto"/>
        </w:rPr>
      </w:pPr>
      <w:r>
        <w:rPr>
          <w:b w:val="0"/>
          <w:bCs w:val="0"/>
          <w:color w:val="auto"/>
        </w:rPr>
        <w:t>The Debt-to-Equity ratio declined dramatically from 11.9% in FY2023 to just 2.1% in FY2025, following an aggressive debt reduction programme that demonstrates management's clear preference for a lean, conservatively financed capital structure. Long-term borrowings stand at R241 million and short-term borrowings at R116 million a negligible debt burden for a business generating over R5.8 billion in annual operating cash flows and holding over R5.9 billion in net cash reserves.</w:t>
      </w:r>
    </w:p>
    <w:p w14:paraId="3A52B353" w14:textId="77777777" w:rsidR="002B4B5D" w:rsidRDefault="005C0BD8" w:rsidP="002B4B5D">
      <w:pPr>
        <w:pStyle w:val="Heading2"/>
        <w:rPr>
          <w:b w:val="0"/>
          <w:bCs w:val="0"/>
          <w:color w:val="auto"/>
        </w:rPr>
      </w:pPr>
      <w:r>
        <w:rPr>
          <w:noProof/>
        </w:rPr>
        <w:drawing>
          <wp:inline distT="0" distB="0" distL="0" distR="0" wp14:anchorId="09358CCB" wp14:editId="6666F6F3">
            <wp:extent cx="6181725" cy="1876425"/>
            <wp:effectExtent l="0" t="0" r="9525" b="9525"/>
            <wp:docPr id="37" name="Chart 37">
              <a:extLst xmlns:a="http://schemas.openxmlformats.org/drawingml/2006/main">
                <a:ext uri="{FF2B5EF4-FFF2-40B4-BE49-F238E27FC236}">
                  <a16:creationId xmlns:a16="http://schemas.microsoft.com/office/drawing/2014/main" id="{E45B5724-9E62-DE9C-CB40-81B4438570E2}"/>
                </a:ext>
                <a:ext uri="{147F2762-F138-4A5C-976F-8EAC2B608ADB}">
                  <a16:predDERef xmlns:a16="http://schemas.microsoft.com/office/drawing/2014/main" pred="{6DF17ED1-2B4A-E0EA-4594-C82DB02547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1B652A5" w14:textId="77777777" w:rsidR="005C0BD8" w:rsidRPr="005C0BD8" w:rsidRDefault="00000000" w:rsidP="005C0BD8">
      <w:pPr>
        <w:pStyle w:val="Heading2"/>
        <w:rPr>
          <w:sz w:val="28"/>
          <w:szCs w:val="28"/>
        </w:rPr>
      </w:pPr>
      <w:r>
        <w:rPr>
          <w:sz w:val="28"/>
          <w:szCs w:val="28"/>
        </w:rPr>
        <w:t>4.4 Efficiency Metrics</w:t>
      </w:r>
    </w:p>
    <w:p w14:paraId="1A8D2F1A" w14:textId="77777777" w:rsidR="005C0BD8" w:rsidRDefault="005C0BD8" w:rsidP="008E3CB7">
      <w:pPr>
        <w:spacing w:after="120"/>
        <w:jc w:val="both"/>
        <w:rPr>
          <w:sz w:val="24"/>
          <w:szCs w:val="24"/>
        </w:rPr>
      </w:pPr>
      <w:r>
        <w:rPr>
          <w:sz w:val="24"/>
          <w:szCs w:val="24"/>
        </w:rPr>
        <w:t>The Cash Conversion Cycle improved significantly from 90.2 days in FY2023 to 62.0 days in FY2025 a direct consequence of the SKU rationalisation programme and improved inventory management across the supply chain. Days Payable Outstanding expanded to 86.3 days in FY2025, indicating disciplined management of supplier payment terms to optimise working capital without damaging supplier relationships. Fixed Asset Turnover of 5.86x in FY2025 reflects efficient utilisation of the manufacturing asset base, consistent with a business that is sweating its existing plant capacity rather than investing aggressively in new infrastructure during the turnaround phase.</w:t>
      </w:r>
    </w:p>
    <w:p w14:paraId="3554C3E6" w14:textId="77777777" w:rsidR="00593F3F" w:rsidRDefault="005C0BD8" w:rsidP="0023254A">
      <w:pPr>
        <w:spacing w:after="120"/>
        <w:rPr>
          <w:sz w:val="24"/>
          <w:szCs w:val="24"/>
        </w:rPr>
      </w:pPr>
      <w:r>
        <w:rPr>
          <w:noProof/>
        </w:rPr>
        <w:lastRenderedPageBreak/>
        <w:drawing>
          <wp:inline distT="0" distB="0" distL="0" distR="0" wp14:anchorId="171CB2C1" wp14:editId="43024DDC">
            <wp:extent cx="6188710" cy="2447925"/>
            <wp:effectExtent l="0" t="0" r="2540" b="9525"/>
            <wp:docPr id="38" name="Chart 38">
              <a:extLst xmlns:a="http://schemas.openxmlformats.org/drawingml/2006/main">
                <a:ext uri="{FF2B5EF4-FFF2-40B4-BE49-F238E27FC236}">
                  <a16:creationId xmlns:a16="http://schemas.microsoft.com/office/drawing/2014/main" id="{B85A3444-4DA1-293E-3DA5-D8A9401F7B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Pr>
          <w:sz w:val="24"/>
          <w:szCs w:val="24"/>
        </w:rPr>
        <w:tab/>
      </w:r>
    </w:p>
    <w:p w14:paraId="0FEC2506" w14:textId="77777777" w:rsidR="00593F3F" w:rsidRPr="00F02EB8" w:rsidRDefault="00593F3F" w:rsidP="00F02EB8">
      <w:pPr>
        <w:pStyle w:val="Heading2"/>
        <w:rPr>
          <w:sz w:val="28"/>
          <w:szCs w:val="28"/>
        </w:rPr>
      </w:pPr>
      <w:r>
        <w:rPr>
          <w:sz w:val="28"/>
          <w:szCs w:val="28"/>
        </w:rPr>
        <w:t>4.5 Leverage, Solvency &amp; Dividend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52"/>
        <w:gridCol w:w="1352"/>
        <w:gridCol w:w="1352"/>
        <w:gridCol w:w="1352"/>
        <w:gridCol w:w="1352"/>
      </w:tblGrid>
      <w:tr w:rsidR="00973405" w14:paraId="36854327" w14:textId="77777777">
        <w:tc>
          <w:tcPr>
            <w:tcW w:w="2600" w:type="dxa"/>
            <w:shd w:val="clear" w:color="auto" w:fill="1F3864"/>
            <w:tcMar>
              <w:top w:w="80" w:type="dxa"/>
              <w:left w:w="120" w:type="dxa"/>
              <w:bottom w:w="80" w:type="dxa"/>
              <w:right w:w="120" w:type="dxa"/>
            </w:tcMar>
            <w:vAlign w:val="center"/>
          </w:tcPr>
          <w:p w14:paraId="7155222E" w14:textId="77777777" w:rsidR="0065571E" w:rsidRDefault="00000000">
            <w:pPr>
              <w:jc w:val="center"/>
            </w:pPr>
            <w:r>
              <w:rPr>
                <w:b/>
                <w:bCs/>
                <w:color w:val="FFFFFF"/>
                <w:sz w:val="18"/>
                <w:szCs w:val="18"/>
              </w:rPr>
              <w:t>Ratio</w:t>
            </w:r>
          </w:p>
        </w:tc>
        <w:tc>
          <w:tcPr>
            <w:tcW w:w="1352" w:type="dxa"/>
            <w:shd w:val="clear" w:color="auto" w:fill="1F3864"/>
            <w:tcMar>
              <w:top w:w="80" w:type="dxa"/>
              <w:left w:w="120" w:type="dxa"/>
              <w:bottom w:w="80" w:type="dxa"/>
              <w:right w:w="120" w:type="dxa"/>
            </w:tcMar>
            <w:vAlign w:val="center"/>
          </w:tcPr>
          <w:p w14:paraId="6A0D3818" w14:textId="77777777" w:rsidR="0065571E" w:rsidRDefault="00000000">
            <w:pPr>
              <w:jc w:val="center"/>
            </w:pPr>
            <w:r>
              <w:rPr>
                <w:b/>
                <w:bCs/>
                <w:color w:val="FFFFFF"/>
                <w:sz w:val="18"/>
                <w:szCs w:val="18"/>
              </w:rPr>
              <w:t>FY2021</w:t>
            </w:r>
          </w:p>
        </w:tc>
        <w:tc>
          <w:tcPr>
            <w:tcW w:w="1352" w:type="dxa"/>
            <w:shd w:val="clear" w:color="auto" w:fill="1F3864"/>
            <w:tcMar>
              <w:top w:w="80" w:type="dxa"/>
              <w:left w:w="120" w:type="dxa"/>
              <w:bottom w:w="80" w:type="dxa"/>
              <w:right w:w="120" w:type="dxa"/>
            </w:tcMar>
            <w:vAlign w:val="center"/>
          </w:tcPr>
          <w:p w14:paraId="182DD473" w14:textId="77777777" w:rsidR="0065571E" w:rsidRDefault="00000000">
            <w:pPr>
              <w:jc w:val="center"/>
            </w:pPr>
            <w:r>
              <w:rPr>
                <w:b/>
                <w:bCs/>
                <w:color w:val="FFFFFF"/>
                <w:sz w:val="18"/>
                <w:szCs w:val="18"/>
              </w:rPr>
              <w:t>FY2022</w:t>
            </w:r>
          </w:p>
        </w:tc>
        <w:tc>
          <w:tcPr>
            <w:tcW w:w="1352" w:type="dxa"/>
            <w:shd w:val="clear" w:color="auto" w:fill="1F3864"/>
            <w:tcMar>
              <w:top w:w="80" w:type="dxa"/>
              <w:left w:w="120" w:type="dxa"/>
              <w:bottom w:w="80" w:type="dxa"/>
              <w:right w:w="120" w:type="dxa"/>
            </w:tcMar>
            <w:vAlign w:val="center"/>
          </w:tcPr>
          <w:p w14:paraId="313C108D" w14:textId="77777777" w:rsidR="0065571E" w:rsidRDefault="00000000">
            <w:pPr>
              <w:jc w:val="center"/>
            </w:pPr>
            <w:r>
              <w:rPr>
                <w:b/>
                <w:bCs/>
                <w:color w:val="FFFFFF"/>
                <w:sz w:val="18"/>
                <w:szCs w:val="18"/>
              </w:rPr>
              <w:t>FY2023</w:t>
            </w:r>
          </w:p>
        </w:tc>
        <w:tc>
          <w:tcPr>
            <w:tcW w:w="1352" w:type="dxa"/>
            <w:shd w:val="clear" w:color="auto" w:fill="1F3864"/>
            <w:tcMar>
              <w:top w:w="80" w:type="dxa"/>
              <w:left w:w="120" w:type="dxa"/>
              <w:bottom w:w="80" w:type="dxa"/>
              <w:right w:w="120" w:type="dxa"/>
            </w:tcMar>
            <w:vAlign w:val="center"/>
          </w:tcPr>
          <w:p w14:paraId="6853C3B7" w14:textId="77777777" w:rsidR="0065571E" w:rsidRDefault="00000000">
            <w:pPr>
              <w:jc w:val="center"/>
            </w:pPr>
            <w:r>
              <w:rPr>
                <w:b/>
                <w:bCs/>
                <w:color w:val="FFFFFF"/>
                <w:sz w:val="18"/>
                <w:szCs w:val="18"/>
              </w:rPr>
              <w:t>FY2024</w:t>
            </w:r>
          </w:p>
        </w:tc>
        <w:tc>
          <w:tcPr>
            <w:tcW w:w="1352" w:type="dxa"/>
            <w:shd w:val="clear" w:color="auto" w:fill="1F3864"/>
            <w:tcMar>
              <w:top w:w="80" w:type="dxa"/>
              <w:left w:w="120" w:type="dxa"/>
              <w:bottom w:w="80" w:type="dxa"/>
              <w:right w:w="120" w:type="dxa"/>
            </w:tcMar>
            <w:vAlign w:val="center"/>
          </w:tcPr>
          <w:p w14:paraId="70884328" w14:textId="77777777" w:rsidR="0065571E" w:rsidRDefault="00000000">
            <w:pPr>
              <w:jc w:val="center"/>
            </w:pPr>
            <w:r>
              <w:rPr>
                <w:b/>
                <w:bCs/>
                <w:color w:val="FFFFFF"/>
                <w:sz w:val="18"/>
                <w:szCs w:val="18"/>
              </w:rPr>
              <w:t>FY2025</w:t>
            </w:r>
          </w:p>
        </w:tc>
      </w:tr>
      <w:tr w:rsidR="00973405" w14:paraId="363A750E" w14:textId="77777777">
        <w:tc>
          <w:tcPr>
            <w:tcW w:w="2600" w:type="dxa"/>
            <w:shd w:val="clear" w:color="auto" w:fill="F2F2F2"/>
            <w:tcMar>
              <w:top w:w="60" w:type="dxa"/>
              <w:left w:w="120" w:type="dxa"/>
              <w:bottom w:w="60" w:type="dxa"/>
              <w:right w:w="120" w:type="dxa"/>
            </w:tcMar>
            <w:vAlign w:val="center"/>
          </w:tcPr>
          <w:p w14:paraId="316DFF1E" w14:textId="77777777" w:rsidR="0065571E" w:rsidRDefault="00000000">
            <w:r>
              <w:rPr>
                <w:sz w:val="18"/>
                <w:szCs w:val="18"/>
              </w:rPr>
              <w:t>Current Ratio</w:t>
            </w:r>
          </w:p>
        </w:tc>
        <w:tc>
          <w:tcPr>
            <w:tcW w:w="1352" w:type="dxa"/>
            <w:shd w:val="clear" w:color="auto" w:fill="FFFFFF"/>
            <w:tcMar>
              <w:top w:w="60" w:type="dxa"/>
              <w:left w:w="120" w:type="dxa"/>
              <w:bottom w:w="60" w:type="dxa"/>
              <w:right w:w="120" w:type="dxa"/>
            </w:tcMar>
            <w:vAlign w:val="center"/>
          </w:tcPr>
          <w:p w14:paraId="63E0F478" w14:textId="77777777" w:rsidR="0065571E" w:rsidRDefault="00000000">
            <w:pPr>
              <w:jc w:val="center"/>
            </w:pPr>
            <w:r>
              <w:rPr>
                <w:sz w:val="18"/>
                <w:szCs w:val="18"/>
              </w:rPr>
              <w:t>1.87x</w:t>
            </w:r>
          </w:p>
        </w:tc>
        <w:tc>
          <w:tcPr>
            <w:tcW w:w="1352" w:type="dxa"/>
            <w:shd w:val="clear" w:color="auto" w:fill="FFFFFF"/>
            <w:tcMar>
              <w:top w:w="60" w:type="dxa"/>
              <w:left w:w="120" w:type="dxa"/>
              <w:bottom w:w="60" w:type="dxa"/>
              <w:right w:w="120" w:type="dxa"/>
            </w:tcMar>
            <w:vAlign w:val="center"/>
          </w:tcPr>
          <w:p w14:paraId="480F7FE0" w14:textId="77777777" w:rsidR="0065571E" w:rsidRDefault="00000000">
            <w:pPr>
              <w:jc w:val="center"/>
            </w:pPr>
            <w:r>
              <w:rPr>
                <w:sz w:val="18"/>
                <w:szCs w:val="18"/>
              </w:rPr>
              <w:t>1.64x</w:t>
            </w:r>
          </w:p>
        </w:tc>
        <w:tc>
          <w:tcPr>
            <w:tcW w:w="1352" w:type="dxa"/>
            <w:shd w:val="clear" w:color="auto" w:fill="FFFFFF"/>
            <w:tcMar>
              <w:top w:w="60" w:type="dxa"/>
              <w:left w:w="120" w:type="dxa"/>
              <w:bottom w:w="60" w:type="dxa"/>
              <w:right w:w="120" w:type="dxa"/>
            </w:tcMar>
            <w:vAlign w:val="center"/>
          </w:tcPr>
          <w:p w14:paraId="15A99DE0" w14:textId="77777777" w:rsidR="0065571E" w:rsidRDefault="00000000">
            <w:pPr>
              <w:jc w:val="center"/>
            </w:pPr>
            <w:r>
              <w:rPr>
                <w:sz w:val="18"/>
                <w:szCs w:val="18"/>
              </w:rPr>
              <w:t>1.93x</w:t>
            </w:r>
          </w:p>
        </w:tc>
        <w:tc>
          <w:tcPr>
            <w:tcW w:w="1352" w:type="dxa"/>
            <w:shd w:val="clear" w:color="auto" w:fill="FFFFFF"/>
            <w:tcMar>
              <w:top w:w="60" w:type="dxa"/>
              <w:left w:w="120" w:type="dxa"/>
              <w:bottom w:w="60" w:type="dxa"/>
              <w:right w:w="120" w:type="dxa"/>
            </w:tcMar>
            <w:vAlign w:val="center"/>
          </w:tcPr>
          <w:p w14:paraId="271A6AA0" w14:textId="77777777" w:rsidR="0065571E" w:rsidRDefault="00000000">
            <w:pPr>
              <w:jc w:val="center"/>
            </w:pPr>
            <w:r>
              <w:rPr>
                <w:sz w:val="18"/>
                <w:szCs w:val="18"/>
              </w:rPr>
              <w:t>1.83x</w:t>
            </w:r>
          </w:p>
        </w:tc>
        <w:tc>
          <w:tcPr>
            <w:tcW w:w="1352" w:type="dxa"/>
            <w:shd w:val="clear" w:color="auto" w:fill="FFFFFF"/>
            <w:tcMar>
              <w:top w:w="60" w:type="dxa"/>
              <w:left w:w="120" w:type="dxa"/>
              <w:bottom w:w="60" w:type="dxa"/>
              <w:right w:w="120" w:type="dxa"/>
            </w:tcMar>
            <w:vAlign w:val="center"/>
          </w:tcPr>
          <w:p w14:paraId="3B794435" w14:textId="77777777" w:rsidR="0065571E" w:rsidRDefault="00000000">
            <w:pPr>
              <w:jc w:val="center"/>
            </w:pPr>
            <w:r>
              <w:rPr>
                <w:sz w:val="18"/>
                <w:szCs w:val="18"/>
              </w:rPr>
              <w:t>1.52x</w:t>
            </w:r>
          </w:p>
        </w:tc>
      </w:tr>
      <w:tr w:rsidR="0023254A" w14:paraId="7A61560B" w14:textId="77777777">
        <w:tc>
          <w:tcPr>
            <w:tcW w:w="2600" w:type="dxa"/>
            <w:shd w:val="clear" w:color="auto" w:fill="FFFFFF"/>
            <w:tcMar>
              <w:top w:w="60" w:type="dxa"/>
              <w:left w:w="120" w:type="dxa"/>
              <w:bottom w:w="60" w:type="dxa"/>
              <w:right w:w="120" w:type="dxa"/>
            </w:tcMar>
            <w:vAlign w:val="center"/>
          </w:tcPr>
          <w:p w14:paraId="7BA95EB8" w14:textId="77777777" w:rsidR="0023254A" w:rsidRDefault="0023254A">
            <w:pPr>
              <w:rPr>
                <w:sz w:val="18"/>
                <w:szCs w:val="18"/>
              </w:rPr>
            </w:pPr>
            <w:r>
              <w:rPr>
                <w:sz w:val="18"/>
                <w:szCs w:val="18"/>
              </w:rPr>
              <w:t>Debt to Assts Ratio</w:t>
            </w:r>
          </w:p>
        </w:tc>
        <w:tc>
          <w:tcPr>
            <w:tcW w:w="1352" w:type="dxa"/>
            <w:shd w:val="clear" w:color="auto" w:fill="FFFFFF"/>
            <w:tcMar>
              <w:top w:w="60" w:type="dxa"/>
              <w:left w:w="120" w:type="dxa"/>
              <w:bottom w:w="60" w:type="dxa"/>
              <w:right w:w="120" w:type="dxa"/>
            </w:tcMar>
            <w:vAlign w:val="center"/>
          </w:tcPr>
          <w:p w14:paraId="2BA3A15F" w14:textId="77777777" w:rsidR="0023254A" w:rsidRDefault="0023254A">
            <w:pPr>
              <w:jc w:val="center"/>
              <w:rPr>
                <w:sz w:val="18"/>
                <w:szCs w:val="18"/>
              </w:rPr>
            </w:pPr>
            <w:r>
              <w:rPr>
                <w:sz w:val="18"/>
                <w:szCs w:val="18"/>
              </w:rPr>
              <w:t>2.5%</w:t>
            </w:r>
          </w:p>
        </w:tc>
        <w:tc>
          <w:tcPr>
            <w:tcW w:w="1352" w:type="dxa"/>
            <w:shd w:val="clear" w:color="auto" w:fill="FFFFFF"/>
            <w:tcMar>
              <w:top w:w="60" w:type="dxa"/>
              <w:left w:w="120" w:type="dxa"/>
              <w:bottom w:w="60" w:type="dxa"/>
              <w:right w:w="120" w:type="dxa"/>
            </w:tcMar>
            <w:vAlign w:val="center"/>
          </w:tcPr>
          <w:p w14:paraId="3F727BF9" w14:textId="77777777" w:rsidR="0023254A" w:rsidRDefault="0023254A">
            <w:pPr>
              <w:jc w:val="center"/>
              <w:rPr>
                <w:sz w:val="18"/>
                <w:szCs w:val="18"/>
              </w:rPr>
            </w:pPr>
            <w:r>
              <w:rPr>
                <w:sz w:val="18"/>
                <w:szCs w:val="18"/>
              </w:rPr>
              <w:t>6.2%</w:t>
            </w:r>
          </w:p>
        </w:tc>
        <w:tc>
          <w:tcPr>
            <w:tcW w:w="1352" w:type="dxa"/>
            <w:shd w:val="clear" w:color="auto" w:fill="FFFFFF"/>
            <w:tcMar>
              <w:top w:w="60" w:type="dxa"/>
              <w:left w:w="120" w:type="dxa"/>
              <w:bottom w:w="60" w:type="dxa"/>
              <w:right w:w="120" w:type="dxa"/>
            </w:tcMar>
            <w:vAlign w:val="center"/>
          </w:tcPr>
          <w:p w14:paraId="260ADDB8" w14:textId="77777777" w:rsidR="0023254A" w:rsidRDefault="0023254A">
            <w:pPr>
              <w:jc w:val="center"/>
              <w:rPr>
                <w:sz w:val="18"/>
                <w:szCs w:val="18"/>
              </w:rPr>
            </w:pPr>
            <w:r>
              <w:rPr>
                <w:sz w:val="18"/>
                <w:szCs w:val="18"/>
              </w:rPr>
              <w:t>8.1%</w:t>
            </w:r>
          </w:p>
        </w:tc>
        <w:tc>
          <w:tcPr>
            <w:tcW w:w="1352" w:type="dxa"/>
            <w:shd w:val="clear" w:color="auto" w:fill="FFFFFF"/>
            <w:tcMar>
              <w:top w:w="60" w:type="dxa"/>
              <w:left w:w="120" w:type="dxa"/>
              <w:bottom w:w="60" w:type="dxa"/>
              <w:right w:w="120" w:type="dxa"/>
            </w:tcMar>
            <w:vAlign w:val="center"/>
          </w:tcPr>
          <w:p w14:paraId="09E8A2A8" w14:textId="77777777" w:rsidR="0023254A" w:rsidRDefault="0023254A">
            <w:pPr>
              <w:jc w:val="center"/>
              <w:rPr>
                <w:sz w:val="18"/>
                <w:szCs w:val="18"/>
              </w:rPr>
            </w:pPr>
            <w:r>
              <w:rPr>
                <w:sz w:val="18"/>
                <w:szCs w:val="18"/>
              </w:rPr>
              <w:t>4.7%</w:t>
            </w:r>
          </w:p>
        </w:tc>
        <w:tc>
          <w:tcPr>
            <w:tcW w:w="1352" w:type="dxa"/>
            <w:shd w:val="clear" w:color="auto" w:fill="FFFFFF"/>
            <w:tcMar>
              <w:top w:w="60" w:type="dxa"/>
              <w:left w:w="120" w:type="dxa"/>
              <w:bottom w:w="60" w:type="dxa"/>
              <w:right w:w="120" w:type="dxa"/>
            </w:tcMar>
            <w:vAlign w:val="center"/>
          </w:tcPr>
          <w:p w14:paraId="3CB4AD18" w14:textId="77777777" w:rsidR="0023254A" w:rsidRDefault="0023254A">
            <w:pPr>
              <w:jc w:val="center"/>
              <w:rPr>
                <w:sz w:val="18"/>
                <w:szCs w:val="18"/>
              </w:rPr>
            </w:pPr>
            <w:r>
              <w:rPr>
                <w:sz w:val="18"/>
                <w:szCs w:val="18"/>
              </w:rPr>
              <w:t>1.3%</w:t>
            </w:r>
          </w:p>
        </w:tc>
      </w:tr>
      <w:tr w:rsidR="00973405" w14:paraId="2A9FC66F" w14:textId="77777777">
        <w:tc>
          <w:tcPr>
            <w:tcW w:w="2600" w:type="dxa"/>
            <w:shd w:val="clear" w:color="auto" w:fill="FFFFFF"/>
            <w:tcMar>
              <w:top w:w="60" w:type="dxa"/>
              <w:left w:w="120" w:type="dxa"/>
              <w:bottom w:w="60" w:type="dxa"/>
              <w:right w:w="120" w:type="dxa"/>
            </w:tcMar>
            <w:vAlign w:val="center"/>
          </w:tcPr>
          <w:p w14:paraId="032EEC85" w14:textId="77777777" w:rsidR="0065571E" w:rsidRDefault="00000000">
            <w:r>
              <w:rPr>
                <w:sz w:val="18"/>
                <w:szCs w:val="18"/>
              </w:rPr>
              <w:t>Quick Ratio</w:t>
            </w:r>
          </w:p>
        </w:tc>
        <w:tc>
          <w:tcPr>
            <w:tcW w:w="1352" w:type="dxa"/>
            <w:shd w:val="clear" w:color="auto" w:fill="FFFFFF"/>
            <w:tcMar>
              <w:top w:w="60" w:type="dxa"/>
              <w:left w:w="120" w:type="dxa"/>
              <w:bottom w:w="60" w:type="dxa"/>
              <w:right w:w="120" w:type="dxa"/>
            </w:tcMar>
            <w:vAlign w:val="center"/>
          </w:tcPr>
          <w:p w14:paraId="3A345BFF" w14:textId="77777777" w:rsidR="0065571E" w:rsidRDefault="00000000">
            <w:pPr>
              <w:jc w:val="center"/>
            </w:pPr>
            <w:r>
              <w:rPr>
                <w:sz w:val="18"/>
                <w:szCs w:val="18"/>
              </w:rPr>
              <w:t>0.91x</w:t>
            </w:r>
          </w:p>
        </w:tc>
        <w:tc>
          <w:tcPr>
            <w:tcW w:w="1352" w:type="dxa"/>
            <w:shd w:val="clear" w:color="auto" w:fill="FFFFFF"/>
            <w:tcMar>
              <w:top w:w="60" w:type="dxa"/>
              <w:left w:w="120" w:type="dxa"/>
              <w:bottom w:w="60" w:type="dxa"/>
              <w:right w:w="120" w:type="dxa"/>
            </w:tcMar>
            <w:vAlign w:val="center"/>
          </w:tcPr>
          <w:p w14:paraId="05BA0987" w14:textId="77777777" w:rsidR="0065571E" w:rsidRDefault="00000000">
            <w:pPr>
              <w:jc w:val="center"/>
            </w:pPr>
            <w:r>
              <w:rPr>
                <w:sz w:val="18"/>
                <w:szCs w:val="18"/>
              </w:rPr>
              <w:t>0.68x</w:t>
            </w:r>
          </w:p>
        </w:tc>
        <w:tc>
          <w:tcPr>
            <w:tcW w:w="1352" w:type="dxa"/>
            <w:shd w:val="clear" w:color="auto" w:fill="FFFFFF"/>
            <w:tcMar>
              <w:top w:w="60" w:type="dxa"/>
              <w:left w:w="120" w:type="dxa"/>
              <w:bottom w:w="60" w:type="dxa"/>
              <w:right w:w="120" w:type="dxa"/>
            </w:tcMar>
            <w:vAlign w:val="center"/>
          </w:tcPr>
          <w:p w14:paraId="4D0C39E3" w14:textId="77777777" w:rsidR="0065571E" w:rsidRDefault="00000000">
            <w:pPr>
              <w:jc w:val="center"/>
            </w:pPr>
            <w:r>
              <w:rPr>
                <w:sz w:val="18"/>
                <w:szCs w:val="18"/>
              </w:rPr>
              <w:t>0.82x</w:t>
            </w:r>
          </w:p>
        </w:tc>
        <w:tc>
          <w:tcPr>
            <w:tcW w:w="1352" w:type="dxa"/>
            <w:shd w:val="clear" w:color="auto" w:fill="FFFFFF"/>
            <w:tcMar>
              <w:top w:w="60" w:type="dxa"/>
              <w:left w:w="120" w:type="dxa"/>
              <w:bottom w:w="60" w:type="dxa"/>
              <w:right w:w="120" w:type="dxa"/>
            </w:tcMar>
            <w:vAlign w:val="center"/>
          </w:tcPr>
          <w:p w14:paraId="69159BFE" w14:textId="77777777" w:rsidR="0065571E" w:rsidRDefault="00000000">
            <w:pPr>
              <w:jc w:val="center"/>
            </w:pPr>
            <w:r>
              <w:rPr>
                <w:sz w:val="18"/>
                <w:szCs w:val="18"/>
              </w:rPr>
              <w:t>0.82x</w:t>
            </w:r>
          </w:p>
        </w:tc>
        <w:tc>
          <w:tcPr>
            <w:tcW w:w="1352" w:type="dxa"/>
            <w:shd w:val="clear" w:color="auto" w:fill="FFFFFF"/>
            <w:tcMar>
              <w:top w:w="60" w:type="dxa"/>
              <w:left w:w="120" w:type="dxa"/>
              <w:bottom w:w="60" w:type="dxa"/>
              <w:right w:w="120" w:type="dxa"/>
            </w:tcMar>
            <w:vAlign w:val="center"/>
          </w:tcPr>
          <w:p w14:paraId="7D0E5A01" w14:textId="77777777" w:rsidR="0065571E" w:rsidRDefault="00000000">
            <w:pPr>
              <w:jc w:val="center"/>
            </w:pPr>
            <w:r>
              <w:rPr>
                <w:sz w:val="18"/>
                <w:szCs w:val="18"/>
              </w:rPr>
              <w:t>1.05x</w:t>
            </w:r>
          </w:p>
        </w:tc>
      </w:tr>
      <w:tr w:rsidR="00973405" w14:paraId="37F70902" w14:textId="77777777">
        <w:tc>
          <w:tcPr>
            <w:tcW w:w="2600" w:type="dxa"/>
            <w:shd w:val="clear" w:color="auto" w:fill="F2F2F2"/>
            <w:tcMar>
              <w:top w:w="60" w:type="dxa"/>
              <w:left w:w="120" w:type="dxa"/>
              <w:bottom w:w="60" w:type="dxa"/>
              <w:right w:w="120" w:type="dxa"/>
            </w:tcMar>
            <w:vAlign w:val="center"/>
          </w:tcPr>
          <w:p w14:paraId="4E8C63B8" w14:textId="77777777" w:rsidR="0065571E" w:rsidRDefault="00000000">
            <w:r>
              <w:rPr>
                <w:sz w:val="18"/>
                <w:szCs w:val="18"/>
              </w:rPr>
              <w:t>Gross Margin</w:t>
            </w:r>
          </w:p>
        </w:tc>
        <w:tc>
          <w:tcPr>
            <w:tcW w:w="1352" w:type="dxa"/>
            <w:shd w:val="clear" w:color="auto" w:fill="FFFFFF"/>
            <w:tcMar>
              <w:top w:w="60" w:type="dxa"/>
              <w:left w:w="120" w:type="dxa"/>
              <w:bottom w:w="60" w:type="dxa"/>
              <w:right w:w="120" w:type="dxa"/>
            </w:tcMar>
            <w:vAlign w:val="center"/>
          </w:tcPr>
          <w:p w14:paraId="7ADA6A0C" w14:textId="77777777" w:rsidR="0065571E" w:rsidRDefault="00000000">
            <w:pPr>
              <w:jc w:val="center"/>
            </w:pPr>
            <w:r>
              <w:rPr>
                <w:sz w:val="18"/>
                <w:szCs w:val="18"/>
              </w:rPr>
              <w:t>28.5%</w:t>
            </w:r>
          </w:p>
        </w:tc>
        <w:tc>
          <w:tcPr>
            <w:tcW w:w="1352" w:type="dxa"/>
            <w:shd w:val="clear" w:color="auto" w:fill="FFFFFF"/>
            <w:tcMar>
              <w:top w:w="60" w:type="dxa"/>
              <w:left w:w="120" w:type="dxa"/>
              <w:bottom w:w="60" w:type="dxa"/>
              <w:right w:w="120" w:type="dxa"/>
            </w:tcMar>
            <w:vAlign w:val="center"/>
          </w:tcPr>
          <w:p w14:paraId="28235741" w14:textId="77777777" w:rsidR="0065571E" w:rsidRDefault="00000000">
            <w:pPr>
              <w:jc w:val="center"/>
            </w:pPr>
            <w:r>
              <w:rPr>
                <w:sz w:val="18"/>
                <w:szCs w:val="18"/>
              </w:rPr>
              <w:t>30.3%</w:t>
            </w:r>
          </w:p>
        </w:tc>
        <w:tc>
          <w:tcPr>
            <w:tcW w:w="1352" w:type="dxa"/>
            <w:shd w:val="clear" w:color="auto" w:fill="FFFFFF"/>
            <w:tcMar>
              <w:top w:w="60" w:type="dxa"/>
              <w:left w:w="120" w:type="dxa"/>
              <w:bottom w:w="60" w:type="dxa"/>
              <w:right w:w="120" w:type="dxa"/>
            </w:tcMar>
            <w:vAlign w:val="center"/>
          </w:tcPr>
          <w:p w14:paraId="6ED72D0E" w14:textId="77777777" w:rsidR="0065571E" w:rsidRDefault="00000000">
            <w:pPr>
              <w:jc w:val="center"/>
            </w:pPr>
            <w:r>
              <w:rPr>
                <w:sz w:val="18"/>
                <w:szCs w:val="18"/>
              </w:rPr>
              <w:t>27.7%</w:t>
            </w:r>
          </w:p>
        </w:tc>
        <w:tc>
          <w:tcPr>
            <w:tcW w:w="1352" w:type="dxa"/>
            <w:shd w:val="clear" w:color="auto" w:fill="FFFFFF"/>
            <w:tcMar>
              <w:top w:w="60" w:type="dxa"/>
              <w:left w:w="120" w:type="dxa"/>
              <w:bottom w:w="60" w:type="dxa"/>
              <w:right w:w="120" w:type="dxa"/>
            </w:tcMar>
            <w:vAlign w:val="center"/>
          </w:tcPr>
          <w:p w14:paraId="4FE86720" w14:textId="77777777" w:rsidR="0065571E" w:rsidRDefault="00000000">
            <w:pPr>
              <w:jc w:val="center"/>
            </w:pPr>
            <w:r>
              <w:rPr>
                <w:sz w:val="18"/>
                <w:szCs w:val="18"/>
              </w:rPr>
              <w:t>29.1%</w:t>
            </w:r>
          </w:p>
        </w:tc>
        <w:tc>
          <w:tcPr>
            <w:tcW w:w="1352" w:type="dxa"/>
            <w:shd w:val="clear" w:color="auto" w:fill="FFFFFF"/>
            <w:tcMar>
              <w:top w:w="60" w:type="dxa"/>
              <w:left w:w="120" w:type="dxa"/>
              <w:bottom w:w="60" w:type="dxa"/>
              <w:right w:w="120" w:type="dxa"/>
            </w:tcMar>
            <w:vAlign w:val="center"/>
          </w:tcPr>
          <w:p w14:paraId="21C905FA" w14:textId="77777777" w:rsidR="0065571E" w:rsidRDefault="00000000">
            <w:pPr>
              <w:jc w:val="center"/>
            </w:pPr>
            <w:r>
              <w:rPr>
                <w:sz w:val="18"/>
                <w:szCs w:val="18"/>
              </w:rPr>
              <w:t>31.3%</w:t>
            </w:r>
          </w:p>
        </w:tc>
      </w:tr>
      <w:tr w:rsidR="00973405" w14:paraId="148695AA" w14:textId="77777777">
        <w:tc>
          <w:tcPr>
            <w:tcW w:w="2600" w:type="dxa"/>
            <w:shd w:val="clear" w:color="auto" w:fill="FFFFFF"/>
            <w:tcMar>
              <w:top w:w="60" w:type="dxa"/>
              <w:left w:w="120" w:type="dxa"/>
              <w:bottom w:w="60" w:type="dxa"/>
              <w:right w:w="120" w:type="dxa"/>
            </w:tcMar>
            <w:vAlign w:val="center"/>
          </w:tcPr>
          <w:p w14:paraId="1B216C9E" w14:textId="77777777" w:rsidR="0065571E" w:rsidRDefault="00000000">
            <w:r>
              <w:rPr>
                <w:sz w:val="18"/>
                <w:szCs w:val="18"/>
              </w:rPr>
              <w:t>Net Profit Margin</w:t>
            </w:r>
          </w:p>
        </w:tc>
        <w:tc>
          <w:tcPr>
            <w:tcW w:w="1352" w:type="dxa"/>
            <w:shd w:val="clear" w:color="auto" w:fill="FFFFFF"/>
            <w:tcMar>
              <w:top w:w="60" w:type="dxa"/>
              <w:left w:w="120" w:type="dxa"/>
              <w:bottom w:w="60" w:type="dxa"/>
              <w:right w:w="120" w:type="dxa"/>
            </w:tcMar>
            <w:vAlign w:val="center"/>
          </w:tcPr>
          <w:p w14:paraId="6C50A989" w14:textId="77777777" w:rsidR="0065571E" w:rsidRDefault="00000000">
            <w:pPr>
              <w:jc w:val="center"/>
            </w:pPr>
            <w:r>
              <w:rPr>
                <w:sz w:val="18"/>
                <w:szCs w:val="18"/>
              </w:rPr>
              <w:t>5.8%</w:t>
            </w:r>
          </w:p>
        </w:tc>
        <w:tc>
          <w:tcPr>
            <w:tcW w:w="1352" w:type="dxa"/>
            <w:shd w:val="clear" w:color="auto" w:fill="FFFFFF"/>
            <w:tcMar>
              <w:top w:w="60" w:type="dxa"/>
              <w:left w:w="120" w:type="dxa"/>
              <w:bottom w:w="60" w:type="dxa"/>
              <w:right w:w="120" w:type="dxa"/>
            </w:tcMar>
            <w:vAlign w:val="center"/>
          </w:tcPr>
          <w:p w14:paraId="6D84D930" w14:textId="77777777" w:rsidR="0065571E" w:rsidRDefault="00000000">
            <w:pPr>
              <w:jc w:val="center"/>
            </w:pPr>
            <w:r>
              <w:rPr>
                <w:sz w:val="18"/>
                <w:szCs w:val="18"/>
              </w:rPr>
              <w:t>8.5%</w:t>
            </w:r>
          </w:p>
        </w:tc>
        <w:tc>
          <w:tcPr>
            <w:tcW w:w="1352" w:type="dxa"/>
            <w:shd w:val="clear" w:color="auto" w:fill="FFFFFF"/>
            <w:tcMar>
              <w:top w:w="60" w:type="dxa"/>
              <w:left w:w="120" w:type="dxa"/>
              <w:bottom w:w="60" w:type="dxa"/>
              <w:right w:w="120" w:type="dxa"/>
            </w:tcMar>
            <w:vAlign w:val="center"/>
          </w:tcPr>
          <w:p w14:paraId="1C8D0059" w14:textId="77777777" w:rsidR="0065571E" w:rsidRDefault="00000000">
            <w:pPr>
              <w:jc w:val="center"/>
            </w:pPr>
            <w:r>
              <w:rPr>
                <w:sz w:val="18"/>
                <w:szCs w:val="18"/>
              </w:rPr>
              <w:t>7.3%</w:t>
            </w:r>
          </w:p>
        </w:tc>
        <w:tc>
          <w:tcPr>
            <w:tcW w:w="1352" w:type="dxa"/>
            <w:shd w:val="clear" w:color="auto" w:fill="FFFFFF"/>
            <w:tcMar>
              <w:top w:w="60" w:type="dxa"/>
              <w:left w:w="120" w:type="dxa"/>
              <w:bottom w:w="60" w:type="dxa"/>
              <w:right w:w="120" w:type="dxa"/>
            </w:tcMar>
            <w:vAlign w:val="center"/>
          </w:tcPr>
          <w:p w14:paraId="68531E30" w14:textId="77777777" w:rsidR="0065571E" w:rsidRDefault="00000000">
            <w:pPr>
              <w:jc w:val="center"/>
            </w:pPr>
            <w:r>
              <w:rPr>
                <w:sz w:val="18"/>
                <w:szCs w:val="18"/>
              </w:rPr>
              <w:t>9.0%</w:t>
            </w:r>
          </w:p>
        </w:tc>
        <w:tc>
          <w:tcPr>
            <w:tcW w:w="1352" w:type="dxa"/>
            <w:shd w:val="clear" w:color="auto" w:fill="FFFFFF"/>
            <w:tcMar>
              <w:top w:w="60" w:type="dxa"/>
              <w:left w:w="120" w:type="dxa"/>
              <w:bottom w:w="60" w:type="dxa"/>
              <w:right w:w="120" w:type="dxa"/>
            </w:tcMar>
            <w:vAlign w:val="center"/>
          </w:tcPr>
          <w:p w14:paraId="57B9F8B1" w14:textId="77777777" w:rsidR="0065571E" w:rsidRDefault="00000000">
            <w:pPr>
              <w:jc w:val="center"/>
            </w:pPr>
            <w:r>
              <w:rPr>
                <w:sz w:val="18"/>
                <w:szCs w:val="18"/>
              </w:rPr>
              <w:t>11.2%</w:t>
            </w:r>
          </w:p>
        </w:tc>
      </w:tr>
      <w:tr w:rsidR="00973405" w14:paraId="642B480F" w14:textId="77777777">
        <w:tc>
          <w:tcPr>
            <w:tcW w:w="2600" w:type="dxa"/>
            <w:shd w:val="clear" w:color="auto" w:fill="F2F2F2"/>
            <w:tcMar>
              <w:top w:w="60" w:type="dxa"/>
              <w:left w:w="120" w:type="dxa"/>
              <w:bottom w:w="60" w:type="dxa"/>
              <w:right w:w="120" w:type="dxa"/>
            </w:tcMar>
            <w:vAlign w:val="center"/>
          </w:tcPr>
          <w:p w14:paraId="0A285BCD" w14:textId="77777777" w:rsidR="0065571E" w:rsidRDefault="00000000">
            <w:r>
              <w:rPr>
                <w:sz w:val="18"/>
                <w:szCs w:val="18"/>
              </w:rPr>
              <w:t>Return on Equity</w:t>
            </w:r>
          </w:p>
        </w:tc>
        <w:tc>
          <w:tcPr>
            <w:tcW w:w="1352" w:type="dxa"/>
            <w:shd w:val="clear" w:color="auto" w:fill="FFFFFF"/>
            <w:tcMar>
              <w:top w:w="60" w:type="dxa"/>
              <w:left w:w="120" w:type="dxa"/>
              <w:bottom w:w="60" w:type="dxa"/>
              <w:right w:w="120" w:type="dxa"/>
            </w:tcMar>
            <w:vAlign w:val="center"/>
          </w:tcPr>
          <w:p w14:paraId="49566E0F" w14:textId="77777777" w:rsidR="0065571E" w:rsidRDefault="00000000">
            <w:pPr>
              <w:jc w:val="center"/>
            </w:pPr>
            <w:r>
              <w:rPr>
                <w:sz w:val="18"/>
                <w:szCs w:val="18"/>
              </w:rPr>
              <w:t>11.4%</w:t>
            </w:r>
          </w:p>
        </w:tc>
        <w:tc>
          <w:tcPr>
            <w:tcW w:w="1352" w:type="dxa"/>
            <w:shd w:val="clear" w:color="auto" w:fill="FFFFFF"/>
            <w:tcMar>
              <w:top w:w="60" w:type="dxa"/>
              <w:left w:w="120" w:type="dxa"/>
              <w:bottom w:w="60" w:type="dxa"/>
              <w:right w:w="120" w:type="dxa"/>
            </w:tcMar>
            <w:vAlign w:val="center"/>
          </w:tcPr>
          <w:p w14:paraId="13C92432" w14:textId="77777777" w:rsidR="0065571E" w:rsidRDefault="00000000">
            <w:pPr>
              <w:jc w:val="center"/>
            </w:pPr>
            <w:r>
              <w:rPr>
                <w:sz w:val="18"/>
                <w:szCs w:val="18"/>
              </w:rPr>
              <w:t>18.4%</w:t>
            </w:r>
          </w:p>
        </w:tc>
        <w:tc>
          <w:tcPr>
            <w:tcW w:w="1352" w:type="dxa"/>
            <w:shd w:val="clear" w:color="auto" w:fill="FFFFFF"/>
            <w:tcMar>
              <w:top w:w="60" w:type="dxa"/>
              <w:left w:w="120" w:type="dxa"/>
              <w:bottom w:w="60" w:type="dxa"/>
              <w:right w:w="120" w:type="dxa"/>
            </w:tcMar>
            <w:vAlign w:val="center"/>
          </w:tcPr>
          <w:p w14:paraId="267E577A" w14:textId="77777777" w:rsidR="0065571E" w:rsidRDefault="00000000">
            <w:pPr>
              <w:jc w:val="center"/>
            </w:pPr>
            <w:r>
              <w:rPr>
                <w:sz w:val="18"/>
                <w:szCs w:val="18"/>
              </w:rPr>
              <w:t>15.6%</w:t>
            </w:r>
          </w:p>
        </w:tc>
        <w:tc>
          <w:tcPr>
            <w:tcW w:w="1352" w:type="dxa"/>
            <w:shd w:val="clear" w:color="auto" w:fill="FFFFFF"/>
            <w:tcMar>
              <w:top w:w="60" w:type="dxa"/>
              <w:left w:w="120" w:type="dxa"/>
              <w:bottom w:w="60" w:type="dxa"/>
              <w:right w:w="120" w:type="dxa"/>
            </w:tcMar>
            <w:vAlign w:val="center"/>
          </w:tcPr>
          <w:p w14:paraId="57EE9778" w14:textId="77777777" w:rsidR="0065571E" w:rsidRDefault="00000000">
            <w:pPr>
              <w:jc w:val="center"/>
            </w:pPr>
            <w:r>
              <w:rPr>
                <w:sz w:val="18"/>
                <w:szCs w:val="18"/>
              </w:rPr>
              <w:t>16.3%</w:t>
            </w:r>
          </w:p>
        </w:tc>
        <w:tc>
          <w:tcPr>
            <w:tcW w:w="1352" w:type="dxa"/>
            <w:shd w:val="clear" w:color="auto" w:fill="FFFFFF"/>
            <w:tcMar>
              <w:top w:w="60" w:type="dxa"/>
              <w:left w:w="120" w:type="dxa"/>
              <w:bottom w:w="60" w:type="dxa"/>
              <w:right w:w="120" w:type="dxa"/>
            </w:tcMar>
            <w:vAlign w:val="center"/>
          </w:tcPr>
          <w:p w14:paraId="7735C09D" w14:textId="77777777" w:rsidR="0065571E" w:rsidRDefault="00000000">
            <w:pPr>
              <w:jc w:val="center"/>
            </w:pPr>
            <w:r>
              <w:rPr>
                <w:sz w:val="18"/>
                <w:szCs w:val="18"/>
              </w:rPr>
              <w:t>22.3%</w:t>
            </w:r>
          </w:p>
        </w:tc>
      </w:tr>
      <w:tr w:rsidR="00973405" w14:paraId="0D10759D" w14:textId="77777777">
        <w:tc>
          <w:tcPr>
            <w:tcW w:w="2600" w:type="dxa"/>
            <w:shd w:val="clear" w:color="auto" w:fill="FFFFFF"/>
            <w:tcMar>
              <w:top w:w="60" w:type="dxa"/>
              <w:left w:w="120" w:type="dxa"/>
              <w:bottom w:w="60" w:type="dxa"/>
              <w:right w:w="120" w:type="dxa"/>
            </w:tcMar>
            <w:vAlign w:val="center"/>
          </w:tcPr>
          <w:p w14:paraId="6B785F8F" w14:textId="77777777" w:rsidR="0065571E" w:rsidRDefault="00000000">
            <w:r>
              <w:rPr>
                <w:sz w:val="18"/>
                <w:szCs w:val="18"/>
              </w:rPr>
              <w:t>Debt-to-Equity</w:t>
            </w:r>
          </w:p>
        </w:tc>
        <w:tc>
          <w:tcPr>
            <w:tcW w:w="1352" w:type="dxa"/>
            <w:shd w:val="clear" w:color="auto" w:fill="FFFFFF"/>
            <w:tcMar>
              <w:top w:w="60" w:type="dxa"/>
              <w:left w:w="120" w:type="dxa"/>
              <w:bottom w:w="60" w:type="dxa"/>
              <w:right w:w="120" w:type="dxa"/>
            </w:tcMar>
            <w:vAlign w:val="center"/>
          </w:tcPr>
          <w:p w14:paraId="03F6D150" w14:textId="77777777" w:rsidR="0065571E" w:rsidRDefault="00000000">
            <w:pPr>
              <w:jc w:val="center"/>
            </w:pPr>
            <w:r>
              <w:rPr>
                <w:sz w:val="18"/>
                <w:szCs w:val="18"/>
              </w:rPr>
              <w:t>3.6%</w:t>
            </w:r>
          </w:p>
        </w:tc>
        <w:tc>
          <w:tcPr>
            <w:tcW w:w="1352" w:type="dxa"/>
            <w:shd w:val="clear" w:color="auto" w:fill="FFFFFF"/>
            <w:tcMar>
              <w:top w:w="60" w:type="dxa"/>
              <w:left w:w="120" w:type="dxa"/>
              <w:bottom w:w="60" w:type="dxa"/>
              <w:right w:w="120" w:type="dxa"/>
            </w:tcMar>
            <w:vAlign w:val="center"/>
          </w:tcPr>
          <w:p w14:paraId="2EC88DF4" w14:textId="77777777" w:rsidR="0065571E" w:rsidRDefault="00000000">
            <w:pPr>
              <w:jc w:val="center"/>
            </w:pPr>
            <w:r>
              <w:rPr>
                <w:sz w:val="18"/>
                <w:szCs w:val="18"/>
              </w:rPr>
              <w:t>9.5%</w:t>
            </w:r>
          </w:p>
        </w:tc>
        <w:tc>
          <w:tcPr>
            <w:tcW w:w="1352" w:type="dxa"/>
            <w:shd w:val="clear" w:color="auto" w:fill="FFFFFF"/>
            <w:tcMar>
              <w:top w:w="60" w:type="dxa"/>
              <w:left w:w="120" w:type="dxa"/>
              <w:bottom w:w="60" w:type="dxa"/>
              <w:right w:w="120" w:type="dxa"/>
            </w:tcMar>
            <w:vAlign w:val="center"/>
          </w:tcPr>
          <w:p w14:paraId="5EFAA3B4" w14:textId="77777777" w:rsidR="0065571E" w:rsidRDefault="00000000">
            <w:pPr>
              <w:jc w:val="center"/>
            </w:pPr>
            <w:r>
              <w:rPr>
                <w:sz w:val="18"/>
                <w:szCs w:val="18"/>
              </w:rPr>
              <w:t>11.9%</w:t>
            </w:r>
          </w:p>
        </w:tc>
        <w:tc>
          <w:tcPr>
            <w:tcW w:w="1352" w:type="dxa"/>
            <w:shd w:val="clear" w:color="auto" w:fill="FFFFFF"/>
            <w:tcMar>
              <w:top w:w="60" w:type="dxa"/>
              <w:left w:w="120" w:type="dxa"/>
              <w:bottom w:w="60" w:type="dxa"/>
              <w:right w:w="120" w:type="dxa"/>
            </w:tcMar>
            <w:vAlign w:val="center"/>
          </w:tcPr>
          <w:p w14:paraId="506716F7" w14:textId="77777777" w:rsidR="0065571E" w:rsidRDefault="00000000">
            <w:pPr>
              <w:jc w:val="center"/>
            </w:pPr>
            <w:r>
              <w:rPr>
                <w:sz w:val="18"/>
                <w:szCs w:val="18"/>
              </w:rPr>
              <w:t>6.7%</w:t>
            </w:r>
          </w:p>
        </w:tc>
        <w:tc>
          <w:tcPr>
            <w:tcW w:w="1352" w:type="dxa"/>
            <w:shd w:val="clear" w:color="auto" w:fill="FFFFFF"/>
            <w:tcMar>
              <w:top w:w="60" w:type="dxa"/>
              <w:left w:w="120" w:type="dxa"/>
              <w:bottom w:w="60" w:type="dxa"/>
              <w:right w:w="120" w:type="dxa"/>
            </w:tcMar>
            <w:vAlign w:val="center"/>
          </w:tcPr>
          <w:p w14:paraId="1DE8F51F" w14:textId="77777777" w:rsidR="0065571E" w:rsidRDefault="00000000">
            <w:pPr>
              <w:jc w:val="center"/>
            </w:pPr>
            <w:r>
              <w:rPr>
                <w:sz w:val="18"/>
                <w:szCs w:val="18"/>
              </w:rPr>
              <w:t>2.1%</w:t>
            </w:r>
          </w:p>
        </w:tc>
      </w:tr>
      <w:tr w:rsidR="00973405" w14:paraId="1C868E33" w14:textId="77777777">
        <w:tc>
          <w:tcPr>
            <w:tcW w:w="2600" w:type="dxa"/>
            <w:shd w:val="clear" w:color="auto" w:fill="F2F2F2"/>
            <w:tcMar>
              <w:top w:w="60" w:type="dxa"/>
              <w:left w:w="120" w:type="dxa"/>
              <w:bottom w:w="60" w:type="dxa"/>
              <w:right w:w="120" w:type="dxa"/>
            </w:tcMar>
            <w:vAlign w:val="center"/>
          </w:tcPr>
          <w:p w14:paraId="4B7CC939" w14:textId="77777777" w:rsidR="0065571E" w:rsidRDefault="00000000">
            <w:r>
              <w:rPr>
                <w:sz w:val="18"/>
                <w:szCs w:val="18"/>
              </w:rPr>
              <w:t>Interest Coverage</w:t>
            </w:r>
          </w:p>
        </w:tc>
        <w:tc>
          <w:tcPr>
            <w:tcW w:w="1352" w:type="dxa"/>
            <w:shd w:val="clear" w:color="auto" w:fill="FFFFFF"/>
            <w:tcMar>
              <w:top w:w="60" w:type="dxa"/>
              <w:left w:w="120" w:type="dxa"/>
              <w:bottom w:w="60" w:type="dxa"/>
              <w:right w:w="120" w:type="dxa"/>
            </w:tcMar>
            <w:vAlign w:val="center"/>
          </w:tcPr>
          <w:p w14:paraId="0D406A99" w14:textId="77777777" w:rsidR="0065571E" w:rsidRDefault="00000000">
            <w:pPr>
              <w:jc w:val="center"/>
            </w:pPr>
            <w:r>
              <w:rPr>
                <w:sz w:val="18"/>
                <w:szCs w:val="18"/>
              </w:rPr>
              <w:t>36.5x</w:t>
            </w:r>
          </w:p>
        </w:tc>
        <w:tc>
          <w:tcPr>
            <w:tcW w:w="1352" w:type="dxa"/>
            <w:shd w:val="clear" w:color="auto" w:fill="FFFFFF"/>
            <w:tcMar>
              <w:top w:w="60" w:type="dxa"/>
              <w:left w:w="120" w:type="dxa"/>
              <w:bottom w:w="60" w:type="dxa"/>
              <w:right w:w="120" w:type="dxa"/>
            </w:tcMar>
            <w:vAlign w:val="center"/>
          </w:tcPr>
          <w:p w14:paraId="7B462FB8" w14:textId="77777777" w:rsidR="0065571E" w:rsidRDefault="00000000">
            <w:pPr>
              <w:jc w:val="center"/>
            </w:pPr>
            <w:r>
              <w:rPr>
                <w:sz w:val="18"/>
                <w:szCs w:val="18"/>
              </w:rPr>
              <w:t>38.3x</w:t>
            </w:r>
          </w:p>
        </w:tc>
        <w:tc>
          <w:tcPr>
            <w:tcW w:w="1352" w:type="dxa"/>
            <w:shd w:val="clear" w:color="auto" w:fill="FFFFFF"/>
            <w:tcMar>
              <w:top w:w="60" w:type="dxa"/>
              <w:left w:w="120" w:type="dxa"/>
              <w:bottom w:w="60" w:type="dxa"/>
              <w:right w:w="120" w:type="dxa"/>
            </w:tcMar>
            <w:vAlign w:val="center"/>
          </w:tcPr>
          <w:p w14:paraId="4EA19244" w14:textId="77777777" w:rsidR="0065571E" w:rsidRDefault="00000000">
            <w:pPr>
              <w:jc w:val="center"/>
            </w:pPr>
            <w:r>
              <w:rPr>
                <w:sz w:val="18"/>
                <w:szCs w:val="18"/>
              </w:rPr>
              <w:t>11.5x</w:t>
            </w:r>
          </w:p>
        </w:tc>
        <w:tc>
          <w:tcPr>
            <w:tcW w:w="1352" w:type="dxa"/>
            <w:shd w:val="clear" w:color="auto" w:fill="FFFFFF"/>
            <w:tcMar>
              <w:top w:w="60" w:type="dxa"/>
              <w:left w:w="120" w:type="dxa"/>
              <w:bottom w:w="60" w:type="dxa"/>
              <w:right w:w="120" w:type="dxa"/>
            </w:tcMar>
            <w:vAlign w:val="center"/>
          </w:tcPr>
          <w:p w14:paraId="27750E40" w14:textId="77777777" w:rsidR="0065571E" w:rsidRDefault="00000000">
            <w:pPr>
              <w:jc w:val="center"/>
            </w:pPr>
            <w:r>
              <w:rPr>
                <w:sz w:val="18"/>
                <w:szCs w:val="18"/>
              </w:rPr>
              <w:t>9.2x</w:t>
            </w:r>
          </w:p>
        </w:tc>
        <w:tc>
          <w:tcPr>
            <w:tcW w:w="1352" w:type="dxa"/>
            <w:shd w:val="clear" w:color="auto" w:fill="FFFFFF"/>
            <w:tcMar>
              <w:top w:w="60" w:type="dxa"/>
              <w:left w:w="120" w:type="dxa"/>
              <w:bottom w:w="60" w:type="dxa"/>
              <w:right w:w="120" w:type="dxa"/>
            </w:tcMar>
            <w:vAlign w:val="center"/>
          </w:tcPr>
          <w:p w14:paraId="50B07508" w14:textId="77777777" w:rsidR="0065571E" w:rsidRDefault="00000000">
            <w:pPr>
              <w:jc w:val="center"/>
            </w:pPr>
            <w:r>
              <w:rPr>
                <w:sz w:val="18"/>
                <w:szCs w:val="18"/>
              </w:rPr>
              <w:t>52.9x</w:t>
            </w:r>
          </w:p>
        </w:tc>
      </w:tr>
      <w:tr w:rsidR="00973405" w14:paraId="7636A3FA" w14:textId="77777777">
        <w:tc>
          <w:tcPr>
            <w:tcW w:w="2600" w:type="dxa"/>
            <w:shd w:val="clear" w:color="auto" w:fill="FFFFFF"/>
            <w:tcMar>
              <w:top w:w="60" w:type="dxa"/>
              <w:left w:w="120" w:type="dxa"/>
              <w:bottom w:w="60" w:type="dxa"/>
              <w:right w:w="120" w:type="dxa"/>
            </w:tcMar>
            <w:vAlign w:val="center"/>
          </w:tcPr>
          <w:p w14:paraId="7109E948" w14:textId="77777777" w:rsidR="0065571E" w:rsidRDefault="00000000">
            <w:r>
              <w:rPr>
                <w:sz w:val="18"/>
                <w:szCs w:val="18"/>
              </w:rPr>
              <w:t>Cash Conversion Cycle</w:t>
            </w:r>
          </w:p>
        </w:tc>
        <w:tc>
          <w:tcPr>
            <w:tcW w:w="1352" w:type="dxa"/>
            <w:shd w:val="clear" w:color="auto" w:fill="FFFFFF"/>
            <w:tcMar>
              <w:top w:w="60" w:type="dxa"/>
              <w:left w:w="120" w:type="dxa"/>
              <w:bottom w:w="60" w:type="dxa"/>
              <w:right w:w="120" w:type="dxa"/>
            </w:tcMar>
            <w:vAlign w:val="center"/>
          </w:tcPr>
          <w:p w14:paraId="2447562F" w14:textId="77777777" w:rsidR="0065571E" w:rsidRDefault="0065571E">
            <w:pPr>
              <w:jc w:val="center"/>
            </w:pPr>
          </w:p>
        </w:tc>
        <w:tc>
          <w:tcPr>
            <w:tcW w:w="1352" w:type="dxa"/>
            <w:shd w:val="clear" w:color="auto" w:fill="FFFFFF"/>
            <w:tcMar>
              <w:top w:w="60" w:type="dxa"/>
              <w:left w:w="120" w:type="dxa"/>
              <w:bottom w:w="60" w:type="dxa"/>
              <w:right w:w="120" w:type="dxa"/>
            </w:tcMar>
            <w:vAlign w:val="center"/>
          </w:tcPr>
          <w:p w14:paraId="5FC2199F" w14:textId="77777777" w:rsidR="0065571E" w:rsidRDefault="00000000">
            <w:pPr>
              <w:jc w:val="center"/>
            </w:pPr>
            <w:r>
              <w:rPr>
                <w:sz w:val="18"/>
                <w:szCs w:val="18"/>
              </w:rPr>
              <w:t>58.3 days</w:t>
            </w:r>
          </w:p>
        </w:tc>
        <w:tc>
          <w:tcPr>
            <w:tcW w:w="1352" w:type="dxa"/>
            <w:shd w:val="clear" w:color="auto" w:fill="FFFFFF"/>
            <w:tcMar>
              <w:top w:w="60" w:type="dxa"/>
              <w:left w:w="120" w:type="dxa"/>
              <w:bottom w:w="60" w:type="dxa"/>
              <w:right w:w="120" w:type="dxa"/>
            </w:tcMar>
            <w:vAlign w:val="center"/>
          </w:tcPr>
          <w:p w14:paraId="345DCCB8" w14:textId="77777777" w:rsidR="0065571E" w:rsidRDefault="00000000">
            <w:pPr>
              <w:jc w:val="center"/>
            </w:pPr>
            <w:r>
              <w:rPr>
                <w:sz w:val="18"/>
                <w:szCs w:val="18"/>
              </w:rPr>
              <w:t>76.1 days</w:t>
            </w:r>
          </w:p>
        </w:tc>
        <w:tc>
          <w:tcPr>
            <w:tcW w:w="1352" w:type="dxa"/>
            <w:shd w:val="clear" w:color="auto" w:fill="FFFFFF"/>
            <w:tcMar>
              <w:top w:w="60" w:type="dxa"/>
              <w:left w:w="120" w:type="dxa"/>
              <w:bottom w:w="60" w:type="dxa"/>
              <w:right w:w="120" w:type="dxa"/>
            </w:tcMar>
            <w:vAlign w:val="center"/>
          </w:tcPr>
          <w:p w14:paraId="0D836E29" w14:textId="77777777" w:rsidR="0065571E" w:rsidRDefault="00000000">
            <w:pPr>
              <w:jc w:val="center"/>
            </w:pPr>
            <w:r>
              <w:rPr>
                <w:sz w:val="18"/>
                <w:szCs w:val="18"/>
              </w:rPr>
              <w:t>90.2 days</w:t>
            </w:r>
          </w:p>
        </w:tc>
        <w:tc>
          <w:tcPr>
            <w:tcW w:w="1352" w:type="dxa"/>
            <w:shd w:val="clear" w:color="auto" w:fill="FFFFFF"/>
            <w:tcMar>
              <w:top w:w="60" w:type="dxa"/>
              <w:left w:w="120" w:type="dxa"/>
              <w:bottom w:w="60" w:type="dxa"/>
              <w:right w:w="120" w:type="dxa"/>
            </w:tcMar>
            <w:vAlign w:val="center"/>
          </w:tcPr>
          <w:p w14:paraId="0625E108" w14:textId="77777777" w:rsidR="0065571E" w:rsidRDefault="00000000">
            <w:pPr>
              <w:jc w:val="center"/>
            </w:pPr>
            <w:r>
              <w:rPr>
                <w:sz w:val="18"/>
                <w:szCs w:val="18"/>
              </w:rPr>
              <w:t>62.0 days</w:t>
            </w:r>
          </w:p>
        </w:tc>
      </w:tr>
    </w:tbl>
    <w:p w14:paraId="293DB73E" w14:textId="77777777" w:rsidR="0065571E" w:rsidRDefault="00000000">
      <w:pPr>
        <w:spacing w:before="40" w:after="140"/>
        <w:jc w:val="center"/>
        <w:rPr>
          <w:i/>
          <w:iCs/>
          <w:color w:val="595959"/>
          <w:sz w:val="18"/>
          <w:szCs w:val="18"/>
        </w:rPr>
      </w:pPr>
      <w:r>
        <w:rPr>
          <w:i/>
          <w:iCs/>
          <w:color w:val="595959"/>
          <w:sz w:val="18"/>
          <w:szCs w:val="18"/>
        </w:rPr>
        <w:t>Table 4.2: Tiger Brands Selected Financial Ratios FY2021–FY2025. Source: Author's Financial Analysis Model.</w:t>
      </w:r>
    </w:p>
    <w:p w14:paraId="3FAB7E18" w14:textId="77777777" w:rsidR="0023254A" w:rsidRDefault="0023254A">
      <w:pPr>
        <w:spacing w:before="40" w:after="140"/>
        <w:jc w:val="center"/>
        <w:rPr>
          <w:i/>
          <w:iCs/>
          <w:color w:val="595959"/>
          <w:sz w:val="18"/>
          <w:szCs w:val="18"/>
        </w:rPr>
      </w:pPr>
    </w:p>
    <w:p w14:paraId="31113DE1" w14:textId="77777777" w:rsidR="0023254A" w:rsidRDefault="0023254A">
      <w:pPr>
        <w:spacing w:before="40" w:after="140"/>
        <w:jc w:val="center"/>
      </w:pPr>
    </w:p>
    <w:p w14:paraId="7D7FAE6F" w14:textId="77777777" w:rsidR="0065571E" w:rsidRPr="0023254A" w:rsidRDefault="0023254A" w:rsidP="008E3CB7">
      <w:pPr>
        <w:spacing w:after="120"/>
        <w:jc w:val="both"/>
        <w:rPr>
          <w:sz w:val="24"/>
          <w:szCs w:val="24"/>
        </w:rPr>
      </w:pPr>
      <w:r>
        <w:rPr>
          <w:color w:val="1A1A1A"/>
          <w:sz w:val="24"/>
          <w:szCs w:val="24"/>
        </w:rPr>
        <w:t xml:space="preserve">The solvency chart reveals a powerful deleveraging story. Debt-to-Assets peaked at 8.1% in FY2023, driven by the short-term borrowing drawn down during the working capital crisis, before declining to just 1.3% in FY2025 as Tiger Brands repaid borrowings using its recovering operating cash flows. Simultaneously, the interest coverage ratio collapsed from 38.3x in FY2022 to a precarious 9.2x in FY2024 as finance costs surged on elevated debt then rebounded explosively to 52.9x in FY2025 when both EBIT recovered and the debt was substantially repaid. The combination of near-zero leverages and exceptional interest coverage gives Tiger Brands significant financial flexibility to fund the next phase of growth, whether through increased capital expenditure, bolt-on acquisitions, or increased returns to </w:t>
      </w:r>
      <w:r>
        <w:rPr>
          <w:color w:val="1A1A1A"/>
          <w:sz w:val="24"/>
          <w:szCs w:val="24"/>
        </w:rPr>
        <w:lastRenderedPageBreak/>
        <w:t>shareholders</w:t>
      </w:r>
      <w:r>
        <w:rPr>
          <w:noProof/>
        </w:rPr>
        <w:drawing>
          <wp:inline distT="0" distB="0" distL="0" distR="0" wp14:anchorId="4A71D028" wp14:editId="0B4B6334">
            <wp:extent cx="6553200" cy="2362200"/>
            <wp:effectExtent l="0" t="0" r="0" b="0"/>
            <wp:docPr id="40" name="Chart 40">
              <a:extLst xmlns:a="http://schemas.openxmlformats.org/drawingml/2006/main">
                <a:ext uri="{FF2B5EF4-FFF2-40B4-BE49-F238E27FC236}">
                  <a16:creationId xmlns:a16="http://schemas.microsoft.com/office/drawing/2014/main" id="{BE47F34C-FFF7-0502-15AD-D5060FD70D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653E664" w14:textId="77777777" w:rsidR="00F05A2C" w:rsidRPr="00DB5BD3" w:rsidRDefault="00F05A2C" w:rsidP="008E3CB7">
      <w:pPr>
        <w:pStyle w:val="Heading2"/>
        <w:jc w:val="both"/>
        <w:rPr>
          <w:b w:val="0"/>
          <w:bCs w:val="0"/>
          <w:color w:val="auto"/>
        </w:rPr>
      </w:pPr>
    </w:p>
    <w:p w14:paraId="7BBA4CC9" w14:textId="24B20D14" w:rsidR="0023254A" w:rsidRDefault="00DB5BD3" w:rsidP="008E3CB7">
      <w:pPr>
        <w:pStyle w:val="Heading2"/>
        <w:jc w:val="both"/>
        <w:rPr>
          <w:b w:val="0"/>
          <w:bCs w:val="0"/>
          <w:color w:val="auto"/>
        </w:rPr>
      </w:pPr>
      <w:r>
        <w:rPr>
          <w:b w:val="0"/>
          <w:bCs w:val="0"/>
          <w:color w:val="auto"/>
        </w:rPr>
        <w:t>The dividend cover ratio declined from a peak of 2.09x in FY2022 to 1.15x in FY2025, following the board's permanent policy reset from 1.75x to 1.15x</w:t>
      </w:r>
      <w:r w:rsidR="00A3252F">
        <w:rPr>
          <w:b w:val="0"/>
          <w:bCs w:val="0"/>
          <w:color w:val="auto"/>
        </w:rPr>
        <w:t>,</w:t>
      </w:r>
      <w:r>
        <w:rPr>
          <w:b w:val="0"/>
          <w:bCs w:val="0"/>
          <w:color w:val="auto"/>
        </w:rPr>
        <w:t xml:space="preserve"> implying a</w:t>
      </w:r>
      <w:r w:rsidR="00A3252F">
        <w:rPr>
          <w:b w:val="0"/>
          <w:bCs w:val="0"/>
          <w:color w:val="auto"/>
        </w:rPr>
        <w:t>n</w:t>
      </w:r>
      <w:r>
        <w:rPr>
          <w:b w:val="0"/>
          <w:bCs w:val="0"/>
          <w:color w:val="auto"/>
        </w:rPr>
        <w:t xml:space="preserve"> approximately 87%. The FY2021 trough of 1.07x reflects </w:t>
      </w:r>
      <w:r w:rsidR="00A3252F">
        <w:rPr>
          <w:b w:val="0"/>
          <w:bCs w:val="0"/>
          <w:color w:val="auto"/>
        </w:rPr>
        <w:t xml:space="preserve">management's maintenance of dividends despite compressed earnings post-listeriosis, signalling a </w:t>
      </w:r>
      <w:r>
        <w:rPr>
          <w:b w:val="0"/>
          <w:bCs w:val="0"/>
          <w:color w:val="auto"/>
        </w:rPr>
        <w:t>commitment to shareholder returns even under stress. The FY2025 reset is not a sign of financial strain but a deliberate capital allocation decision with the balance sheet virtually debt-free and interest coverage at 52.9x, surplus cash is being returned to shareholders through both higher dividends and the active 1.5R1.5 billion share buyback programme.</w:t>
      </w:r>
    </w:p>
    <w:p w14:paraId="3520BFA5" w14:textId="77777777" w:rsidR="00DB5BD3" w:rsidRPr="00F9489E" w:rsidRDefault="00DB5BD3" w:rsidP="008E3CB7">
      <w:pPr>
        <w:pStyle w:val="Heading2"/>
        <w:jc w:val="both"/>
        <w:rPr>
          <w:noProof/>
        </w:rPr>
      </w:pPr>
      <w:r>
        <w:rPr>
          <w:noProof/>
        </w:rPr>
        <w:drawing>
          <wp:inline distT="0" distB="0" distL="0" distR="0" wp14:anchorId="66297F1B" wp14:editId="60FE1802">
            <wp:extent cx="6581775" cy="2009775"/>
            <wp:effectExtent l="0" t="0" r="9525" b="9525"/>
            <wp:docPr id="41" name="Chart 41">
              <a:extLst xmlns:a="http://schemas.openxmlformats.org/drawingml/2006/main">
                <a:ext uri="{FF2B5EF4-FFF2-40B4-BE49-F238E27FC236}">
                  <a16:creationId xmlns:a16="http://schemas.microsoft.com/office/drawing/2014/main" id="{504D8FA3-CCA4-0B53-0AFA-C613015C99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D33BB76" w14:textId="78400A14" w:rsidR="00DB5BD3" w:rsidRPr="00A3252F" w:rsidRDefault="00E008A8" w:rsidP="008E3CB7">
      <w:pPr>
        <w:pStyle w:val="Heading2"/>
        <w:jc w:val="both"/>
        <w:rPr>
          <w:noProof/>
        </w:rPr>
      </w:pPr>
      <w:r>
        <w:rPr>
          <w:noProof/>
        </w:rPr>
        <w:t xml:space="preserve">  </w:t>
      </w:r>
    </w:p>
    <w:p w14:paraId="14AB5A7D" w14:textId="77777777" w:rsidR="0065571E" w:rsidRPr="00F9489E" w:rsidRDefault="00000000" w:rsidP="008E3CB7">
      <w:pPr>
        <w:pStyle w:val="Heading2"/>
        <w:jc w:val="both"/>
        <w:rPr>
          <w:sz w:val="28"/>
          <w:szCs w:val="28"/>
        </w:rPr>
      </w:pPr>
      <w:r>
        <w:rPr>
          <w:sz w:val="28"/>
          <w:szCs w:val="28"/>
        </w:rPr>
        <w:t>4.6 Growth Metrics</w:t>
      </w:r>
    </w:p>
    <w:p w14:paraId="0CBB1EDE" w14:textId="4BCF9DCC" w:rsidR="006150E8" w:rsidRDefault="00D63182" w:rsidP="008E3CB7">
      <w:pPr>
        <w:spacing w:after="240"/>
        <w:jc w:val="both"/>
        <w:rPr>
          <w:sz w:val="24"/>
          <w:szCs w:val="24"/>
        </w:rPr>
      </w:pPr>
      <w:r>
        <w:rPr>
          <w:sz w:val="24"/>
          <w:szCs w:val="24"/>
        </w:rPr>
        <w:t>Revenue reached a historical peak of R37.4 billion in FY2023 before declining to R33.5 billion in FY2024 and recovering modestly to R34.4 billion in FY2025. Despite revenue remaining approximately 8% below its FY2023 peak, EBIT increased significantly from R3.1 billion in FY2023 to R3.8 billion in FY2025. This divergence between revenue and operating profit is the defining feature of the chart and suggests that Tiger Brands' cost leadership and operational efficiency initiatives are translating into stronger margins. Through SKU rationalisation, overhead optimisation</w:t>
      </w:r>
      <w:r w:rsidR="00A3252F">
        <w:rPr>
          <w:sz w:val="24"/>
          <w:szCs w:val="24"/>
        </w:rPr>
        <w:t>,</w:t>
      </w:r>
      <w:r>
        <w:rPr>
          <w:sz w:val="24"/>
          <w:szCs w:val="24"/>
        </w:rPr>
        <w:t xml:space="preserve"> and improved cost control, the company is generating substantially higher operating profit from a smaller revenue base. Looking ahead, revenue is forecast to increase steadily to R39.9 billion by FY2030E while EBIT rises to R4.6 billion, indicating continued margin expansion and sustained profitability growth.</w:t>
      </w:r>
    </w:p>
    <w:p w14:paraId="019BD9A2" w14:textId="77777777" w:rsidR="006150E8" w:rsidRDefault="006150E8" w:rsidP="008E3CB7">
      <w:pPr>
        <w:spacing w:after="240"/>
        <w:jc w:val="both"/>
        <w:rPr>
          <w:sz w:val="24"/>
          <w:szCs w:val="24"/>
        </w:rPr>
      </w:pPr>
      <w:r>
        <w:rPr>
          <w:noProof/>
        </w:rPr>
        <w:lastRenderedPageBreak/>
        <w:drawing>
          <wp:inline distT="0" distB="0" distL="0" distR="0" wp14:anchorId="0EEBDF78" wp14:editId="37A3FF13">
            <wp:extent cx="5598583" cy="3096684"/>
            <wp:effectExtent l="0" t="0" r="2540" b="8890"/>
            <wp:docPr id="43" name="Chart 43">
              <a:extLst xmlns:a="http://schemas.openxmlformats.org/drawingml/2006/main">
                <a:ext uri="{FF2B5EF4-FFF2-40B4-BE49-F238E27FC236}">
                  <a16:creationId xmlns:a16="http://schemas.microsoft.com/office/drawing/2014/main" id="{3E8959DF-5A3A-2FF6-DEA2-11F270C528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2F8CB0E" w14:textId="77777777" w:rsidR="006150E8" w:rsidRDefault="006150E8" w:rsidP="008E3CB7">
      <w:pPr>
        <w:spacing w:after="240"/>
        <w:jc w:val="both"/>
        <w:rPr>
          <w:sz w:val="24"/>
          <w:szCs w:val="24"/>
        </w:rPr>
      </w:pPr>
    </w:p>
    <w:p w14:paraId="2D92C290" w14:textId="77777777" w:rsidR="0084196C" w:rsidRDefault="0084196C" w:rsidP="008E3CB7">
      <w:pPr>
        <w:spacing w:after="240"/>
        <w:jc w:val="both"/>
        <w:rPr>
          <w:sz w:val="24"/>
          <w:szCs w:val="24"/>
        </w:rPr>
      </w:pPr>
      <w:r>
        <w:rPr>
          <w:sz w:val="24"/>
          <w:szCs w:val="24"/>
        </w:rPr>
        <w:t>The free cash flow profile highlights a significant disconnect between accounting profitability and cash generation. While EBIT remained above R2 billion throughout the period, free cash flow turned negative in FY2022 (-R357 million) and deteriorated further in FY2023 (-R842 million), indicating substantial cash absorption within the business despite positive operating earnings. Free cash flow subsequently rebounded to R1.98 billion in FY2024 before moderating to R1.09 billion in FY2025, suggesting an improvement in cash conversion and working capital efficiency. The volatility of free cash flow relative to the comparatively stable EBIT trend represents an important consideration for valuation, as sustained earnings growth does not automatically translate into cash generation. Accordingly, the DCF model incorporates conservative net working capital assumptions to reflect potential cash flow volatility and execution risk.</w:t>
      </w:r>
    </w:p>
    <w:p w14:paraId="723ED185" w14:textId="77777777" w:rsidR="00DA1160" w:rsidRDefault="00DA1160" w:rsidP="008E3CB7">
      <w:pPr>
        <w:spacing w:after="240"/>
        <w:jc w:val="both"/>
        <w:rPr>
          <w:sz w:val="24"/>
          <w:szCs w:val="24"/>
        </w:rPr>
      </w:pPr>
      <w:r>
        <w:rPr>
          <w:noProof/>
        </w:rPr>
        <w:drawing>
          <wp:inline distT="0" distB="0" distL="0" distR="0" wp14:anchorId="3ED35069" wp14:editId="4BC09EDD">
            <wp:extent cx="6534150" cy="2009775"/>
            <wp:effectExtent l="0" t="0" r="0" b="9525"/>
            <wp:docPr id="48" name="Chart 48">
              <a:extLst xmlns:a="http://schemas.openxmlformats.org/drawingml/2006/main">
                <a:ext uri="{FF2B5EF4-FFF2-40B4-BE49-F238E27FC236}">
                  <a16:creationId xmlns:a16="http://schemas.microsoft.com/office/drawing/2014/main" id="{46C169DD-DAAC-A126-D680-31C7CCB74B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EF8D8E5" w14:textId="77777777" w:rsidR="00F05A2C" w:rsidRDefault="00F05A2C" w:rsidP="008E3CB7">
      <w:pPr>
        <w:spacing w:before="60" w:after="60"/>
        <w:jc w:val="both"/>
      </w:pPr>
    </w:p>
    <w:p w14:paraId="5BA5B383" w14:textId="77777777" w:rsidR="0084196C" w:rsidRDefault="0084196C" w:rsidP="008E3CB7">
      <w:pPr>
        <w:spacing w:before="60" w:after="60"/>
        <w:jc w:val="both"/>
      </w:pPr>
    </w:p>
    <w:p w14:paraId="095E472C" w14:textId="77777777" w:rsidR="00A3252F" w:rsidRDefault="00A3252F" w:rsidP="008E3CB7">
      <w:pPr>
        <w:spacing w:before="60" w:after="60"/>
        <w:jc w:val="both"/>
      </w:pPr>
    </w:p>
    <w:p w14:paraId="3DCD31DE" w14:textId="77777777" w:rsidR="00A3252F" w:rsidRDefault="00A3252F" w:rsidP="008E3CB7">
      <w:pPr>
        <w:spacing w:before="60" w:after="60"/>
        <w:jc w:val="both"/>
      </w:pPr>
    </w:p>
    <w:p w14:paraId="62839B3D" w14:textId="77777777" w:rsidR="00A3252F" w:rsidRDefault="00A3252F" w:rsidP="008E3CB7">
      <w:pPr>
        <w:spacing w:before="60" w:after="60"/>
        <w:jc w:val="both"/>
      </w:pPr>
    </w:p>
    <w:p w14:paraId="5FF74E59" w14:textId="77777777" w:rsidR="00A3252F" w:rsidRDefault="00A3252F" w:rsidP="008E3CB7">
      <w:pPr>
        <w:spacing w:before="60" w:after="60"/>
        <w:jc w:val="both"/>
      </w:pPr>
    </w:p>
    <w:p w14:paraId="792538E0" w14:textId="77777777" w:rsidR="00A3252F" w:rsidRDefault="00A3252F" w:rsidP="008E3CB7">
      <w:pPr>
        <w:spacing w:before="60" w:after="60"/>
        <w:jc w:val="both"/>
      </w:pPr>
    </w:p>
    <w:p w14:paraId="7EE49F33" w14:textId="77777777" w:rsidR="0084196C" w:rsidRPr="003F0A20" w:rsidRDefault="0084196C" w:rsidP="008E3CB7">
      <w:pPr>
        <w:spacing w:after="240"/>
        <w:jc w:val="both"/>
        <w:rPr>
          <w:sz w:val="24"/>
          <w:szCs w:val="24"/>
        </w:rPr>
      </w:pPr>
      <w:r>
        <w:rPr>
          <w:b/>
          <w:bCs/>
          <w:color w:val="1F3864"/>
          <w:sz w:val="28"/>
          <w:szCs w:val="28"/>
        </w:rPr>
        <w:lastRenderedPageBreak/>
        <w:t>5. Forecasting Methodology &amp; Macroeconomic Alignment</w:t>
      </w:r>
    </w:p>
    <w:p w14:paraId="23BC55F9" w14:textId="77777777" w:rsidR="0084196C" w:rsidRPr="00F9489E" w:rsidRDefault="0084196C" w:rsidP="008E3CB7">
      <w:pPr>
        <w:pStyle w:val="Heading2"/>
        <w:jc w:val="both"/>
        <w:rPr>
          <w:sz w:val="28"/>
          <w:szCs w:val="28"/>
        </w:rPr>
      </w:pPr>
      <w:r>
        <w:rPr>
          <w:sz w:val="28"/>
          <w:szCs w:val="28"/>
        </w:rPr>
        <w:t>5.1 Top-Line Revenue: 3.02% Structural AAGR</w:t>
      </w:r>
    </w:p>
    <w:p w14:paraId="0B3B0169" w14:textId="77777777" w:rsidR="0084196C" w:rsidRPr="00F9489E" w:rsidRDefault="0084196C" w:rsidP="008E3CB7">
      <w:pPr>
        <w:spacing w:after="100"/>
        <w:jc w:val="both"/>
        <w:rPr>
          <w:sz w:val="24"/>
          <w:szCs w:val="24"/>
        </w:rPr>
      </w:pPr>
      <w:r>
        <w:rPr>
          <w:sz w:val="24"/>
          <w:szCs w:val="24"/>
        </w:rPr>
        <w:t>The five-year financial model (FY2026E–FY2030E) utilises a structural revenue growth baseline of 3.02% per annum. This specific vector represents the exact mathematical trailing average of historical Year-on-Year revenue movements between FY2021 and FY2025 (9.9%, 9.9%, -10.4%, 2.7%). Anchoring forward-looking projections near this normalised 3.02% vector ensures the model reflects Tiger Brands' defensive brand resilience while preventing the artificial over-expansion of long-term operational cash projections.</w:t>
      </w:r>
    </w:p>
    <w:p w14:paraId="71B1C559" w14:textId="77777777" w:rsidR="0084196C" w:rsidRDefault="0084196C" w:rsidP="0084196C">
      <w:pPr>
        <w:spacing w:after="100"/>
        <w:jc w:val="both"/>
      </w:pPr>
    </w:p>
    <w:p w14:paraId="4BECEDFA" w14:textId="77777777" w:rsidR="0084196C" w:rsidRDefault="0084196C" w:rsidP="0084196C">
      <w:pPr>
        <w:spacing w:after="100"/>
        <w:jc w:val="both"/>
      </w:pPr>
    </w:p>
    <w:p w14:paraId="5B727965" w14:textId="77777777" w:rsidR="0084196C" w:rsidRPr="00F9489E" w:rsidRDefault="0084196C" w:rsidP="0084196C">
      <w:pPr>
        <w:pStyle w:val="Heading2"/>
        <w:rPr>
          <w:sz w:val="28"/>
          <w:szCs w:val="28"/>
        </w:rPr>
      </w:pPr>
      <w:r>
        <w:rPr>
          <w:sz w:val="28"/>
          <w:szCs w:val="28"/>
        </w:rPr>
        <w:t>5.2 Why PPI Is Applied to Cost of Goods Sold (COGS)</w:t>
      </w:r>
    </w:p>
    <w:p w14:paraId="51A7EEE8" w14:textId="77777777" w:rsidR="0084196C" w:rsidRPr="000A56EE" w:rsidRDefault="0084196C" w:rsidP="008E3CB7">
      <w:pPr>
        <w:pStyle w:val="Heading2"/>
        <w:jc w:val="both"/>
        <w:rPr>
          <w:b w:val="0"/>
          <w:bCs w:val="0"/>
          <w:color w:val="000000" w:themeColor="text1"/>
        </w:rPr>
      </w:pPr>
      <w:r>
        <w:rPr>
          <w:b w:val="0"/>
          <w:bCs w:val="0"/>
          <w:color w:val="000000" w:themeColor="text1"/>
        </w:rPr>
        <w:t>The Cost of Sales (COGS) forecast is constructed by applying the annual Headline Producer Price Index (PPI) rate of 2.30% directly to the historical absolute cost base. This approach was deliberately selected because it aligns closely with the underlying cost structure of Tiger Brands and provides a more economically realistic measure of production cost inflation.</w:t>
      </w:r>
    </w:p>
    <w:p w14:paraId="3285249B" w14:textId="77777777" w:rsidR="0084196C" w:rsidRPr="000A56EE" w:rsidRDefault="0084196C" w:rsidP="008E3CB7">
      <w:pPr>
        <w:pStyle w:val="Heading2"/>
        <w:jc w:val="both"/>
        <w:rPr>
          <w:b w:val="0"/>
          <w:bCs w:val="0"/>
          <w:color w:val="000000" w:themeColor="text1"/>
        </w:rPr>
      </w:pPr>
      <w:r>
        <w:rPr>
          <w:b w:val="0"/>
          <w:bCs w:val="0"/>
          <w:color w:val="000000" w:themeColor="text1"/>
        </w:rPr>
        <w:t>Tiger Brands operates primarily as a food manufacturer, meaning that its Cost of Sales is driven largely by raw agricultural commodities such as wheat, maize, and sugar, together with packaging materials and factory energy costs. These inputs are incurred at the manufacturing stage and are therefore directly exposed to producer-level inflationary pressures.</w:t>
      </w:r>
    </w:p>
    <w:p w14:paraId="38DA1E7C" w14:textId="2403D367" w:rsidR="0084196C" w:rsidRPr="000A56EE" w:rsidRDefault="0084196C" w:rsidP="008E3CB7">
      <w:pPr>
        <w:pStyle w:val="Heading2"/>
        <w:jc w:val="both"/>
        <w:rPr>
          <w:b w:val="0"/>
          <w:bCs w:val="0"/>
          <w:color w:val="000000" w:themeColor="text1"/>
        </w:rPr>
      </w:pPr>
      <w:r>
        <w:rPr>
          <w:b w:val="0"/>
          <w:bCs w:val="0"/>
          <w:color w:val="000000" w:themeColor="text1"/>
        </w:rPr>
        <w:t>The Producer Price Index measures price changes at the factory-gate level, capturing the inflation experienced by producers and manufacturers before goods reach the retail market. As a result, PPI serves as the most appropriate indicator for forecasting Tiger Brands' production-related costs because it reflects movements in the company's actual operating input environment. By contrast, applying CPI to COGS would introduce a systematic error</w:t>
      </w:r>
      <w:r w:rsidR="00A3252F">
        <w:rPr>
          <w:b w:val="0"/>
          <w:bCs w:val="0"/>
          <w:color w:val="000000" w:themeColor="text1"/>
        </w:rPr>
        <w:t>.</w:t>
      </w:r>
      <w:r>
        <w:rPr>
          <w:b w:val="0"/>
          <w:bCs w:val="0"/>
          <w:color w:val="000000" w:themeColor="text1"/>
        </w:rPr>
        <w:t xml:space="preserve"> CPI captures retail consumer prices that already embed retailer margins, distribution markups, and logistics costs that Tiger Brands itself never incurs, making it structurally inappropriate for a manufacturing cost line.</w:t>
      </w:r>
    </w:p>
    <w:p w14:paraId="22D03C29" w14:textId="77777777" w:rsidR="0084196C" w:rsidRPr="000A56EE" w:rsidRDefault="0084196C" w:rsidP="008E3CB7">
      <w:pPr>
        <w:pStyle w:val="Heading2"/>
        <w:jc w:val="both"/>
        <w:rPr>
          <w:b w:val="0"/>
          <w:bCs w:val="0"/>
          <w:color w:val="000000" w:themeColor="text1"/>
        </w:rPr>
      </w:pPr>
      <w:r>
        <w:rPr>
          <w:b w:val="0"/>
          <w:bCs w:val="0"/>
          <w:color w:val="000000" w:themeColor="text1"/>
        </w:rPr>
        <w:t>To anchor this assumption in real data, Statistics South Africa confirmed that the Headline PPI for final manufacturing stood at 2.3% in March 2026, up from 1.8% in February 2026. Food products, beverages, and tobacco were among the primary positive contributors to this reading, confirming that the 2.30% rate used in the model is not an arbitrary estimate but is directly supported by the most recent official factory-gate inflation print at the time of modelling.</w:t>
      </w:r>
    </w:p>
    <w:p w14:paraId="29A0C4D1" w14:textId="77777777" w:rsidR="0084196C" w:rsidRPr="000A56EE" w:rsidRDefault="0084196C" w:rsidP="008E3CB7">
      <w:pPr>
        <w:pStyle w:val="Heading2"/>
        <w:jc w:val="both"/>
        <w:rPr>
          <w:b w:val="0"/>
          <w:bCs w:val="0"/>
          <w:color w:val="000000" w:themeColor="text1"/>
        </w:rPr>
      </w:pPr>
      <w:r>
        <w:rPr>
          <w:b w:val="0"/>
          <w:bCs w:val="0"/>
          <w:color w:val="000000" w:themeColor="text1"/>
        </w:rPr>
        <w:t>It must be acknowledged, however, that 2.30% is applied as a constant rate across the full five-year forecast horizon, which is a deliberate simplifying assumption. In reality, PPI fluctuates with global commodity cycles, domestic agricultural output, and rand exchange rate movements. This limitation is directly addressed through the scenario analysis, where a Bear Case PPI of 12.0% and a Bull Case PPI of 1.50% are applied to test the sensitivity of margins to input cost shocks, ensuring the model is not overly dependent on a single inflation outcome.</w:t>
      </w:r>
    </w:p>
    <w:p w14:paraId="6433BB2E" w14:textId="5DECBA6E" w:rsidR="002721C2" w:rsidRDefault="0084196C" w:rsidP="008E3CB7">
      <w:pPr>
        <w:pStyle w:val="Heading2"/>
        <w:jc w:val="both"/>
        <w:rPr>
          <w:b w:val="0"/>
          <w:bCs w:val="0"/>
          <w:color w:val="000000" w:themeColor="text1"/>
        </w:rPr>
      </w:pPr>
      <w:r>
        <w:rPr>
          <w:b w:val="0"/>
          <w:bCs w:val="0"/>
          <w:color w:val="000000" w:themeColor="text1"/>
        </w:rPr>
        <w:t xml:space="preserve">The practical effect of the Base Case choice is best understood through simple mechanical logic: because COGS grows at 2.30% while revenue grows at 3.02%, revenue expands faster than costs in every forecast year. This positive spread is precisely what drives gross margin expansion from 31.8% in FY2026E toward 33.2% by FY2030E. The gross margin does not </w:t>
      </w:r>
      <w:r>
        <w:rPr>
          <w:b w:val="0"/>
          <w:bCs w:val="0"/>
          <w:color w:val="000000" w:themeColor="text1"/>
        </w:rPr>
        <w:lastRenderedPageBreak/>
        <w:t>expand because Tiger Brands suddenly becomes more efficient</w:t>
      </w:r>
      <w:r w:rsidR="00534C0C">
        <w:rPr>
          <w:b w:val="0"/>
          <w:bCs w:val="0"/>
          <w:color w:val="000000" w:themeColor="text1"/>
        </w:rPr>
        <w:t>;</w:t>
      </w:r>
      <w:r>
        <w:rPr>
          <w:b w:val="0"/>
          <w:bCs w:val="0"/>
          <w:color w:val="000000" w:themeColor="text1"/>
        </w:rPr>
        <w:t xml:space="preserve"> it expands</w:t>
      </w:r>
      <w:r w:rsidR="00A3252F">
        <w:rPr>
          <w:b w:val="0"/>
          <w:bCs w:val="0"/>
          <w:color w:val="000000" w:themeColor="text1"/>
        </w:rPr>
        <w:t>. After all,</w:t>
      </w:r>
      <w:r>
        <w:rPr>
          <w:b w:val="0"/>
          <w:bCs w:val="0"/>
          <w:color w:val="000000" w:themeColor="text1"/>
        </w:rPr>
        <w:t xml:space="preserve"> industrial input costs, measured at the factory gate, are inflating more slowly than the company's ability to grow its sales. The choice of PPI over CPI for COGS is therefore not a minor modelling preference</w:t>
      </w:r>
      <w:r w:rsidR="00534C0C">
        <w:rPr>
          <w:b w:val="0"/>
          <w:bCs w:val="0"/>
          <w:color w:val="000000" w:themeColor="text1"/>
        </w:rPr>
        <w:t>;</w:t>
      </w:r>
      <w:r>
        <w:rPr>
          <w:b w:val="0"/>
          <w:bCs w:val="0"/>
          <w:color w:val="000000" w:themeColor="text1"/>
        </w:rPr>
        <w:t xml:space="preserve"> it is the foundational assumption that makes the gross margin expansion thesis both mathematically consistent and economically defensible.</w:t>
      </w:r>
    </w:p>
    <w:p w14:paraId="17AB4A30" w14:textId="792D917F" w:rsidR="0084196C" w:rsidRDefault="002721C2" w:rsidP="008E3CB7">
      <w:pPr>
        <w:pStyle w:val="Heading2"/>
        <w:jc w:val="both"/>
        <w:rPr>
          <w:b w:val="0"/>
          <w:bCs w:val="0"/>
          <w:color w:val="000000" w:themeColor="text1"/>
        </w:rPr>
      </w:pPr>
      <w:r>
        <w:rPr>
          <w:b w:val="0"/>
          <w:bCs w:val="0"/>
          <w:color w:val="000000" w:themeColor="text1"/>
        </w:rPr>
        <w:t xml:space="preserve"> </w:t>
      </w:r>
    </w:p>
    <w:p w14:paraId="291B5141" w14:textId="3A08A84E" w:rsidR="0084196C" w:rsidRPr="002721C2" w:rsidRDefault="002721C2" w:rsidP="008E3CB7">
      <w:pPr>
        <w:pStyle w:val="Heading2"/>
        <w:jc w:val="both"/>
        <w:rPr>
          <w:b w:val="0"/>
          <w:bCs w:val="0"/>
          <w:color w:val="000000" w:themeColor="text1"/>
        </w:rPr>
      </w:pPr>
      <w:r>
        <w:rPr>
          <w:noProof/>
        </w:rPr>
        <w:drawing>
          <wp:inline distT="0" distB="0" distL="0" distR="0" wp14:anchorId="32989F68" wp14:editId="1A0B759F">
            <wp:extent cx="6553200" cy="3007995"/>
            <wp:effectExtent l="0" t="0" r="0" b="1905"/>
            <wp:docPr id="8" name="Chart 8">
              <a:extLst xmlns:a="http://schemas.openxmlformats.org/drawingml/2006/main">
                <a:ext uri="{FF2B5EF4-FFF2-40B4-BE49-F238E27FC236}">
                  <a16:creationId xmlns:a16="http://schemas.microsoft.com/office/drawing/2014/main" id="{BA225E58-8969-9005-8AB6-39310B9F79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8090009" w14:textId="77777777" w:rsidR="0084196C" w:rsidRPr="00F9489E" w:rsidRDefault="0084196C" w:rsidP="008E3CB7">
      <w:pPr>
        <w:pStyle w:val="Heading2"/>
        <w:jc w:val="both"/>
        <w:rPr>
          <w:sz w:val="28"/>
          <w:szCs w:val="28"/>
        </w:rPr>
      </w:pPr>
      <w:r>
        <w:rPr>
          <w:sz w:val="28"/>
          <w:szCs w:val="28"/>
        </w:rPr>
        <w:t>5.3 Why CPI Is Applied to Operating Expenses (OPEX)</w:t>
      </w:r>
    </w:p>
    <w:p w14:paraId="2C530F72" w14:textId="50BB0A6C" w:rsidR="0084196C" w:rsidRPr="00C14C60" w:rsidRDefault="0084196C" w:rsidP="008E3CB7">
      <w:pPr>
        <w:pStyle w:val="Heading2"/>
        <w:jc w:val="both"/>
        <w:rPr>
          <w:b w:val="0"/>
          <w:bCs w:val="0"/>
          <w:color w:val="000000" w:themeColor="text1"/>
        </w:rPr>
      </w:pPr>
      <w:r>
        <w:rPr>
          <w:b w:val="0"/>
          <w:bCs w:val="0"/>
          <w:color w:val="000000" w:themeColor="text1"/>
        </w:rPr>
        <w:t>While COGS is uniquely driven by the 2.30% Headline PPI to reflect factory-gate cost pressures, Total Operating Expenses (OPEX) are forecasted line-by-line at the 4.50% South African Headline CPI rate across all expense categories. This approach recognises that</w:t>
      </w:r>
      <w:r w:rsidR="00A3252F">
        <w:rPr>
          <w:b w:val="0"/>
          <w:bCs w:val="0"/>
          <w:color w:val="000000" w:themeColor="text1"/>
        </w:rPr>
        <w:t>,</w:t>
      </w:r>
      <w:r>
        <w:rPr>
          <w:b w:val="0"/>
          <w:bCs w:val="0"/>
          <w:color w:val="000000" w:themeColor="text1"/>
        </w:rPr>
        <w:t xml:space="preserve"> unlike COGS, which is exposed to producer-level commodity inflation, operating expenses are driven primarily by consumer-economy price dynamics</w:t>
      </w:r>
      <w:r w:rsidR="00A3252F">
        <w:rPr>
          <w:b w:val="0"/>
          <w:bCs w:val="0"/>
          <w:color w:val="000000" w:themeColor="text1"/>
        </w:rPr>
        <w:t>,</w:t>
      </w:r>
      <w:r>
        <w:rPr>
          <w:b w:val="0"/>
          <w:bCs w:val="0"/>
          <w:color w:val="000000" w:themeColor="text1"/>
        </w:rPr>
        <w:t xml:space="preserve"> the same general price environment that determines wage expectations, rental rates, service costs, and media pricing in the South African market.</w:t>
      </w:r>
    </w:p>
    <w:p w14:paraId="09844868" w14:textId="77777777" w:rsidR="0084196C" w:rsidRPr="00C14C60" w:rsidRDefault="0084196C" w:rsidP="008E3CB7">
      <w:pPr>
        <w:pStyle w:val="Heading2"/>
        <w:jc w:val="both"/>
        <w:rPr>
          <w:b w:val="0"/>
          <w:bCs w:val="0"/>
          <w:color w:val="000000" w:themeColor="text1"/>
        </w:rPr>
      </w:pPr>
      <w:r>
        <w:rPr>
          <w:b w:val="0"/>
          <w:bCs w:val="0"/>
          <w:color w:val="000000" w:themeColor="text1"/>
        </w:rPr>
        <w:t>Sales and Distribution Expenses are escalated at 4.50% CPI, reflecting the consumer-economy inflationary pressures on logistics costs such as fuel, driver wages, and warehouse rentals. While a composite factor incorporating volume growth could theoretically be applied, the standalone CPI rate was selected to maintain consistency across the OPEX framework and to avoid overstating the distribution cost trajectory given the uncertainty around Tiger Brands' volume recovery path over the forecast horizon.</w:t>
      </w:r>
    </w:p>
    <w:p w14:paraId="32DA75E7" w14:textId="0629F369" w:rsidR="0084196C" w:rsidRPr="00C14C60" w:rsidRDefault="0084196C" w:rsidP="008E3CB7">
      <w:pPr>
        <w:pStyle w:val="Heading2"/>
        <w:jc w:val="both"/>
        <w:rPr>
          <w:b w:val="0"/>
          <w:bCs w:val="0"/>
          <w:color w:val="000000" w:themeColor="text1"/>
        </w:rPr>
      </w:pPr>
      <w:r>
        <w:rPr>
          <w:b w:val="0"/>
          <w:bCs w:val="0"/>
          <w:color w:val="000000" w:themeColor="text1"/>
        </w:rPr>
        <w:t xml:space="preserve">Marketing Expenses </w:t>
      </w:r>
      <w:r w:rsidR="00A3252F">
        <w:rPr>
          <w:b w:val="0"/>
          <w:bCs w:val="0"/>
          <w:color w:val="000000" w:themeColor="text1"/>
        </w:rPr>
        <w:t>have</w:t>
      </w:r>
      <w:r>
        <w:rPr>
          <w:b w:val="0"/>
          <w:bCs w:val="0"/>
          <w:color w:val="000000" w:themeColor="text1"/>
        </w:rPr>
        <w:t xml:space="preserve"> also grown at 4.50% CPI. While one could argue that marketing spend should track revenue growth on the basis that management maintains a fixed budget as a proportion of sales, applying CPI is equally valid and arguably more conservative. Marketing agency fees, media buying costs, and advertising rates are all negotiated within the broader consumer economy and inflate accordingly, making CPI the more appropriate measure of the real cost pressure on this line item from the supplier side.</w:t>
      </w:r>
    </w:p>
    <w:p w14:paraId="01E9FAA2" w14:textId="29840C22" w:rsidR="0084196C" w:rsidRPr="00C14C60" w:rsidRDefault="0084196C" w:rsidP="008E3CB7">
      <w:pPr>
        <w:pStyle w:val="Heading2"/>
        <w:jc w:val="both"/>
        <w:rPr>
          <w:b w:val="0"/>
          <w:bCs w:val="0"/>
          <w:color w:val="000000" w:themeColor="text1"/>
        </w:rPr>
      </w:pPr>
      <w:r>
        <w:rPr>
          <w:b w:val="0"/>
          <w:bCs w:val="0"/>
          <w:color w:val="000000" w:themeColor="text1"/>
        </w:rPr>
        <w:t>Other Operating Expenses</w:t>
      </w:r>
      <w:r w:rsidR="00A3252F">
        <w:rPr>
          <w:b w:val="0"/>
          <w:bCs w:val="0"/>
          <w:color w:val="000000" w:themeColor="text1"/>
        </w:rPr>
        <w:t>,</w:t>
      </w:r>
      <w:r>
        <w:rPr>
          <w:b w:val="0"/>
          <w:bCs w:val="0"/>
          <w:color w:val="000000" w:themeColor="text1"/>
        </w:rPr>
        <w:t xml:space="preserve"> covering head office administration, software licences, executive payroll, and municipal service charges</w:t>
      </w:r>
      <w:r w:rsidR="00A3252F">
        <w:rPr>
          <w:b w:val="0"/>
          <w:bCs w:val="0"/>
          <w:color w:val="000000" w:themeColor="text1"/>
        </w:rPr>
        <w:t>,</w:t>
      </w:r>
      <w:r>
        <w:rPr>
          <w:b w:val="0"/>
          <w:bCs w:val="0"/>
          <w:color w:val="000000" w:themeColor="text1"/>
        </w:rPr>
        <w:t xml:space="preserve"> are the most natural fit for CPI escalation. These fixed corporate overheads have no direct connection to factory-floor commodity prices and are </w:t>
      </w:r>
      <w:r>
        <w:rPr>
          <w:b w:val="0"/>
          <w:bCs w:val="0"/>
          <w:color w:val="000000" w:themeColor="text1"/>
        </w:rPr>
        <w:lastRenderedPageBreak/>
        <w:t>instead determined entirely by the broader cost of living. CPI captures precisely the general price environment within which these costs are negotiated and incurred.</w:t>
      </w:r>
    </w:p>
    <w:p w14:paraId="0840D8EB" w14:textId="0FD2B962" w:rsidR="0084196C" w:rsidRPr="00C14C60" w:rsidRDefault="0084196C" w:rsidP="008E3CB7">
      <w:pPr>
        <w:pStyle w:val="Heading2"/>
        <w:jc w:val="both"/>
        <w:rPr>
          <w:b w:val="0"/>
          <w:bCs w:val="0"/>
          <w:color w:val="000000" w:themeColor="text1"/>
        </w:rPr>
      </w:pPr>
      <w:r>
        <w:rPr>
          <w:b w:val="0"/>
          <w:bCs w:val="0"/>
          <w:color w:val="000000" w:themeColor="text1"/>
        </w:rPr>
        <w:t xml:space="preserve">Sundry Income, which represents ancillary non-core inflows such as rental income from surplus factory space and proceeds from scrap material and by-product sales, </w:t>
      </w:r>
      <w:r w:rsidR="00A3252F">
        <w:rPr>
          <w:b w:val="0"/>
          <w:bCs w:val="0"/>
          <w:color w:val="000000" w:themeColor="text1"/>
        </w:rPr>
        <w:t>has</w:t>
      </w:r>
      <w:r>
        <w:rPr>
          <w:b w:val="0"/>
          <w:bCs w:val="0"/>
          <w:color w:val="000000" w:themeColor="text1"/>
        </w:rPr>
        <w:t xml:space="preserve"> also grown at 4.50% CPI. Property rental rates in South Africa escalate in line with the general cost of living, making CPI the natural benchmark for the rental component. Scrap material proceeds, while technically commodity-linked, are immaterial in absolute rand terms and do not warrant a separate commodity index. Growing Sundry Income at CPI is therefore both practical and conservative, reflecting the realistic pace at which these peripheral income streams would naturally appreciate without introducing speculative assumptions about commodity price cycles.</w:t>
      </w:r>
    </w:p>
    <w:p w14:paraId="3ACE6E77" w14:textId="2DE328CB" w:rsidR="003F0A20" w:rsidRPr="00025972" w:rsidRDefault="0084196C" w:rsidP="008E3CB7">
      <w:pPr>
        <w:pStyle w:val="Heading2"/>
        <w:jc w:val="both"/>
        <w:rPr>
          <w:b w:val="0"/>
          <w:bCs w:val="0"/>
          <w:color w:val="000000" w:themeColor="text1"/>
        </w:rPr>
      </w:pPr>
      <w:r>
        <w:rPr>
          <w:b w:val="0"/>
          <w:bCs w:val="0"/>
          <w:color w:val="000000" w:themeColor="text1"/>
        </w:rPr>
        <w:t>Applying a consistent 4.50% CPI rate across all OPEX lines and Sundry Income ensures internal model consistency and prevents the unnecessary compounding of multiple inflation assumptions. The differentiation between PPI for COGS and CPI for OPEX is not an arbitrary modelling preference</w:t>
      </w:r>
      <w:r w:rsidR="00534C0C">
        <w:rPr>
          <w:b w:val="0"/>
          <w:bCs w:val="0"/>
          <w:color w:val="000000" w:themeColor="text1"/>
        </w:rPr>
        <w:t>;</w:t>
      </w:r>
      <w:r>
        <w:rPr>
          <w:b w:val="0"/>
          <w:bCs w:val="0"/>
          <w:color w:val="000000" w:themeColor="text1"/>
        </w:rPr>
        <w:t xml:space="preserve"> it reflects a fundamental economic principle. Production input costs respond to factory-gate supply and commodity dynamics, which PPI tracks. Corporate overhead costs respond to the broader consumer economy, which CPI tracks. Conflating these two structurally different inflationary environments into a single index would produce a cost forecast that is neither accurate at the production level nor at the administrative level, ultimately distorting the margin structure and undermining the reliability of the valuation output.</w:t>
      </w:r>
    </w:p>
    <w:p w14:paraId="1C709374" w14:textId="77777777" w:rsidR="00F05A2C" w:rsidRDefault="00F05A2C">
      <w:pPr>
        <w:spacing w:before="60" w:after="60"/>
      </w:pPr>
    </w:p>
    <w:p w14:paraId="25D59798" w14:textId="77777777" w:rsidR="0065571E" w:rsidRPr="00F9489E" w:rsidRDefault="00000000">
      <w:pPr>
        <w:pStyle w:val="Heading2"/>
        <w:rPr>
          <w:sz w:val="28"/>
          <w:szCs w:val="28"/>
        </w:rPr>
      </w:pPr>
      <w:r>
        <w:rPr>
          <w:sz w:val="28"/>
          <w:szCs w:val="28"/>
        </w:rPr>
        <w:t>5.4 Finance Costs, Taxes &amp; Non-Operating Items</w:t>
      </w:r>
    </w:p>
    <w:p w14:paraId="0E255C84" w14:textId="77777777" w:rsidR="003F0A20" w:rsidRDefault="008F2169" w:rsidP="008E3CB7">
      <w:pPr>
        <w:pStyle w:val="Heading2"/>
        <w:jc w:val="both"/>
        <w:rPr>
          <w:b w:val="0"/>
          <w:bCs w:val="0"/>
          <w:color w:val="auto"/>
        </w:rPr>
      </w:pPr>
      <w:r>
        <w:rPr>
          <w:b w:val="0"/>
          <w:bCs w:val="0"/>
          <w:color w:val="auto"/>
        </w:rPr>
        <w:t xml:space="preserve">Finance costs are forecast dynamically by applying Tiger Brands’ historical blended interest rate to the projected outstanding debt balance, ensuring that finance expenses remain directly linked to changes in the company’s capital structure rather than being mechanically inflated over time. Finance income is projected using the historical average yield earned on cash and cash equivalents, allowing interest income to increase in line with the forecast cash balance. </w:t>
      </w:r>
    </w:p>
    <w:p w14:paraId="4A5AF391" w14:textId="77777777" w:rsidR="008F2169" w:rsidRPr="008F2169" w:rsidRDefault="008F2169" w:rsidP="008E3CB7">
      <w:pPr>
        <w:pStyle w:val="Heading2"/>
        <w:jc w:val="both"/>
        <w:rPr>
          <w:b w:val="0"/>
          <w:bCs w:val="0"/>
          <w:color w:val="auto"/>
        </w:rPr>
      </w:pPr>
      <w:r>
        <w:rPr>
          <w:b w:val="0"/>
          <w:bCs w:val="0"/>
          <w:color w:val="auto"/>
        </w:rPr>
        <w:t>Income from associated companies and investment income are maintained at the FY2025 baseline level throughout the forecast period, reflecting their relative independence from Tiger Brands’ core operating performance under IFRS equity accounting principles.</w:t>
      </w:r>
    </w:p>
    <w:p w14:paraId="1E3EE3AF" w14:textId="77777777" w:rsidR="008F2169" w:rsidRPr="008F2169" w:rsidRDefault="008F2169" w:rsidP="008E3CB7">
      <w:pPr>
        <w:pStyle w:val="Heading2"/>
        <w:jc w:val="both"/>
        <w:rPr>
          <w:b w:val="0"/>
          <w:bCs w:val="0"/>
          <w:color w:val="auto"/>
        </w:rPr>
      </w:pPr>
      <w:r>
        <w:rPr>
          <w:b w:val="0"/>
          <w:bCs w:val="0"/>
          <w:color w:val="auto"/>
        </w:rPr>
        <w:t>Taxation is forecast using the South African statutory corporate income tax rate of 27.0%, consistent with SARS guidelines. Applying the statutory rate avoids distortions that may arise from relying on historical effective tax rates, which can fluctuate due to once-off items, deferred tax adjustments, and non-operating accounting effects.</w:t>
      </w:r>
    </w:p>
    <w:p w14:paraId="6DB17A87" w14:textId="77777777" w:rsidR="00F9489E" w:rsidRPr="00F9489E" w:rsidRDefault="00000000" w:rsidP="008E3CB7">
      <w:pPr>
        <w:pStyle w:val="Heading2"/>
        <w:jc w:val="both"/>
        <w:rPr>
          <w:sz w:val="28"/>
          <w:szCs w:val="28"/>
        </w:rPr>
      </w:pPr>
      <w:r>
        <w:rPr>
          <w:sz w:val="28"/>
          <w:szCs w:val="28"/>
        </w:rPr>
        <w:t>5.5 Capital Expenditure &amp; PP&amp;E Roll-Forward</w:t>
      </w:r>
    </w:p>
    <w:p w14:paraId="4CB67199" w14:textId="77777777" w:rsidR="00A62B4D" w:rsidRPr="00F9489E" w:rsidRDefault="00A62B4D" w:rsidP="008E3CB7">
      <w:pPr>
        <w:spacing w:after="100"/>
        <w:jc w:val="both"/>
        <w:rPr>
          <w:sz w:val="24"/>
          <w:szCs w:val="24"/>
        </w:rPr>
      </w:pPr>
      <w:r>
        <w:rPr>
          <w:sz w:val="24"/>
          <w:szCs w:val="24"/>
        </w:rPr>
        <w:t>Capital expenditure (CapEx) is dynamically driven by multiplying each period's projected revenue by Tiger Brands’ historical, 3.16% CapEx-to-revenue ratio, ensuring that asset investment scales proportionally with business growth. Depreciation is calculated by applying the historical average depreciation and amortization rate of 15.83% to the opening net PP&amp;E balance. This method accurately reflects non-cash capital consumption in the income statement without double-counting costs already included in other operating expense lines.</w:t>
      </w:r>
    </w:p>
    <w:p w14:paraId="00F9146E" w14:textId="77777777" w:rsidR="005A4BFC" w:rsidRPr="00F9489E" w:rsidRDefault="005A4BFC" w:rsidP="008E3CB7">
      <w:pPr>
        <w:pStyle w:val="Heading2"/>
        <w:jc w:val="both"/>
        <w:rPr>
          <w:sz w:val="28"/>
          <w:szCs w:val="28"/>
        </w:rPr>
      </w:pPr>
      <w:r>
        <w:rPr>
          <w:sz w:val="28"/>
          <w:szCs w:val="28"/>
        </w:rPr>
        <w:t>5.6 Forecasting Assumptions: Balance Sheet &amp; Statement of Cash Flows</w:t>
      </w:r>
    </w:p>
    <w:p w14:paraId="6E916ECA" w14:textId="77777777" w:rsidR="005A4BFC" w:rsidRPr="005A4BFC" w:rsidRDefault="005A4BFC" w:rsidP="008E3CB7">
      <w:pPr>
        <w:spacing w:after="100"/>
        <w:jc w:val="both"/>
        <w:rPr>
          <w:sz w:val="24"/>
          <w:szCs w:val="24"/>
        </w:rPr>
      </w:pPr>
      <w:r>
        <w:rPr>
          <w:sz w:val="24"/>
          <w:szCs w:val="24"/>
        </w:rPr>
        <w:lastRenderedPageBreak/>
        <w:t>The balance sheet and cash flow forecasting assumptions reflect a deliberate combination of approaches, each selected based on the specific economic driver of the line item rather than applying a single uniform assumption across all figures.</w:t>
      </w:r>
    </w:p>
    <w:p w14:paraId="5C542961" w14:textId="1423CE50" w:rsidR="005A4BFC" w:rsidRPr="005A4BFC" w:rsidRDefault="005A4BFC" w:rsidP="008E3CB7">
      <w:pPr>
        <w:spacing w:after="100"/>
        <w:jc w:val="both"/>
        <w:rPr>
          <w:sz w:val="24"/>
          <w:szCs w:val="24"/>
        </w:rPr>
      </w:pPr>
      <w:r>
        <w:rPr>
          <w:sz w:val="24"/>
          <w:szCs w:val="24"/>
        </w:rPr>
        <w:t>Operational current assets</w:t>
      </w:r>
      <w:r w:rsidR="00A3252F">
        <w:rPr>
          <w:sz w:val="24"/>
          <w:szCs w:val="24"/>
        </w:rPr>
        <w:t xml:space="preserve">, </w:t>
      </w:r>
      <w:r>
        <w:rPr>
          <w:sz w:val="24"/>
          <w:szCs w:val="24"/>
        </w:rPr>
        <w:t>Inventories</w:t>
      </w:r>
      <w:r w:rsidR="00A3252F">
        <w:rPr>
          <w:sz w:val="24"/>
          <w:szCs w:val="24"/>
        </w:rPr>
        <w:t>,</w:t>
      </w:r>
      <w:r>
        <w:rPr>
          <w:sz w:val="24"/>
          <w:szCs w:val="24"/>
        </w:rPr>
        <w:t xml:space="preserve"> and Trade and Other Receivables are scaled using their historical average ratios to revenue, ensuring balances grow proportionately with commercial activity. Trade and Other Payables follow the same revenue-ratio approach, while Employee-Related Accruals are escalated at 4.50% CPI, consistent with the broader OPEX inflation framework.</w:t>
      </w:r>
    </w:p>
    <w:p w14:paraId="23C44622" w14:textId="77777777" w:rsidR="005A4BFC" w:rsidRPr="005A4BFC" w:rsidRDefault="005A4BFC" w:rsidP="008E3CB7">
      <w:pPr>
        <w:spacing w:after="100"/>
        <w:jc w:val="both"/>
        <w:rPr>
          <w:sz w:val="24"/>
          <w:szCs w:val="24"/>
        </w:rPr>
      </w:pPr>
      <w:r>
        <w:rPr>
          <w:sz w:val="24"/>
          <w:szCs w:val="24"/>
        </w:rPr>
        <w:t>Capital expenditure is anchored to a historical 3.00% CapEx-to-Revenue ratio. Lease repayments are held flat at the FY2025 baseline of R360 million, reflecting a stable leased asset portfolio. Intangible assets are carried forward with a 2.0% annual amortisation haircut.</w:t>
      </w:r>
    </w:p>
    <w:p w14:paraId="3BC33C4D" w14:textId="1D8901AF" w:rsidR="005A4BFC" w:rsidRPr="005A4BFC" w:rsidRDefault="005A4BFC" w:rsidP="008E3CB7">
      <w:pPr>
        <w:spacing w:after="100"/>
        <w:jc w:val="both"/>
        <w:rPr>
          <w:sz w:val="24"/>
          <w:szCs w:val="24"/>
        </w:rPr>
      </w:pPr>
      <w:r>
        <w:rPr>
          <w:sz w:val="24"/>
          <w:szCs w:val="24"/>
        </w:rPr>
        <w:t>Both long-term borrowings (R241 million) and short-term borrowings (R116 million) are held flat under the Ceteris Paribus assumption, consistent with management's post-turnaround commitment to a stable capital structure. Expected Credit Loss is held flat at R1 million</w:t>
      </w:r>
      <w:r w:rsidR="00A3252F">
        <w:rPr>
          <w:sz w:val="24"/>
          <w:szCs w:val="24"/>
        </w:rPr>
        <w:t>,</w:t>
      </w:r>
      <w:r>
        <w:rPr>
          <w:sz w:val="24"/>
          <w:szCs w:val="24"/>
        </w:rPr>
        <w:t xml:space="preserve"> applying the Principle of Prudence.</w:t>
      </w:r>
    </w:p>
    <w:p w14:paraId="4BED276B" w14:textId="2FFA0D40" w:rsidR="00F9489E" w:rsidRPr="005A4BFC" w:rsidRDefault="005A4BFC" w:rsidP="008E3CB7">
      <w:pPr>
        <w:spacing w:after="100"/>
        <w:jc w:val="both"/>
        <w:rPr>
          <w:sz w:val="24"/>
          <w:szCs w:val="24"/>
        </w:rPr>
      </w:pPr>
      <w:r>
        <w:rPr>
          <w:sz w:val="24"/>
          <w:szCs w:val="24"/>
        </w:rPr>
        <w:t>Cash and cash equivalents are not independently forecasted</w:t>
      </w:r>
      <w:r w:rsidR="00A3252F">
        <w:rPr>
          <w:sz w:val="24"/>
          <w:szCs w:val="24"/>
        </w:rPr>
        <w:t xml:space="preserve">; </w:t>
      </w:r>
      <w:r>
        <w:rPr>
          <w:sz w:val="24"/>
          <w:szCs w:val="24"/>
        </w:rPr>
        <w:t>they are the residual output of all operating, investing, and financing cash flow assumptions working together, accumulating progressively as free cash flow strengthens over the five-year horizon.</w:t>
      </w:r>
    </w:p>
    <w:p w14:paraId="640E1EB8" w14:textId="77777777" w:rsidR="00F9489E" w:rsidRPr="003F0A20" w:rsidRDefault="00000000" w:rsidP="008E3CB7">
      <w:pPr>
        <w:pStyle w:val="Heading2"/>
        <w:jc w:val="both"/>
        <w:rPr>
          <w:sz w:val="28"/>
          <w:szCs w:val="28"/>
        </w:rPr>
      </w:pPr>
      <w:r>
        <w:rPr>
          <w:sz w:val="28"/>
          <w:szCs w:val="28"/>
        </w:rPr>
        <w:t>5.7 Working Capital &amp; Cash Flow Architecture</w:t>
      </w:r>
    </w:p>
    <w:p w14:paraId="0CBD536F" w14:textId="7D4FE34B" w:rsidR="00586DB8" w:rsidRPr="00586DB8" w:rsidRDefault="00586DB8" w:rsidP="008E3CB7">
      <w:pPr>
        <w:spacing w:after="240"/>
        <w:jc w:val="both"/>
        <w:rPr>
          <w:sz w:val="24"/>
          <w:szCs w:val="24"/>
        </w:rPr>
      </w:pPr>
      <w:r>
        <w:rPr>
          <w:sz w:val="24"/>
          <w:szCs w:val="24"/>
        </w:rPr>
        <w:t xml:space="preserve">Net Working Capital is defined as Current Assets less Current Liabilities. The Change in Net Working Capital (ΔNWC) in each forecast year is calculated as the current period's NWC minus the prior period's </w:t>
      </w:r>
      <w:r w:rsidR="00A3252F">
        <w:rPr>
          <w:sz w:val="24"/>
          <w:szCs w:val="24"/>
        </w:rPr>
        <w:t>NWC. A</w:t>
      </w:r>
      <w:r>
        <w:rPr>
          <w:sz w:val="24"/>
          <w:szCs w:val="24"/>
        </w:rPr>
        <w:t xml:space="preserve"> positive change represents a cash outflow</w:t>
      </w:r>
      <w:r w:rsidR="00A3252F">
        <w:rPr>
          <w:sz w:val="24"/>
          <w:szCs w:val="24"/>
        </w:rPr>
        <w:t>,</w:t>
      </w:r>
      <w:r>
        <w:rPr>
          <w:sz w:val="24"/>
          <w:szCs w:val="24"/>
        </w:rPr>
        <w:t xml:space="preserve"> while a negative change represents cash being released back into the business. Rather than projecting individual balance sheet line items, which would introduce compounding distortions over a five-year horizon, ΔNWC is anchored to an operational proxy of -0.57% of revenue. This figure represents the historical average of Tiger Brands' NWC change relative to sales, reflecting the ongoing release of working capital through SKU rationalisation and improved inventory management. Tying it to revenue ensures working capital movements remain proportionate to the actual scale of business activity.</w:t>
      </w:r>
    </w:p>
    <w:p w14:paraId="79B0B30B" w14:textId="67E9EDBD" w:rsidR="009211DB" w:rsidRPr="003F0A20" w:rsidRDefault="00586DB8" w:rsidP="002721C2">
      <w:pPr>
        <w:spacing w:after="240"/>
        <w:jc w:val="both"/>
        <w:rPr>
          <w:sz w:val="24"/>
          <w:szCs w:val="24"/>
        </w:rPr>
      </w:pPr>
      <w:r>
        <w:rPr>
          <w:sz w:val="24"/>
          <w:szCs w:val="24"/>
        </w:rPr>
        <w:t xml:space="preserve">Cash Operating Profit </w:t>
      </w:r>
      <w:r w:rsidR="00A3252F">
        <w:rPr>
          <w:sz w:val="24"/>
          <w:szCs w:val="24"/>
        </w:rPr>
        <w:t>has</w:t>
      </w:r>
      <w:r>
        <w:rPr>
          <w:sz w:val="24"/>
          <w:szCs w:val="24"/>
        </w:rPr>
        <w:t xml:space="preserve"> grown at 9.01% per annum, representing the four-year historical average growth rate of this line item. This rate is deliberately higher than the 3.02% revenue growth assumption. The gap reflects Tiger Brands' ongoing operational efficiency gains and the structural savings from its Continuous Improvement programme during a turnaround phase</w:t>
      </w:r>
      <w:r w:rsidR="00A3252F">
        <w:rPr>
          <w:sz w:val="24"/>
          <w:szCs w:val="24"/>
        </w:rPr>
        <w:t>. It</w:t>
      </w:r>
      <w:r>
        <w:rPr>
          <w:sz w:val="24"/>
          <w:szCs w:val="24"/>
        </w:rPr>
        <w:t xml:space="preserve"> is both realistic and expected for cash generation to outpace revenue as costs are reduced faster than sales grow, producing disproportionately stronger cash profits relative to the top line.</w:t>
      </w:r>
    </w:p>
    <w:p w14:paraId="0AD1A243" w14:textId="77777777" w:rsidR="0065571E" w:rsidRPr="00F9489E" w:rsidRDefault="00000000">
      <w:pPr>
        <w:pStyle w:val="Heading1"/>
        <w:pBdr>
          <w:bottom w:val="single" w:sz="8" w:space="4" w:color="1F3864"/>
        </w:pBdr>
      </w:pPr>
      <w:r>
        <w:t>6. Valuation &amp; Graphical Evaluation</w:t>
      </w:r>
    </w:p>
    <w:p w14:paraId="274AA228" w14:textId="77777777" w:rsidR="0065571E" w:rsidRPr="00F9489E" w:rsidRDefault="00000000">
      <w:pPr>
        <w:pStyle w:val="Heading2"/>
        <w:rPr>
          <w:sz w:val="28"/>
          <w:szCs w:val="28"/>
        </w:rPr>
      </w:pPr>
      <w:r>
        <w:rPr>
          <w:sz w:val="28"/>
          <w:szCs w:val="28"/>
        </w:rPr>
        <w:t>6.1 Absolute Valuation: Discounted Cash Flow (DCF)</w:t>
      </w:r>
    </w:p>
    <w:p w14:paraId="753BACBF" w14:textId="226DA262" w:rsidR="00695493" w:rsidRPr="00F9489E" w:rsidRDefault="00000000" w:rsidP="008E3CB7">
      <w:pPr>
        <w:spacing w:after="100"/>
        <w:jc w:val="both"/>
        <w:rPr>
          <w:sz w:val="24"/>
          <w:szCs w:val="24"/>
        </w:rPr>
      </w:pPr>
      <w:r>
        <w:rPr>
          <w:sz w:val="24"/>
          <w:szCs w:val="24"/>
        </w:rPr>
        <w:t>The primary valuation framework employs an Unlevered Free Cash Flow (UFCF)</w:t>
      </w:r>
      <w:r w:rsidR="00A3252F">
        <w:rPr>
          <w:sz w:val="24"/>
          <w:szCs w:val="24"/>
        </w:rPr>
        <w:t>,</w:t>
      </w:r>
      <w:r>
        <w:rPr>
          <w:sz w:val="24"/>
          <w:szCs w:val="24"/>
        </w:rPr>
        <w:t xml:space="preserve"> also known as Free Cash Flow to the Firm (FCFF)</w:t>
      </w:r>
      <w:r w:rsidR="00534C0C">
        <w:rPr>
          <w:sz w:val="24"/>
          <w:szCs w:val="24"/>
        </w:rPr>
        <w:t>,</w:t>
      </w:r>
      <w:r>
        <w:rPr>
          <w:sz w:val="24"/>
          <w:szCs w:val="24"/>
        </w:rPr>
        <w:t xml:space="preserve"> discounted at Tiger Brands' Weighted Average Cost of Capital (WACC). FCFF isolates the total liquid cash generated by core operations available to all capital providers (debt and equity) after factory costs, operating taxes, working capital requirements, and CapEx have been fully funded.</w:t>
      </w:r>
    </w:p>
    <w:p w14:paraId="0D5F21E3" w14:textId="77777777" w:rsidR="0065571E" w:rsidRPr="00F9489E" w:rsidRDefault="00000000" w:rsidP="008E3CB7">
      <w:pPr>
        <w:pStyle w:val="Heading3"/>
        <w:jc w:val="both"/>
        <w:rPr>
          <w:sz w:val="24"/>
          <w:szCs w:val="24"/>
        </w:rPr>
      </w:pPr>
      <w:r>
        <w:rPr>
          <w:sz w:val="24"/>
          <w:szCs w:val="24"/>
        </w:rPr>
        <w:t>WACC Derivation</w:t>
      </w:r>
    </w:p>
    <w:p w14:paraId="15A3B6BE" w14:textId="77777777" w:rsidR="0065571E" w:rsidRPr="00F9489E" w:rsidRDefault="00000000" w:rsidP="008E3CB7">
      <w:pPr>
        <w:pStyle w:val="ListParagraph"/>
        <w:numPr>
          <w:ilvl w:val="0"/>
          <w:numId w:val="2"/>
        </w:numPr>
        <w:spacing w:after="60"/>
        <w:jc w:val="both"/>
        <w:rPr>
          <w:sz w:val="24"/>
          <w:szCs w:val="24"/>
        </w:rPr>
      </w:pPr>
      <w:r>
        <w:rPr>
          <w:sz w:val="24"/>
          <w:szCs w:val="24"/>
        </w:rPr>
        <w:t>Risk-Free Rate: 8.60% (South African 10-year government bond yield)</w:t>
      </w:r>
    </w:p>
    <w:p w14:paraId="44A6501E" w14:textId="77777777" w:rsidR="0065571E" w:rsidRPr="00F9489E" w:rsidRDefault="00000000" w:rsidP="008E3CB7">
      <w:pPr>
        <w:pStyle w:val="ListParagraph"/>
        <w:numPr>
          <w:ilvl w:val="0"/>
          <w:numId w:val="2"/>
        </w:numPr>
        <w:spacing w:after="60"/>
        <w:jc w:val="both"/>
        <w:rPr>
          <w:sz w:val="24"/>
          <w:szCs w:val="24"/>
        </w:rPr>
      </w:pPr>
      <w:r>
        <w:rPr>
          <w:sz w:val="24"/>
          <w:szCs w:val="24"/>
        </w:rPr>
        <w:lastRenderedPageBreak/>
        <w:t>Market Risk Premium: 6.6% (JSE expected market return minus risk-free rate)</w:t>
      </w:r>
    </w:p>
    <w:p w14:paraId="3B5C7879" w14:textId="77777777" w:rsidR="0065571E" w:rsidRPr="00F9489E" w:rsidRDefault="00000000" w:rsidP="008E3CB7">
      <w:pPr>
        <w:pStyle w:val="ListParagraph"/>
        <w:numPr>
          <w:ilvl w:val="0"/>
          <w:numId w:val="2"/>
        </w:numPr>
        <w:spacing w:after="60"/>
        <w:jc w:val="both"/>
        <w:rPr>
          <w:sz w:val="24"/>
          <w:szCs w:val="24"/>
        </w:rPr>
      </w:pPr>
      <w:r>
        <w:rPr>
          <w:sz w:val="24"/>
          <w:szCs w:val="24"/>
        </w:rPr>
        <w:t>Levered Beta: 0.02 (reflecting Tiger Brands' low systematic risk as a defensive consumer staples company)</w:t>
      </w:r>
    </w:p>
    <w:p w14:paraId="6586912C" w14:textId="77777777" w:rsidR="0065571E" w:rsidRPr="00F9489E" w:rsidRDefault="00000000" w:rsidP="008E3CB7">
      <w:pPr>
        <w:pStyle w:val="ListParagraph"/>
        <w:numPr>
          <w:ilvl w:val="0"/>
          <w:numId w:val="2"/>
        </w:numPr>
        <w:spacing w:after="60"/>
        <w:jc w:val="both"/>
        <w:rPr>
          <w:sz w:val="24"/>
          <w:szCs w:val="24"/>
        </w:rPr>
      </w:pPr>
      <w:r>
        <w:rPr>
          <w:sz w:val="24"/>
          <w:szCs w:val="24"/>
        </w:rPr>
        <w:t>Cost of Equity (CAPM): 8.56% = 8.60% + 0.02 × 6.8%</w:t>
      </w:r>
    </w:p>
    <w:p w14:paraId="767C2F4E" w14:textId="77777777" w:rsidR="0065571E" w:rsidRPr="00F9489E" w:rsidRDefault="00000000" w:rsidP="008E3CB7">
      <w:pPr>
        <w:pStyle w:val="ListParagraph"/>
        <w:numPr>
          <w:ilvl w:val="0"/>
          <w:numId w:val="2"/>
        </w:numPr>
        <w:spacing w:after="60"/>
        <w:jc w:val="both"/>
        <w:rPr>
          <w:sz w:val="24"/>
          <w:szCs w:val="24"/>
        </w:rPr>
      </w:pPr>
      <w:r>
        <w:rPr>
          <w:sz w:val="24"/>
          <w:szCs w:val="24"/>
        </w:rPr>
        <w:t>After-Tax Cost of Debt: 14.72% (pre-tax cost × [1 – 27% tax rate])</w:t>
      </w:r>
    </w:p>
    <w:p w14:paraId="152FB9E0" w14:textId="77777777" w:rsidR="0065571E" w:rsidRPr="00F9489E" w:rsidRDefault="00000000" w:rsidP="008E3CB7">
      <w:pPr>
        <w:pStyle w:val="ListParagraph"/>
        <w:numPr>
          <w:ilvl w:val="0"/>
          <w:numId w:val="2"/>
        </w:numPr>
        <w:spacing w:after="60"/>
        <w:jc w:val="both"/>
        <w:rPr>
          <w:sz w:val="24"/>
          <w:szCs w:val="24"/>
        </w:rPr>
      </w:pPr>
      <w:r>
        <w:rPr>
          <w:sz w:val="24"/>
          <w:szCs w:val="24"/>
        </w:rPr>
        <w:t>Capital Structure: D/(D+E) = 2.03%; E/(D+E) = 0.98</w:t>
      </w:r>
    </w:p>
    <w:p w14:paraId="62FA87A3" w14:textId="77777777" w:rsidR="0065571E" w:rsidRPr="003F0A20" w:rsidRDefault="00000000" w:rsidP="008E3CB7">
      <w:pPr>
        <w:pStyle w:val="ListParagraph"/>
        <w:numPr>
          <w:ilvl w:val="0"/>
          <w:numId w:val="2"/>
        </w:numPr>
        <w:spacing w:after="60"/>
        <w:jc w:val="both"/>
        <w:rPr>
          <w:sz w:val="24"/>
          <w:szCs w:val="24"/>
        </w:rPr>
      </w:pPr>
      <w:r>
        <w:rPr>
          <w:sz w:val="24"/>
          <w:szCs w:val="24"/>
        </w:rPr>
        <w:t>WACC: 8.68% (as computed in model; note: corrected CoE of 8.56% yields a theoretically precise WACC of 8.68%, with minimal impact on the implied share price)</w:t>
      </w:r>
    </w:p>
    <w:p w14:paraId="40325A12" w14:textId="77777777" w:rsidR="0065571E" w:rsidRPr="00F9489E" w:rsidRDefault="00000000" w:rsidP="008E3CB7">
      <w:pPr>
        <w:pStyle w:val="Heading3"/>
        <w:jc w:val="both"/>
        <w:rPr>
          <w:sz w:val="24"/>
          <w:szCs w:val="24"/>
        </w:rPr>
      </w:pPr>
      <w:r>
        <w:rPr>
          <w:sz w:val="24"/>
          <w:szCs w:val="24"/>
        </w:rPr>
        <w:t>Terminal Value</w:t>
      </w:r>
    </w:p>
    <w:p w14:paraId="66B646EB" w14:textId="77777777" w:rsidR="00695493" w:rsidRPr="00F9489E" w:rsidRDefault="00E84156" w:rsidP="008E3CB7">
      <w:pPr>
        <w:spacing w:after="100"/>
        <w:jc w:val="both"/>
        <w:rPr>
          <w:sz w:val="24"/>
          <w:szCs w:val="24"/>
        </w:rPr>
      </w:pPr>
      <w:r>
        <w:rPr>
          <w:sz w:val="24"/>
          <w:szCs w:val="24"/>
        </w:rPr>
        <w:t xml:space="preserve">The Terminal Value is calculated using the Gordon Growth Capitalisation Model, applying a perpetual growth rate (g) of 2.70%. This rate was selected as a conservative and realistic long-run growth assumption for a mature, defensive FMCG business operating in the South African market. It sits comfortably within the lower band of the South African Reserve Bank's inflation target range, reflecting the expectation that upon reaching operational maturity beyond the five-year forecast window, Tiger Brands' free cash flows will grow at a modest, inflation-anchored pace consistent with a business that has limited scope for aggressive volume expansion in a constrained consumer environment. </w:t>
      </w:r>
    </w:p>
    <w:p w14:paraId="79CB922A" w14:textId="77777777" w:rsidR="0065571E" w:rsidRPr="00F9489E" w:rsidRDefault="00E84156" w:rsidP="008E3CB7">
      <w:pPr>
        <w:spacing w:after="100"/>
        <w:jc w:val="both"/>
        <w:rPr>
          <w:sz w:val="24"/>
          <w:szCs w:val="24"/>
        </w:rPr>
      </w:pPr>
      <w:r>
        <w:rPr>
          <w:sz w:val="24"/>
          <w:szCs w:val="24"/>
        </w:rPr>
        <w:t>The resulting WACC-minus-g spread of 6.38% capitalises the terminal cash flow into a Terminal Value of R28,245 million, with a present value of R18,628 million.</w:t>
      </w:r>
    </w:p>
    <w:p w14:paraId="11B34B93" w14:textId="77777777" w:rsidR="00695493" w:rsidRPr="00F9489E" w:rsidRDefault="00695493" w:rsidP="008E3CB7">
      <w:pPr>
        <w:spacing w:after="100"/>
        <w:jc w:val="both"/>
        <w:rPr>
          <w:sz w:val="24"/>
          <w:szCs w:val="24"/>
        </w:rPr>
      </w:pPr>
    </w:p>
    <w:p w14:paraId="2666F2B0" w14:textId="77777777" w:rsidR="0065571E" w:rsidRPr="00F9489E" w:rsidRDefault="00000000" w:rsidP="008E3CB7">
      <w:pPr>
        <w:pStyle w:val="Heading3"/>
        <w:jc w:val="both"/>
        <w:rPr>
          <w:sz w:val="24"/>
          <w:szCs w:val="24"/>
        </w:rPr>
      </w:pPr>
      <w:r>
        <w:rPr>
          <w:sz w:val="24"/>
          <w:szCs w:val="24"/>
        </w:rPr>
        <w:t>Implied Share Price Derivation</w:t>
      </w:r>
    </w:p>
    <w:p w14:paraId="56790AD3" w14:textId="77777777" w:rsidR="0065571E" w:rsidRPr="00F9489E" w:rsidRDefault="00000000" w:rsidP="008E3CB7">
      <w:pPr>
        <w:spacing w:after="100"/>
        <w:jc w:val="both"/>
        <w:rPr>
          <w:sz w:val="24"/>
          <w:szCs w:val="24"/>
        </w:rPr>
      </w:pPr>
      <w:r>
        <w:rPr>
          <w:sz w:val="24"/>
          <w:szCs w:val="24"/>
        </w:rPr>
        <w:t>Sum of PV of FCF (FY2026E–FY2030E): R6,216.1 million. PV of Terminal Value: R18,628 million. Enterprise Value: R46,261 million. Adding Cash (R3,069m), subtracting Debt (R357m) and Minority Interest (R255m) yields an Equity Value of R48,718 million. Dividing by diluted shares outstanding of 150.58 million produces an implied intrinsic share price of R323.50. Note: the finalised model incorporating the updated terminal growth rate of 2.70% and revised FCF projections produces the reported intrinsic value of R327.60 per share as shown in the DCF sheet.</w:t>
      </w:r>
    </w:p>
    <w:p w14:paraId="7CA12607" w14:textId="38117874" w:rsidR="0065571E" w:rsidRPr="00F9489E" w:rsidRDefault="00000000" w:rsidP="008E3CB7">
      <w:pPr>
        <w:spacing w:after="100"/>
        <w:jc w:val="both"/>
        <w:rPr>
          <w:sz w:val="24"/>
          <w:szCs w:val="24"/>
        </w:rPr>
      </w:pPr>
      <w:r>
        <w:rPr>
          <w:sz w:val="24"/>
          <w:szCs w:val="24"/>
        </w:rPr>
        <w:t>With the JSE market trading at R284</w:t>
      </w:r>
      <w:r w:rsidR="00C8244C">
        <w:rPr>
          <w:sz w:val="24"/>
          <w:szCs w:val="24"/>
        </w:rPr>
        <w:t>.</w:t>
      </w:r>
      <w:r>
        <w:rPr>
          <w:sz w:val="24"/>
          <w:szCs w:val="24"/>
        </w:rPr>
        <w:t>43</w:t>
      </w:r>
      <w:r w:rsidR="00C8244C">
        <w:rPr>
          <w:sz w:val="24"/>
          <w:szCs w:val="24"/>
        </w:rPr>
        <w:t xml:space="preserve"> </w:t>
      </w:r>
      <w:r>
        <w:rPr>
          <w:sz w:val="24"/>
          <w:szCs w:val="24"/>
        </w:rPr>
        <w:t>(approximately R284.43 at the time of model construction), the intrinsic value represents a +15.18% premium</w:t>
      </w:r>
      <w:r w:rsidR="00A3252F">
        <w:rPr>
          <w:sz w:val="24"/>
          <w:szCs w:val="24"/>
        </w:rPr>
        <w:t>,</w:t>
      </w:r>
      <w:r>
        <w:rPr>
          <w:sz w:val="24"/>
          <w:szCs w:val="24"/>
        </w:rPr>
        <w:t xml:space="preserve"> indicating the stock is undervalued relative to its fundamental worth, supporting our </w:t>
      </w:r>
      <w:r>
        <w:rPr>
          <w:b/>
          <w:bCs/>
          <w:sz w:val="24"/>
          <w:szCs w:val="24"/>
        </w:rPr>
        <w:t>BUY</w:t>
      </w:r>
      <w:r>
        <w:rPr>
          <w:sz w:val="24"/>
          <w:szCs w:val="24"/>
        </w:rPr>
        <w:t xml:space="preserve"> recommendation, indicating that the stock is currently trading at a meaningful discount to its fundamental worth</w:t>
      </w:r>
      <w:r w:rsidR="00534C0C">
        <w:rPr>
          <w:sz w:val="24"/>
          <w:szCs w:val="24"/>
        </w:rPr>
        <w:t>.</w:t>
      </w:r>
    </w:p>
    <w:p w14:paraId="4D3CD187" w14:textId="77777777" w:rsidR="00593F3F" w:rsidRDefault="00593F3F" w:rsidP="002B4B5D">
      <w:pPr>
        <w:pStyle w:val="Heading2"/>
        <w:rPr>
          <w:noProof/>
        </w:rPr>
      </w:pPr>
    </w:p>
    <w:p w14:paraId="313F12F8" w14:textId="77777777" w:rsidR="00F05A2C" w:rsidRDefault="00000000">
      <w:pPr>
        <w:spacing w:before="60" w:after="80"/>
      </w:pPr>
      <w:r>
        <w:rPr>
          <w:i/>
          <w:iCs/>
          <w:color w:val="404040"/>
          <w:sz w:val="18"/>
          <w:szCs w:val="18"/>
        </w:rPr>
        <w:t>Figure 6.1: DCF Intrinsic Value vs Current Market Price (R per share)</w:t>
      </w:r>
    </w:p>
    <w:p w14:paraId="5BC76F49" w14:textId="77777777" w:rsidR="003106EE" w:rsidRDefault="0084196C">
      <w:pPr>
        <w:spacing w:after="100"/>
        <w:jc w:val="both"/>
      </w:pPr>
      <w:r>
        <w:rPr>
          <w:noProof/>
        </w:rPr>
        <w:drawing>
          <wp:inline distT="0" distB="0" distL="0" distR="0" wp14:anchorId="37FF9643" wp14:editId="63344960">
            <wp:extent cx="6610350" cy="1676400"/>
            <wp:effectExtent l="0" t="0" r="0" b="0"/>
            <wp:docPr id="46" name="Chart 46">
              <a:extLst xmlns:a="http://schemas.openxmlformats.org/drawingml/2006/main">
                <a:ext uri="{FF2B5EF4-FFF2-40B4-BE49-F238E27FC236}">
                  <a16:creationId xmlns:a16="http://schemas.microsoft.com/office/drawing/2014/main" id="{A988210A-8418-0DF3-52EE-7274E2305C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D053065" w14:textId="77777777" w:rsidR="003C0648" w:rsidRDefault="003C0648">
      <w:pPr>
        <w:spacing w:after="100"/>
        <w:jc w:val="both"/>
      </w:pPr>
    </w:p>
    <w:p w14:paraId="1B1E433F" w14:textId="6DE86A9C" w:rsidR="008E3CB7" w:rsidRDefault="008E3CB7" w:rsidP="008E3CB7">
      <w:pPr>
        <w:spacing w:before="80" w:after="80"/>
        <w:jc w:val="both"/>
        <w:rPr>
          <w:color w:val="1A1A1A"/>
          <w:sz w:val="24"/>
          <w:szCs w:val="24"/>
        </w:rPr>
      </w:pPr>
      <w:r>
        <w:rPr>
          <w:color w:val="1A1A1A"/>
          <w:sz w:val="24"/>
          <w:szCs w:val="24"/>
        </w:rPr>
        <w:t>The gross margin trajectory chart</w:t>
      </w:r>
      <w:r w:rsidR="00FE0ACD">
        <w:rPr>
          <w:color w:val="1A1A1A"/>
          <w:sz w:val="24"/>
          <w:szCs w:val="24"/>
        </w:rPr>
        <w:t xml:space="preserve"> below</w:t>
      </w:r>
      <w:r>
        <w:rPr>
          <w:color w:val="1A1A1A"/>
          <w:sz w:val="24"/>
          <w:szCs w:val="24"/>
        </w:rPr>
        <w:t xml:space="preserve"> demonstrates the structural foundation of the DCF model’s valuation. Actual gross margins (FY2021–FY2025) show a clear V-shape recovery from the FY2023 trough of 27.7% to 31.3% in FY2025. The forecast (FY2027E–FY2030E) </w:t>
      </w:r>
      <w:r>
        <w:rPr>
          <w:color w:val="1A1A1A"/>
          <w:sz w:val="24"/>
          <w:szCs w:val="24"/>
        </w:rPr>
        <w:lastRenderedPageBreak/>
        <w:t>projects continued but moderating expansion toward 33.2% by FY2030E, anchored to the Base Case PPI rate of 2.30% applied to COGS. This is a conservative projection: if commodity costs remain benign and the Cost Leadership programme delivers its targeted R500 million in savings, gross margin could expand faster than modelled. The chart also highlights the 2026 data gap resulting from the missing FY2026E column in the Financial Analysis sheet — the full five-year DCF forecast includes FY2026E projections in the Free Cash Flow and DCF sheets. Note: gross margin reaches 33.2% in FY2030E, which is marginally below the 35–36% range typical of best-in-class FMCG peers such as AVI, reflecting Tiger Brands’ higher proportion of commodity-exposed staple categories.</w:t>
      </w:r>
    </w:p>
    <w:p w14:paraId="2B179802" w14:textId="77777777" w:rsidR="002721C2" w:rsidRDefault="002721C2" w:rsidP="008E3CB7">
      <w:pPr>
        <w:spacing w:before="80" w:after="80"/>
        <w:jc w:val="both"/>
        <w:rPr>
          <w:color w:val="1A1A1A"/>
          <w:sz w:val="24"/>
          <w:szCs w:val="24"/>
        </w:rPr>
      </w:pPr>
    </w:p>
    <w:p w14:paraId="73069655" w14:textId="77777777" w:rsidR="003C0648" w:rsidRDefault="008E3CB7">
      <w:pPr>
        <w:spacing w:after="100"/>
        <w:jc w:val="both"/>
      </w:pPr>
      <w:r>
        <w:rPr>
          <w:noProof/>
        </w:rPr>
        <w:drawing>
          <wp:inline distT="0" distB="0" distL="0" distR="0" wp14:anchorId="67EFDB30" wp14:editId="77B8AF2E">
            <wp:extent cx="6188710" cy="2047875"/>
            <wp:effectExtent l="0" t="0" r="2540" b="9525"/>
            <wp:docPr id="52" name="Chart 52">
              <a:extLst xmlns:a="http://schemas.openxmlformats.org/drawingml/2006/main">
                <a:ext uri="{FF2B5EF4-FFF2-40B4-BE49-F238E27FC236}">
                  <a16:creationId xmlns:a16="http://schemas.microsoft.com/office/drawing/2014/main" id="{DA38D720-785D-101D-A2B2-0C8D29BCF8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EC241E6" w14:textId="77777777" w:rsidR="003C0648" w:rsidRDefault="003C0648">
      <w:pPr>
        <w:spacing w:after="100"/>
        <w:jc w:val="both"/>
      </w:pPr>
    </w:p>
    <w:p w14:paraId="5D66FAAE" w14:textId="77777777" w:rsidR="0065571E" w:rsidRPr="00F9489E" w:rsidRDefault="00000000">
      <w:pPr>
        <w:pStyle w:val="Heading2"/>
        <w:rPr>
          <w:sz w:val="28"/>
          <w:szCs w:val="28"/>
        </w:rPr>
      </w:pPr>
      <w:r>
        <w:rPr>
          <w:sz w:val="28"/>
          <w:szCs w:val="28"/>
        </w:rPr>
        <w:t>6.2 Scenario &amp; Sensitivity Analysis</w:t>
      </w:r>
    </w:p>
    <w:p w14:paraId="52ABD527" w14:textId="77777777" w:rsidR="0065571E" w:rsidRDefault="00000000">
      <w:pPr>
        <w:spacing w:after="100"/>
        <w:jc w:val="both"/>
        <w:rPr>
          <w:sz w:val="24"/>
          <w:szCs w:val="24"/>
        </w:rPr>
      </w:pPr>
      <w:r>
        <w:rPr>
          <w:sz w:val="24"/>
          <w:szCs w:val="24"/>
        </w:rPr>
        <w:t>A three-scenario stress test was executed to assess model resilience against macroeconomic volatility:</w:t>
      </w:r>
    </w:p>
    <w:p w14:paraId="34580A84" w14:textId="77777777" w:rsidR="004F303D" w:rsidRPr="00F9489E" w:rsidRDefault="004F303D">
      <w:pPr>
        <w:spacing w:after="100"/>
        <w:jc w:val="both"/>
        <w:rPr>
          <w:sz w:val="24"/>
          <w:szCs w:val="24"/>
        </w:rPr>
      </w:pPr>
    </w:p>
    <w:p w14:paraId="251D213F" w14:textId="77777777" w:rsidR="0065571E" w:rsidRDefault="0065571E">
      <w:pPr>
        <w:spacing w:after="120"/>
      </w:pPr>
    </w:p>
    <w:tbl>
      <w:tblPr>
        <w:tblW w:w="9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2065"/>
        <w:gridCol w:w="2065"/>
        <w:gridCol w:w="2065"/>
      </w:tblGrid>
      <w:tr w:rsidR="00973405" w14:paraId="3C7DB9B2" w14:textId="77777777" w:rsidTr="003F0A20">
        <w:trPr>
          <w:trHeight w:val="236"/>
        </w:trPr>
        <w:tc>
          <w:tcPr>
            <w:tcW w:w="3097" w:type="dxa"/>
            <w:shd w:val="clear" w:color="auto" w:fill="1F3864"/>
            <w:tcMar>
              <w:top w:w="80" w:type="dxa"/>
              <w:left w:w="120" w:type="dxa"/>
              <w:bottom w:w="80" w:type="dxa"/>
              <w:right w:w="120" w:type="dxa"/>
            </w:tcMar>
            <w:vAlign w:val="center"/>
          </w:tcPr>
          <w:p w14:paraId="69912CD3" w14:textId="77777777" w:rsidR="0065571E" w:rsidRPr="00F9489E" w:rsidRDefault="00000000">
            <w:pPr>
              <w:jc w:val="center"/>
              <w:rPr>
                <w:sz w:val="24"/>
                <w:szCs w:val="24"/>
              </w:rPr>
            </w:pPr>
            <w:r>
              <w:rPr>
                <w:b/>
                <w:bCs/>
                <w:color w:val="FFFFFF"/>
                <w:sz w:val="24"/>
                <w:szCs w:val="24"/>
              </w:rPr>
              <w:t>Parameter</w:t>
            </w:r>
          </w:p>
        </w:tc>
        <w:tc>
          <w:tcPr>
            <w:tcW w:w="2065" w:type="dxa"/>
            <w:shd w:val="clear" w:color="auto" w:fill="7F3030"/>
            <w:tcMar>
              <w:top w:w="80" w:type="dxa"/>
              <w:left w:w="120" w:type="dxa"/>
              <w:bottom w:w="80" w:type="dxa"/>
              <w:right w:w="120" w:type="dxa"/>
            </w:tcMar>
            <w:vAlign w:val="center"/>
          </w:tcPr>
          <w:p w14:paraId="01718AAD" w14:textId="77777777" w:rsidR="0065571E" w:rsidRPr="00F9489E" w:rsidRDefault="00000000">
            <w:pPr>
              <w:jc w:val="center"/>
              <w:rPr>
                <w:sz w:val="24"/>
                <w:szCs w:val="24"/>
              </w:rPr>
            </w:pPr>
            <w:r>
              <w:rPr>
                <w:b/>
                <w:bCs/>
                <w:color w:val="FFFFFF"/>
                <w:sz w:val="24"/>
                <w:szCs w:val="24"/>
              </w:rPr>
              <w:t>Bear Case</w:t>
            </w:r>
          </w:p>
        </w:tc>
        <w:tc>
          <w:tcPr>
            <w:tcW w:w="2065" w:type="dxa"/>
            <w:shd w:val="clear" w:color="auto" w:fill="1F6B3C"/>
            <w:tcMar>
              <w:top w:w="80" w:type="dxa"/>
              <w:left w:w="120" w:type="dxa"/>
              <w:bottom w:w="80" w:type="dxa"/>
              <w:right w:w="120" w:type="dxa"/>
            </w:tcMar>
            <w:vAlign w:val="center"/>
          </w:tcPr>
          <w:p w14:paraId="7BE1B129" w14:textId="77777777" w:rsidR="0065571E" w:rsidRPr="00F9489E" w:rsidRDefault="00000000">
            <w:pPr>
              <w:jc w:val="center"/>
              <w:rPr>
                <w:sz w:val="24"/>
                <w:szCs w:val="24"/>
              </w:rPr>
            </w:pPr>
            <w:r>
              <w:rPr>
                <w:b/>
                <w:bCs/>
                <w:color w:val="FFFFFF"/>
                <w:sz w:val="24"/>
                <w:szCs w:val="24"/>
              </w:rPr>
              <w:t>Base Case</w:t>
            </w:r>
          </w:p>
        </w:tc>
        <w:tc>
          <w:tcPr>
            <w:tcW w:w="2065" w:type="dxa"/>
            <w:shd w:val="clear" w:color="auto" w:fill="1F3864"/>
            <w:tcMar>
              <w:top w:w="80" w:type="dxa"/>
              <w:left w:w="120" w:type="dxa"/>
              <w:bottom w:w="80" w:type="dxa"/>
              <w:right w:w="120" w:type="dxa"/>
            </w:tcMar>
            <w:vAlign w:val="center"/>
          </w:tcPr>
          <w:p w14:paraId="1C567972" w14:textId="77777777" w:rsidR="0065571E" w:rsidRPr="00F9489E" w:rsidRDefault="00000000">
            <w:pPr>
              <w:jc w:val="center"/>
              <w:rPr>
                <w:sz w:val="24"/>
                <w:szCs w:val="24"/>
              </w:rPr>
            </w:pPr>
            <w:r>
              <w:rPr>
                <w:b/>
                <w:bCs/>
                <w:color w:val="FFFFFF"/>
                <w:sz w:val="24"/>
                <w:szCs w:val="24"/>
              </w:rPr>
              <w:t>Bull Case</w:t>
            </w:r>
          </w:p>
        </w:tc>
      </w:tr>
      <w:tr w:rsidR="00973405" w14:paraId="53D18E52" w14:textId="77777777" w:rsidTr="003F0A20">
        <w:trPr>
          <w:trHeight w:val="236"/>
        </w:trPr>
        <w:tc>
          <w:tcPr>
            <w:tcW w:w="3097" w:type="dxa"/>
            <w:shd w:val="clear" w:color="auto" w:fill="F2F2F2"/>
            <w:tcMar>
              <w:top w:w="60" w:type="dxa"/>
              <w:left w:w="120" w:type="dxa"/>
              <w:bottom w:w="60" w:type="dxa"/>
              <w:right w:w="120" w:type="dxa"/>
            </w:tcMar>
            <w:vAlign w:val="center"/>
          </w:tcPr>
          <w:p w14:paraId="3E49ACBE" w14:textId="77777777" w:rsidR="0065571E" w:rsidRPr="00F9489E" w:rsidRDefault="00000000">
            <w:pPr>
              <w:rPr>
                <w:sz w:val="24"/>
                <w:szCs w:val="24"/>
              </w:rPr>
            </w:pPr>
            <w:r>
              <w:rPr>
                <w:sz w:val="24"/>
                <w:szCs w:val="24"/>
              </w:rPr>
              <w:t>Revenue Growth (AAGR)</w:t>
            </w:r>
          </w:p>
        </w:tc>
        <w:tc>
          <w:tcPr>
            <w:tcW w:w="2065" w:type="dxa"/>
            <w:shd w:val="clear" w:color="auto" w:fill="FFFFFF"/>
            <w:tcMar>
              <w:top w:w="60" w:type="dxa"/>
              <w:left w:w="120" w:type="dxa"/>
              <w:bottom w:w="60" w:type="dxa"/>
              <w:right w:w="120" w:type="dxa"/>
            </w:tcMar>
            <w:vAlign w:val="center"/>
          </w:tcPr>
          <w:p w14:paraId="2B74CF04" w14:textId="77777777" w:rsidR="0065571E" w:rsidRPr="00F9489E" w:rsidRDefault="00000000">
            <w:pPr>
              <w:jc w:val="center"/>
              <w:rPr>
                <w:sz w:val="24"/>
                <w:szCs w:val="24"/>
              </w:rPr>
            </w:pPr>
            <w:r>
              <w:rPr>
                <w:sz w:val="24"/>
                <w:szCs w:val="24"/>
              </w:rPr>
              <w:t>2.5%</w:t>
            </w:r>
          </w:p>
        </w:tc>
        <w:tc>
          <w:tcPr>
            <w:tcW w:w="2065" w:type="dxa"/>
            <w:shd w:val="clear" w:color="auto" w:fill="FFFFFF"/>
            <w:tcMar>
              <w:top w:w="60" w:type="dxa"/>
              <w:left w:w="120" w:type="dxa"/>
              <w:bottom w:w="60" w:type="dxa"/>
              <w:right w:w="120" w:type="dxa"/>
            </w:tcMar>
            <w:vAlign w:val="center"/>
          </w:tcPr>
          <w:p w14:paraId="3B3685B3" w14:textId="77777777" w:rsidR="0065571E" w:rsidRPr="00F9489E" w:rsidRDefault="00000000">
            <w:pPr>
              <w:jc w:val="center"/>
              <w:rPr>
                <w:sz w:val="24"/>
                <w:szCs w:val="24"/>
              </w:rPr>
            </w:pPr>
            <w:r>
              <w:rPr>
                <w:sz w:val="24"/>
                <w:szCs w:val="24"/>
              </w:rPr>
              <w:t>3.02%</w:t>
            </w:r>
          </w:p>
        </w:tc>
        <w:tc>
          <w:tcPr>
            <w:tcW w:w="2065" w:type="dxa"/>
            <w:shd w:val="clear" w:color="auto" w:fill="FFFFFF"/>
            <w:tcMar>
              <w:top w:w="60" w:type="dxa"/>
              <w:left w:w="120" w:type="dxa"/>
              <w:bottom w:w="60" w:type="dxa"/>
              <w:right w:w="120" w:type="dxa"/>
            </w:tcMar>
            <w:vAlign w:val="center"/>
          </w:tcPr>
          <w:p w14:paraId="35B3F52D" w14:textId="77777777" w:rsidR="0065571E" w:rsidRPr="00F9489E" w:rsidRDefault="00000000">
            <w:pPr>
              <w:jc w:val="center"/>
              <w:rPr>
                <w:sz w:val="24"/>
                <w:szCs w:val="24"/>
              </w:rPr>
            </w:pPr>
            <w:r>
              <w:rPr>
                <w:sz w:val="24"/>
                <w:szCs w:val="24"/>
              </w:rPr>
              <w:t>5.5%</w:t>
            </w:r>
          </w:p>
        </w:tc>
      </w:tr>
      <w:tr w:rsidR="00973405" w14:paraId="2F9A2102" w14:textId="77777777" w:rsidTr="003F0A20">
        <w:trPr>
          <w:trHeight w:val="236"/>
        </w:trPr>
        <w:tc>
          <w:tcPr>
            <w:tcW w:w="3097" w:type="dxa"/>
            <w:shd w:val="clear" w:color="auto" w:fill="FFFFFF"/>
            <w:tcMar>
              <w:top w:w="60" w:type="dxa"/>
              <w:left w:w="120" w:type="dxa"/>
              <w:bottom w:w="60" w:type="dxa"/>
              <w:right w:w="120" w:type="dxa"/>
            </w:tcMar>
            <w:vAlign w:val="center"/>
          </w:tcPr>
          <w:p w14:paraId="294DCADD" w14:textId="77777777" w:rsidR="0065571E" w:rsidRPr="00F9489E" w:rsidRDefault="00000000">
            <w:pPr>
              <w:rPr>
                <w:sz w:val="24"/>
                <w:szCs w:val="24"/>
              </w:rPr>
            </w:pPr>
            <w:r>
              <w:rPr>
                <w:sz w:val="24"/>
                <w:szCs w:val="24"/>
              </w:rPr>
              <w:t>COGS Index (PPI)</w:t>
            </w:r>
          </w:p>
        </w:tc>
        <w:tc>
          <w:tcPr>
            <w:tcW w:w="2065" w:type="dxa"/>
            <w:shd w:val="clear" w:color="auto" w:fill="FFFFFF"/>
            <w:tcMar>
              <w:top w:w="60" w:type="dxa"/>
              <w:left w:w="120" w:type="dxa"/>
              <w:bottom w:w="60" w:type="dxa"/>
              <w:right w:w="120" w:type="dxa"/>
            </w:tcMar>
            <w:vAlign w:val="center"/>
          </w:tcPr>
          <w:p w14:paraId="286C496B" w14:textId="77777777" w:rsidR="0065571E" w:rsidRPr="00F9489E" w:rsidRDefault="00000000">
            <w:pPr>
              <w:jc w:val="center"/>
              <w:rPr>
                <w:sz w:val="24"/>
                <w:szCs w:val="24"/>
              </w:rPr>
            </w:pPr>
            <w:r>
              <w:rPr>
                <w:sz w:val="24"/>
                <w:szCs w:val="24"/>
              </w:rPr>
              <w:t>12.0%</w:t>
            </w:r>
          </w:p>
        </w:tc>
        <w:tc>
          <w:tcPr>
            <w:tcW w:w="2065" w:type="dxa"/>
            <w:shd w:val="clear" w:color="auto" w:fill="FFFFFF"/>
            <w:tcMar>
              <w:top w:w="60" w:type="dxa"/>
              <w:left w:w="120" w:type="dxa"/>
              <w:bottom w:w="60" w:type="dxa"/>
              <w:right w:w="120" w:type="dxa"/>
            </w:tcMar>
            <w:vAlign w:val="center"/>
          </w:tcPr>
          <w:p w14:paraId="5D494C23" w14:textId="77777777" w:rsidR="0065571E" w:rsidRPr="00F9489E" w:rsidRDefault="00000000">
            <w:pPr>
              <w:jc w:val="center"/>
              <w:rPr>
                <w:sz w:val="24"/>
                <w:szCs w:val="24"/>
              </w:rPr>
            </w:pPr>
            <w:r>
              <w:rPr>
                <w:sz w:val="24"/>
                <w:szCs w:val="24"/>
              </w:rPr>
              <w:t>2.30%</w:t>
            </w:r>
          </w:p>
        </w:tc>
        <w:tc>
          <w:tcPr>
            <w:tcW w:w="2065" w:type="dxa"/>
            <w:shd w:val="clear" w:color="auto" w:fill="FFFFFF"/>
            <w:tcMar>
              <w:top w:w="60" w:type="dxa"/>
              <w:left w:w="120" w:type="dxa"/>
              <w:bottom w:w="60" w:type="dxa"/>
              <w:right w:w="120" w:type="dxa"/>
            </w:tcMar>
            <w:vAlign w:val="center"/>
          </w:tcPr>
          <w:p w14:paraId="5FFAB261" w14:textId="77777777" w:rsidR="0065571E" w:rsidRPr="00F9489E" w:rsidRDefault="00000000">
            <w:pPr>
              <w:jc w:val="center"/>
              <w:rPr>
                <w:sz w:val="24"/>
                <w:szCs w:val="24"/>
              </w:rPr>
            </w:pPr>
            <w:r>
              <w:rPr>
                <w:sz w:val="24"/>
                <w:szCs w:val="24"/>
              </w:rPr>
              <w:t>1.50%</w:t>
            </w:r>
          </w:p>
        </w:tc>
      </w:tr>
      <w:tr w:rsidR="00973405" w14:paraId="426E45A2" w14:textId="77777777" w:rsidTr="003F0A20">
        <w:trPr>
          <w:trHeight w:val="221"/>
        </w:trPr>
        <w:tc>
          <w:tcPr>
            <w:tcW w:w="3097" w:type="dxa"/>
            <w:shd w:val="clear" w:color="auto" w:fill="F2F2F2"/>
            <w:tcMar>
              <w:top w:w="60" w:type="dxa"/>
              <w:left w:w="120" w:type="dxa"/>
              <w:bottom w:w="60" w:type="dxa"/>
              <w:right w:w="120" w:type="dxa"/>
            </w:tcMar>
            <w:vAlign w:val="center"/>
          </w:tcPr>
          <w:p w14:paraId="46F12789" w14:textId="77777777" w:rsidR="0065571E" w:rsidRPr="00F9489E" w:rsidRDefault="00000000">
            <w:pPr>
              <w:rPr>
                <w:sz w:val="24"/>
                <w:szCs w:val="24"/>
              </w:rPr>
            </w:pPr>
            <w:r>
              <w:rPr>
                <w:sz w:val="24"/>
                <w:szCs w:val="24"/>
              </w:rPr>
              <w:t>OPEX Index (CPI)</w:t>
            </w:r>
          </w:p>
        </w:tc>
        <w:tc>
          <w:tcPr>
            <w:tcW w:w="2065" w:type="dxa"/>
            <w:shd w:val="clear" w:color="auto" w:fill="FFFFFF"/>
            <w:tcMar>
              <w:top w:w="60" w:type="dxa"/>
              <w:left w:w="120" w:type="dxa"/>
              <w:bottom w:w="60" w:type="dxa"/>
              <w:right w:w="120" w:type="dxa"/>
            </w:tcMar>
            <w:vAlign w:val="center"/>
          </w:tcPr>
          <w:p w14:paraId="2C869C7F" w14:textId="77777777" w:rsidR="0065571E" w:rsidRPr="00F9489E" w:rsidRDefault="00000000">
            <w:pPr>
              <w:jc w:val="center"/>
              <w:rPr>
                <w:sz w:val="24"/>
                <w:szCs w:val="24"/>
              </w:rPr>
            </w:pPr>
            <w:r>
              <w:rPr>
                <w:sz w:val="24"/>
                <w:szCs w:val="24"/>
              </w:rPr>
              <w:t>7.50%</w:t>
            </w:r>
          </w:p>
        </w:tc>
        <w:tc>
          <w:tcPr>
            <w:tcW w:w="2065" w:type="dxa"/>
            <w:shd w:val="clear" w:color="auto" w:fill="FFFFFF"/>
            <w:tcMar>
              <w:top w:w="60" w:type="dxa"/>
              <w:left w:w="120" w:type="dxa"/>
              <w:bottom w:w="60" w:type="dxa"/>
              <w:right w:w="120" w:type="dxa"/>
            </w:tcMar>
            <w:vAlign w:val="center"/>
          </w:tcPr>
          <w:p w14:paraId="432E72ED" w14:textId="77777777" w:rsidR="0065571E" w:rsidRPr="00F9489E" w:rsidRDefault="00000000">
            <w:pPr>
              <w:jc w:val="center"/>
              <w:rPr>
                <w:sz w:val="24"/>
                <w:szCs w:val="24"/>
              </w:rPr>
            </w:pPr>
            <w:r>
              <w:rPr>
                <w:sz w:val="24"/>
                <w:szCs w:val="24"/>
              </w:rPr>
              <w:t>4.50%</w:t>
            </w:r>
          </w:p>
        </w:tc>
        <w:tc>
          <w:tcPr>
            <w:tcW w:w="2065" w:type="dxa"/>
            <w:shd w:val="clear" w:color="auto" w:fill="FFFFFF"/>
            <w:tcMar>
              <w:top w:w="60" w:type="dxa"/>
              <w:left w:w="120" w:type="dxa"/>
              <w:bottom w:w="60" w:type="dxa"/>
              <w:right w:w="120" w:type="dxa"/>
            </w:tcMar>
            <w:vAlign w:val="center"/>
          </w:tcPr>
          <w:p w14:paraId="67FBD02D" w14:textId="77777777" w:rsidR="0065571E" w:rsidRPr="00F9489E" w:rsidRDefault="00000000">
            <w:pPr>
              <w:jc w:val="center"/>
              <w:rPr>
                <w:sz w:val="24"/>
                <w:szCs w:val="24"/>
              </w:rPr>
            </w:pPr>
            <w:r>
              <w:rPr>
                <w:sz w:val="24"/>
                <w:szCs w:val="24"/>
              </w:rPr>
              <w:t>3.50%</w:t>
            </w:r>
          </w:p>
        </w:tc>
      </w:tr>
      <w:tr w:rsidR="00973405" w14:paraId="68771FAC" w14:textId="77777777" w:rsidTr="003F0A20">
        <w:trPr>
          <w:trHeight w:val="236"/>
        </w:trPr>
        <w:tc>
          <w:tcPr>
            <w:tcW w:w="3097" w:type="dxa"/>
            <w:shd w:val="clear" w:color="auto" w:fill="FFFFFF"/>
            <w:tcMar>
              <w:top w:w="60" w:type="dxa"/>
              <w:left w:w="120" w:type="dxa"/>
              <w:bottom w:w="60" w:type="dxa"/>
              <w:right w:w="120" w:type="dxa"/>
            </w:tcMar>
            <w:vAlign w:val="center"/>
          </w:tcPr>
          <w:p w14:paraId="1B723849" w14:textId="77777777" w:rsidR="0065571E" w:rsidRPr="00F9489E" w:rsidRDefault="00000000">
            <w:pPr>
              <w:rPr>
                <w:sz w:val="24"/>
                <w:szCs w:val="24"/>
              </w:rPr>
            </w:pPr>
            <w:r>
              <w:rPr>
                <w:sz w:val="24"/>
                <w:szCs w:val="24"/>
              </w:rPr>
              <w:t>WACC</w:t>
            </w:r>
          </w:p>
        </w:tc>
        <w:tc>
          <w:tcPr>
            <w:tcW w:w="2065" w:type="dxa"/>
            <w:shd w:val="clear" w:color="auto" w:fill="FFFFFF"/>
            <w:tcMar>
              <w:top w:w="60" w:type="dxa"/>
              <w:left w:w="120" w:type="dxa"/>
              <w:bottom w:w="60" w:type="dxa"/>
              <w:right w:w="120" w:type="dxa"/>
            </w:tcMar>
            <w:vAlign w:val="center"/>
          </w:tcPr>
          <w:p w14:paraId="07E61998" w14:textId="77777777" w:rsidR="0065571E" w:rsidRPr="00F9489E" w:rsidRDefault="00000000">
            <w:pPr>
              <w:jc w:val="center"/>
              <w:rPr>
                <w:sz w:val="24"/>
                <w:szCs w:val="24"/>
              </w:rPr>
            </w:pPr>
            <w:r>
              <w:rPr>
                <w:sz w:val="24"/>
                <w:szCs w:val="24"/>
              </w:rPr>
              <w:t>8.68%</w:t>
            </w:r>
          </w:p>
        </w:tc>
        <w:tc>
          <w:tcPr>
            <w:tcW w:w="2065" w:type="dxa"/>
            <w:shd w:val="clear" w:color="auto" w:fill="FFFFFF"/>
            <w:tcMar>
              <w:top w:w="60" w:type="dxa"/>
              <w:left w:w="120" w:type="dxa"/>
              <w:bottom w:w="60" w:type="dxa"/>
              <w:right w:w="120" w:type="dxa"/>
            </w:tcMar>
            <w:vAlign w:val="center"/>
          </w:tcPr>
          <w:p w14:paraId="2170A43A" w14:textId="77777777" w:rsidR="0065571E" w:rsidRPr="00F9489E" w:rsidRDefault="00000000">
            <w:pPr>
              <w:jc w:val="center"/>
              <w:rPr>
                <w:sz w:val="24"/>
                <w:szCs w:val="24"/>
              </w:rPr>
            </w:pPr>
            <w:r>
              <w:rPr>
                <w:sz w:val="24"/>
                <w:szCs w:val="24"/>
              </w:rPr>
              <w:t>8.68%</w:t>
            </w:r>
          </w:p>
        </w:tc>
        <w:tc>
          <w:tcPr>
            <w:tcW w:w="2065" w:type="dxa"/>
            <w:shd w:val="clear" w:color="auto" w:fill="FFFFFF"/>
            <w:tcMar>
              <w:top w:w="60" w:type="dxa"/>
              <w:left w:w="120" w:type="dxa"/>
              <w:bottom w:w="60" w:type="dxa"/>
              <w:right w:w="120" w:type="dxa"/>
            </w:tcMar>
            <w:vAlign w:val="center"/>
          </w:tcPr>
          <w:p w14:paraId="79590DE6" w14:textId="77777777" w:rsidR="0065571E" w:rsidRPr="00F9489E" w:rsidRDefault="00000000">
            <w:pPr>
              <w:jc w:val="center"/>
              <w:rPr>
                <w:sz w:val="24"/>
                <w:szCs w:val="24"/>
              </w:rPr>
            </w:pPr>
            <w:r>
              <w:rPr>
                <w:sz w:val="24"/>
                <w:szCs w:val="24"/>
              </w:rPr>
              <w:t>8.68%</w:t>
            </w:r>
          </w:p>
        </w:tc>
      </w:tr>
      <w:tr w:rsidR="00973405" w14:paraId="0CEBD14F" w14:textId="77777777" w:rsidTr="003F0A20">
        <w:trPr>
          <w:trHeight w:val="236"/>
        </w:trPr>
        <w:tc>
          <w:tcPr>
            <w:tcW w:w="3097" w:type="dxa"/>
            <w:shd w:val="clear" w:color="auto" w:fill="F2F2F2"/>
            <w:tcMar>
              <w:top w:w="60" w:type="dxa"/>
              <w:left w:w="120" w:type="dxa"/>
              <w:bottom w:w="60" w:type="dxa"/>
              <w:right w:w="120" w:type="dxa"/>
            </w:tcMar>
            <w:vAlign w:val="center"/>
          </w:tcPr>
          <w:p w14:paraId="3D06F1B6" w14:textId="77777777" w:rsidR="0065571E" w:rsidRPr="00F9489E" w:rsidRDefault="00000000">
            <w:pPr>
              <w:rPr>
                <w:sz w:val="24"/>
                <w:szCs w:val="24"/>
              </w:rPr>
            </w:pPr>
            <w:r>
              <w:rPr>
                <w:sz w:val="24"/>
                <w:szCs w:val="24"/>
              </w:rPr>
              <w:t>Terminal Growth Rate (g)</w:t>
            </w:r>
          </w:p>
        </w:tc>
        <w:tc>
          <w:tcPr>
            <w:tcW w:w="2065" w:type="dxa"/>
            <w:shd w:val="clear" w:color="auto" w:fill="FFFFFF"/>
            <w:tcMar>
              <w:top w:w="60" w:type="dxa"/>
              <w:left w:w="120" w:type="dxa"/>
              <w:bottom w:w="60" w:type="dxa"/>
              <w:right w:w="120" w:type="dxa"/>
            </w:tcMar>
            <w:vAlign w:val="center"/>
          </w:tcPr>
          <w:p w14:paraId="4E739FFE" w14:textId="77777777" w:rsidR="0065571E" w:rsidRPr="00F9489E" w:rsidRDefault="00000000">
            <w:pPr>
              <w:jc w:val="center"/>
              <w:rPr>
                <w:sz w:val="24"/>
                <w:szCs w:val="24"/>
              </w:rPr>
            </w:pPr>
            <w:r>
              <w:rPr>
                <w:sz w:val="24"/>
                <w:szCs w:val="24"/>
              </w:rPr>
              <w:t>2.30%</w:t>
            </w:r>
          </w:p>
        </w:tc>
        <w:tc>
          <w:tcPr>
            <w:tcW w:w="2065" w:type="dxa"/>
            <w:shd w:val="clear" w:color="auto" w:fill="FFFFFF"/>
            <w:tcMar>
              <w:top w:w="60" w:type="dxa"/>
              <w:left w:w="120" w:type="dxa"/>
              <w:bottom w:w="60" w:type="dxa"/>
              <w:right w:w="120" w:type="dxa"/>
            </w:tcMar>
            <w:vAlign w:val="center"/>
          </w:tcPr>
          <w:p w14:paraId="44CDBB0D" w14:textId="77777777" w:rsidR="0065571E" w:rsidRPr="00F9489E" w:rsidRDefault="00000000">
            <w:pPr>
              <w:jc w:val="center"/>
              <w:rPr>
                <w:sz w:val="24"/>
                <w:szCs w:val="24"/>
              </w:rPr>
            </w:pPr>
            <w:r>
              <w:rPr>
                <w:sz w:val="24"/>
                <w:szCs w:val="24"/>
              </w:rPr>
              <w:t>2.30%</w:t>
            </w:r>
          </w:p>
        </w:tc>
        <w:tc>
          <w:tcPr>
            <w:tcW w:w="2065" w:type="dxa"/>
            <w:shd w:val="clear" w:color="auto" w:fill="FFFFFF"/>
            <w:tcMar>
              <w:top w:w="60" w:type="dxa"/>
              <w:left w:w="120" w:type="dxa"/>
              <w:bottom w:w="60" w:type="dxa"/>
              <w:right w:w="120" w:type="dxa"/>
            </w:tcMar>
            <w:vAlign w:val="center"/>
          </w:tcPr>
          <w:p w14:paraId="238DAB28" w14:textId="77777777" w:rsidR="0065571E" w:rsidRPr="00F9489E" w:rsidRDefault="00000000">
            <w:pPr>
              <w:jc w:val="center"/>
              <w:rPr>
                <w:sz w:val="24"/>
                <w:szCs w:val="24"/>
              </w:rPr>
            </w:pPr>
            <w:r>
              <w:rPr>
                <w:sz w:val="24"/>
                <w:szCs w:val="24"/>
              </w:rPr>
              <w:t>2.30%</w:t>
            </w:r>
          </w:p>
        </w:tc>
      </w:tr>
      <w:tr w:rsidR="00973405" w14:paraId="341EF77C" w14:textId="77777777" w:rsidTr="003F0A20">
        <w:trPr>
          <w:trHeight w:val="236"/>
        </w:trPr>
        <w:tc>
          <w:tcPr>
            <w:tcW w:w="3097" w:type="dxa"/>
            <w:shd w:val="clear" w:color="auto" w:fill="FFFFFF"/>
            <w:tcMar>
              <w:top w:w="60" w:type="dxa"/>
              <w:left w:w="120" w:type="dxa"/>
              <w:bottom w:w="60" w:type="dxa"/>
              <w:right w:w="120" w:type="dxa"/>
            </w:tcMar>
            <w:vAlign w:val="center"/>
          </w:tcPr>
          <w:p w14:paraId="4DC98AE1" w14:textId="77777777" w:rsidR="0065571E" w:rsidRPr="00F9489E" w:rsidRDefault="00000000">
            <w:pPr>
              <w:rPr>
                <w:sz w:val="24"/>
                <w:szCs w:val="24"/>
              </w:rPr>
            </w:pPr>
            <w:r>
              <w:rPr>
                <w:b/>
                <w:bCs/>
                <w:sz w:val="24"/>
                <w:szCs w:val="24"/>
              </w:rPr>
              <w:t>Implied Share Price</w:t>
            </w:r>
          </w:p>
        </w:tc>
        <w:tc>
          <w:tcPr>
            <w:tcW w:w="2065" w:type="dxa"/>
            <w:shd w:val="clear" w:color="auto" w:fill="FFFFFF"/>
            <w:tcMar>
              <w:top w:w="60" w:type="dxa"/>
              <w:left w:w="120" w:type="dxa"/>
              <w:bottom w:w="60" w:type="dxa"/>
              <w:right w:w="120" w:type="dxa"/>
            </w:tcMar>
            <w:vAlign w:val="center"/>
          </w:tcPr>
          <w:p w14:paraId="47E1C902" w14:textId="77777777" w:rsidR="0065571E" w:rsidRPr="00F9489E" w:rsidRDefault="00000000">
            <w:pPr>
              <w:jc w:val="center"/>
              <w:rPr>
                <w:sz w:val="24"/>
                <w:szCs w:val="24"/>
              </w:rPr>
            </w:pPr>
            <w:r>
              <w:rPr>
                <w:b/>
                <w:bCs/>
                <w:sz w:val="24"/>
                <w:szCs w:val="24"/>
              </w:rPr>
              <w:t>~R245.90</w:t>
            </w:r>
          </w:p>
        </w:tc>
        <w:tc>
          <w:tcPr>
            <w:tcW w:w="2065" w:type="dxa"/>
            <w:shd w:val="clear" w:color="auto" w:fill="FFFFFF"/>
            <w:tcMar>
              <w:top w:w="60" w:type="dxa"/>
              <w:left w:w="120" w:type="dxa"/>
              <w:bottom w:w="60" w:type="dxa"/>
              <w:right w:w="120" w:type="dxa"/>
            </w:tcMar>
            <w:vAlign w:val="center"/>
          </w:tcPr>
          <w:p w14:paraId="3BE92173" w14:textId="77777777" w:rsidR="0065571E" w:rsidRPr="00F9489E" w:rsidRDefault="00000000">
            <w:pPr>
              <w:jc w:val="center"/>
              <w:rPr>
                <w:sz w:val="24"/>
                <w:szCs w:val="24"/>
              </w:rPr>
            </w:pPr>
            <w:r>
              <w:rPr>
                <w:b/>
                <w:bCs/>
                <w:sz w:val="24"/>
                <w:szCs w:val="24"/>
              </w:rPr>
              <w:t>R327.60</w:t>
            </w:r>
          </w:p>
        </w:tc>
        <w:tc>
          <w:tcPr>
            <w:tcW w:w="2065" w:type="dxa"/>
            <w:shd w:val="clear" w:color="auto" w:fill="FFFFFF"/>
            <w:tcMar>
              <w:top w:w="60" w:type="dxa"/>
              <w:left w:w="120" w:type="dxa"/>
              <w:bottom w:w="60" w:type="dxa"/>
              <w:right w:w="120" w:type="dxa"/>
            </w:tcMar>
            <w:vAlign w:val="center"/>
          </w:tcPr>
          <w:p w14:paraId="79B51CCE" w14:textId="77777777" w:rsidR="0065571E" w:rsidRPr="00F9489E" w:rsidRDefault="00000000">
            <w:pPr>
              <w:jc w:val="center"/>
              <w:rPr>
                <w:sz w:val="24"/>
                <w:szCs w:val="24"/>
              </w:rPr>
            </w:pPr>
            <w:r>
              <w:rPr>
                <w:b/>
                <w:bCs/>
                <w:sz w:val="24"/>
                <w:szCs w:val="24"/>
              </w:rPr>
              <w:t>~R334.34</w:t>
            </w:r>
          </w:p>
        </w:tc>
      </w:tr>
    </w:tbl>
    <w:p w14:paraId="23091236" w14:textId="77777777" w:rsidR="0065571E" w:rsidRDefault="00000000">
      <w:pPr>
        <w:spacing w:before="40" w:after="140"/>
        <w:jc w:val="center"/>
      </w:pPr>
      <w:r>
        <w:rPr>
          <w:i/>
          <w:iCs/>
          <w:color w:val="595959"/>
          <w:sz w:val="24"/>
          <w:szCs w:val="24"/>
        </w:rPr>
        <w:t xml:space="preserve">Table 6.1: Scenario Analysis Bear, Base &amp; Bull Case Assumptions and Implied Share Prices. Source: Author's Financial </w:t>
      </w:r>
      <w:r>
        <w:rPr>
          <w:i/>
          <w:iCs/>
          <w:color w:val="595959"/>
          <w:sz w:val="18"/>
          <w:szCs w:val="18"/>
        </w:rPr>
        <w:t>Model.</w:t>
      </w:r>
    </w:p>
    <w:p w14:paraId="2E0C6401" w14:textId="77777777" w:rsidR="0065571E" w:rsidRDefault="0065571E">
      <w:pPr>
        <w:spacing w:after="120"/>
      </w:pPr>
    </w:p>
    <w:p w14:paraId="2C6551A8" w14:textId="7FAAB35F" w:rsidR="00A41CA1" w:rsidRPr="00A41CA1" w:rsidRDefault="00A41CA1" w:rsidP="008E3CB7">
      <w:pPr>
        <w:pStyle w:val="Heading2"/>
        <w:jc w:val="both"/>
        <w:rPr>
          <w:b w:val="0"/>
          <w:bCs w:val="0"/>
          <w:color w:val="auto"/>
        </w:rPr>
      </w:pPr>
      <w:r>
        <w:rPr>
          <w:b w:val="0"/>
          <w:bCs w:val="0"/>
          <w:color w:val="auto"/>
        </w:rPr>
        <w:t>The three scenarios stress-test the model by varying the core income statement assumptions</w:t>
      </w:r>
      <w:r w:rsidR="00534C0C">
        <w:rPr>
          <w:b w:val="0"/>
          <w:bCs w:val="0"/>
          <w:color w:val="auto"/>
        </w:rPr>
        <w:t>,</w:t>
      </w:r>
      <w:r>
        <w:rPr>
          <w:b w:val="0"/>
          <w:bCs w:val="0"/>
          <w:color w:val="auto"/>
        </w:rPr>
        <w:t xml:space="preserve"> revenue growth, the PPI rate applied to COGS, and the CPI rate applied to OPEX while holding the DCF parameters (WACC at 8.68% and terminal growth rate at 2.30%) constant across all cases. This means the scenario differentiation flows entirely through the five-year free cash flow projections rather than through changes to the discount rate or terminal value assumptions.</w:t>
      </w:r>
    </w:p>
    <w:p w14:paraId="45FA64F6" w14:textId="77777777" w:rsidR="00A41CA1" w:rsidRPr="00A41CA1" w:rsidRDefault="00A41CA1" w:rsidP="008E3CB7">
      <w:pPr>
        <w:pStyle w:val="Heading2"/>
        <w:jc w:val="both"/>
        <w:rPr>
          <w:b w:val="0"/>
          <w:bCs w:val="0"/>
          <w:color w:val="auto"/>
        </w:rPr>
      </w:pPr>
      <w:r>
        <w:rPr>
          <w:b w:val="0"/>
          <w:bCs w:val="0"/>
          <w:color w:val="auto"/>
        </w:rPr>
        <w:lastRenderedPageBreak/>
        <w:t>Under the Bear Case, a severely elevated PPI of 12.0% and CPI of 7.50% are applied alongside a weak revenue growth rate of 2.50%, simulating a stagflationary environment where input costs surge and consumer demand weakens simultaneously. This compresses margins throughout the forecast period and produces an implied share price of approximately R245.90. The Base Case applies the current macroeconomic rates of 2.30% PPI and 4.50% CPI with a revenue growth rate of 3.02% and a terminal growth rate of 2.70%, yielding the central intrinsic value of R327.60. The Bull Case assumes a benign low-inflation environment of 1.50% PPI and 3.50% CPI combined with stronger revenue growth of 5.50%, reflecting a scenario where Tiger Brands' turnaround delivers beyond expectations, producing an implied share price of approximately R334.34.</w:t>
      </w:r>
    </w:p>
    <w:p w14:paraId="31FFFD6C" w14:textId="77777777" w:rsidR="00A41CA1" w:rsidRPr="00A41CA1" w:rsidRDefault="00A41CA1" w:rsidP="008E3CB7">
      <w:pPr>
        <w:pStyle w:val="Heading2"/>
        <w:jc w:val="both"/>
        <w:rPr>
          <w:b w:val="0"/>
          <w:bCs w:val="0"/>
          <w:color w:val="auto"/>
        </w:rPr>
      </w:pPr>
      <w:r>
        <w:rPr>
          <w:b w:val="0"/>
          <w:bCs w:val="0"/>
          <w:color w:val="auto"/>
        </w:rPr>
        <w:t>The sensitivity table further reveals that across the full WACC range tested (7.68%–9.68%), the implied share price ranges from approximately R245.90 to R403.28, confirming that the valuation is robust and not excessively dependent on any single assumption.</w:t>
      </w:r>
    </w:p>
    <w:p w14:paraId="32C43654" w14:textId="77777777" w:rsidR="008E3CB7" w:rsidRPr="008E3CB7" w:rsidRDefault="008E3CB7">
      <w:pPr>
        <w:spacing w:before="80" w:after="80"/>
        <w:rPr>
          <w:sz w:val="24"/>
          <w:szCs w:val="24"/>
        </w:rPr>
      </w:pPr>
    </w:p>
    <w:p w14:paraId="2C64FC13" w14:textId="77777777" w:rsidR="0065571E" w:rsidRPr="00F9489E" w:rsidRDefault="00000000">
      <w:pPr>
        <w:pStyle w:val="Heading2"/>
        <w:rPr>
          <w:sz w:val="28"/>
          <w:szCs w:val="28"/>
        </w:rPr>
      </w:pPr>
      <w:r>
        <w:rPr>
          <w:sz w:val="28"/>
          <w:szCs w:val="28"/>
        </w:rPr>
        <w:t>6.3 Relative Valuation Measures</w:t>
      </w:r>
    </w:p>
    <w:p w14:paraId="39272A49" w14:textId="77777777" w:rsidR="0065571E" w:rsidRPr="00F9489E" w:rsidRDefault="00000000">
      <w:pPr>
        <w:spacing w:after="100"/>
        <w:jc w:val="both"/>
        <w:rPr>
          <w:sz w:val="24"/>
          <w:szCs w:val="24"/>
        </w:rPr>
      </w:pPr>
      <w:r>
        <w:rPr>
          <w:sz w:val="24"/>
          <w:szCs w:val="24"/>
        </w:rPr>
        <w:t>To complement the intrinsic DCF valuation, a suite of relative valuation multiples was computed across the five-year historical period:</w:t>
      </w:r>
    </w:p>
    <w:p w14:paraId="2E8E1401" w14:textId="77777777" w:rsidR="0065571E" w:rsidRPr="00F9489E" w:rsidRDefault="0065571E">
      <w:pPr>
        <w:spacing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52"/>
        <w:gridCol w:w="1352"/>
        <w:gridCol w:w="1352"/>
        <w:gridCol w:w="1352"/>
        <w:gridCol w:w="1352"/>
      </w:tblGrid>
      <w:tr w:rsidR="00973405" w14:paraId="53A67B1C" w14:textId="77777777">
        <w:tc>
          <w:tcPr>
            <w:tcW w:w="2600" w:type="dxa"/>
            <w:shd w:val="clear" w:color="auto" w:fill="1F3864"/>
            <w:tcMar>
              <w:top w:w="80" w:type="dxa"/>
              <w:left w:w="120" w:type="dxa"/>
              <w:bottom w:w="80" w:type="dxa"/>
              <w:right w:w="120" w:type="dxa"/>
            </w:tcMar>
            <w:vAlign w:val="center"/>
          </w:tcPr>
          <w:p w14:paraId="1BA229E8" w14:textId="77777777" w:rsidR="0065571E" w:rsidRPr="00F9489E" w:rsidRDefault="00000000">
            <w:pPr>
              <w:jc w:val="center"/>
              <w:rPr>
                <w:sz w:val="24"/>
                <w:szCs w:val="24"/>
              </w:rPr>
            </w:pPr>
            <w:r>
              <w:rPr>
                <w:b/>
                <w:bCs/>
                <w:color w:val="FFFFFF"/>
                <w:sz w:val="24"/>
                <w:szCs w:val="24"/>
              </w:rPr>
              <w:t>Metric</w:t>
            </w:r>
          </w:p>
        </w:tc>
        <w:tc>
          <w:tcPr>
            <w:tcW w:w="1352" w:type="dxa"/>
            <w:shd w:val="clear" w:color="auto" w:fill="1F3864"/>
            <w:tcMar>
              <w:top w:w="80" w:type="dxa"/>
              <w:left w:w="120" w:type="dxa"/>
              <w:bottom w:w="80" w:type="dxa"/>
              <w:right w:w="120" w:type="dxa"/>
            </w:tcMar>
            <w:vAlign w:val="center"/>
          </w:tcPr>
          <w:p w14:paraId="372E5DF5" w14:textId="77777777" w:rsidR="0065571E" w:rsidRPr="00F9489E" w:rsidRDefault="00000000">
            <w:pPr>
              <w:jc w:val="center"/>
              <w:rPr>
                <w:sz w:val="24"/>
                <w:szCs w:val="24"/>
              </w:rPr>
            </w:pPr>
            <w:r>
              <w:rPr>
                <w:b/>
                <w:bCs/>
                <w:color w:val="FFFFFF"/>
                <w:sz w:val="24"/>
                <w:szCs w:val="24"/>
              </w:rPr>
              <w:t>FY2021</w:t>
            </w:r>
          </w:p>
        </w:tc>
        <w:tc>
          <w:tcPr>
            <w:tcW w:w="1352" w:type="dxa"/>
            <w:shd w:val="clear" w:color="auto" w:fill="1F3864"/>
            <w:tcMar>
              <w:top w:w="80" w:type="dxa"/>
              <w:left w:w="120" w:type="dxa"/>
              <w:bottom w:w="80" w:type="dxa"/>
              <w:right w:w="120" w:type="dxa"/>
            </w:tcMar>
            <w:vAlign w:val="center"/>
          </w:tcPr>
          <w:p w14:paraId="08D74E15" w14:textId="77777777" w:rsidR="0065571E" w:rsidRPr="00F9489E" w:rsidRDefault="00000000">
            <w:pPr>
              <w:jc w:val="center"/>
              <w:rPr>
                <w:sz w:val="24"/>
                <w:szCs w:val="24"/>
              </w:rPr>
            </w:pPr>
            <w:r>
              <w:rPr>
                <w:b/>
                <w:bCs/>
                <w:color w:val="FFFFFF"/>
                <w:sz w:val="24"/>
                <w:szCs w:val="24"/>
              </w:rPr>
              <w:t>FY2022</w:t>
            </w:r>
          </w:p>
        </w:tc>
        <w:tc>
          <w:tcPr>
            <w:tcW w:w="1352" w:type="dxa"/>
            <w:shd w:val="clear" w:color="auto" w:fill="1F3864"/>
            <w:tcMar>
              <w:top w:w="80" w:type="dxa"/>
              <w:left w:w="120" w:type="dxa"/>
              <w:bottom w:w="80" w:type="dxa"/>
              <w:right w:w="120" w:type="dxa"/>
            </w:tcMar>
            <w:vAlign w:val="center"/>
          </w:tcPr>
          <w:p w14:paraId="46DB3972" w14:textId="77777777" w:rsidR="0065571E" w:rsidRPr="00F9489E" w:rsidRDefault="00000000">
            <w:pPr>
              <w:jc w:val="center"/>
              <w:rPr>
                <w:sz w:val="24"/>
                <w:szCs w:val="24"/>
              </w:rPr>
            </w:pPr>
            <w:r>
              <w:rPr>
                <w:b/>
                <w:bCs/>
                <w:color w:val="FFFFFF"/>
                <w:sz w:val="24"/>
                <w:szCs w:val="24"/>
              </w:rPr>
              <w:t>FY2023</w:t>
            </w:r>
          </w:p>
        </w:tc>
        <w:tc>
          <w:tcPr>
            <w:tcW w:w="1352" w:type="dxa"/>
            <w:shd w:val="clear" w:color="auto" w:fill="1F3864"/>
            <w:tcMar>
              <w:top w:w="80" w:type="dxa"/>
              <w:left w:w="120" w:type="dxa"/>
              <w:bottom w:w="80" w:type="dxa"/>
              <w:right w:w="120" w:type="dxa"/>
            </w:tcMar>
            <w:vAlign w:val="center"/>
          </w:tcPr>
          <w:p w14:paraId="63379EA2" w14:textId="77777777" w:rsidR="0065571E" w:rsidRPr="00F9489E" w:rsidRDefault="00000000">
            <w:pPr>
              <w:jc w:val="center"/>
              <w:rPr>
                <w:sz w:val="24"/>
                <w:szCs w:val="24"/>
              </w:rPr>
            </w:pPr>
            <w:r>
              <w:rPr>
                <w:b/>
                <w:bCs/>
                <w:color w:val="FFFFFF"/>
                <w:sz w:val="24"/>
                <w:szCs w:val="24"/>
              </w:rPr>
              <w:t>FY2024</w:t>
            </w:r>
          </w:p>
        </w:tc>
        <w:tc>
          <w:tcPr>
            <w:tcW w:w="1352" w:type="dxa"/>
            <w:shd w:val="clear" w:color="auto" w:fill="1F3864"/>
            <w:tcMar>
              <w:top w:w="80" w:type="dxa"/>
              <w:left w:w="120" w:type="dxa"/>
              <w:bottom w:w="80" w:type="dxa"/>
              <w:right w:w="120" w:type="dxa"/>
            </w:tcMar>
            <w:vAlign w:val="center"/>
          </w:tcPr>
          <w:p w14:paraId="67CD8CFC" w14:textId="77777777" w:rsidR="0065571E" w:rsidRPr="00F9489E" w:rsidRDefault="00000000">
            <w:pPr>
              <w:jc w:val="center"/>
              <w:rPr>
                <w:sz w:val="24"/>
                <w:szCs w:val="24"/>
              </w:rPr>
            </w:pPr>
            <w:r>
              <w:rPr>
                <w:b/>
                <w:bCs/>
                <w:color w:val="FFFFFF"/>
                <w:sz w:val="24"/>
                <w:szCs w:val="24"/>
              </w:rPr>
              <w:t>FY2025</w:t>
            </w:r>
          </w:p>
        </w:tc>
      </w:tr>
      <w:tr w:rsidR="00973405" w14:paraId="60F638C2" w14:textId="77777777">
        <w:tc>
          <w:tcPr>
            <w:tcW w:w="2600" w:type="dxa"/>
            <w:shd w:val="clear" w:color="auto" w:fill="F2F2F2"/>
            <w:tcMar>
              <w:top w:w="60" w:type="dxa"/>
              <w:left w:w="120" w:type="dxa"/>
              <w:bottom w:w="60" w:type="dxa"/>
              <w:right w:w="120" w:type="dxa"/>
            </w:tcMar>
            <w:vAlign w:val="center"/>
          </w:tcPr>
          <w:p w14:paraId="34CDB9AA" w14:textId="0E82BC71" w:rsidR="0065571E" w:rsidRPr="00F9489E" w:rsidRDefault="00000000">
            <w:pPr>
              <w:rPr>
                <w:sz w:val="24"/>
                <w:szCs w:val="24"/>
              </w:rPr>
            </w:pPr>
            <w:r>
              <w:rPr>
                <w:sz w:val="24"/>
                <w:szCs w:val="24"/>
              </w:rPr>
              <w:t xml:space="preserve">P/E Ratio </w:t>
            </w:r>
          </w:p>
        </w:tc>
        <w:tc>
          <w:tcPr>
            <w:tcW w:w="1352" w:type="dxa"/>
            <w:shd w:val="clear" w:color="auto" w:fill="FFFFFF"/>
            <w:tcMar>
              <w:top w:w="60" w:type="dxa"/>
              <w:left w:w="120" w:type="dxa"/>
              <w:bottom w:w="60" w:type="dxa"/>
              <w:right w:w="120" w:type="dxa"/>
            </w:tcMar>
            <w:vAlign w:val="center"/>
          </w:tcPr>
          <w:p w14:paraId="53587617" w14:textId="77777777" w:rsidR="0065571E" w:rsidRPr="00F9489E" w:rsidRDefault="00000000">
            <w:pPr>
              <w:jc w:val="center"/>
              <w:rPr>
                <w:sz w:val="24"/>
                <w:szCs w:val="24"/>
              </w:rPr>
            </w:pPr>
            <w:r>
              <w:rPr>
                <w:sz w:val="24"/>
                <w:szCs w:val="24"/>
              </w:rPr>
              <w:t>17.6x</w:t>
            </w:r>
          </w:p>
        </w:tc>
        <w:tc>
          <w:tcPr>
            <w:tcW w:w="1352" w:type="dxa"/>
            <w:shd w:val="clear" w:color="auto" w:fill="FFFFFF"/>
            <w:tcMar>
              <w:top w:w="60" w:type="dxa"/>
              <w:left w:w="120" w:type="dxa"/>
              <w:bottom w:w="60" w:type="dxa"/>
              <w:right w:w="120" w:type="dxa"/>
            </w:tcMar>
            <w:vAlign w:val="center"/>
          </w:tcPr>
          <w:p w14:paraId="03B72734" w14:textId="77777777" w:rsidR="0065571E" w:rsidRPr="00F9489E" w:rsidRDefault="00000000">
            <w:pPr>
              <w:jc w:val="center"/>
              <w:rPr>
                <w:sz w:val="24"/>
                <w:szCs w:val="24"/>
              </w:rPr>
            </w:pPr>
            <w:r>
              <w:rPr>
                <w:sz w:val="24"/>
                <w:szCs w:val="24"/>
              </w:rPr>
              <w:t>9.6x</w:t>
            </w:r>
          </w:p>
        </w:tc>
        <w:tc>
          <w:tcPr>
            <w:tcW w:w="1352" w:type="dxa"/>
            <w:shd w:val="clear" w:color="auto" w:fill="FFFFFF"/>
            <w:tcMar>
              <w:top w:w="60" w:type="dxa"/>
              <w:left w:w="120" w:type="dxa"/>
              <w:bottom w:w="60" w:type="dxa"/>
              <w:right w:w="120" w:type="dxa"/>
            </w:tcMar>
            <w:vAlign w:val="center"/>
          </w:tcPr>
          <w:p w14:paraId="24679703" w14:textId="77777777" w:rsidR="0065571E" w:rsidRPr="00F9489E" w:rsidRDefault="00000000">
            <w:pPr>
              <w:jc w:val="center"/>
              <w:rPr>
                <w:sz w:val="24"/>
                <w:szCs w:val="24"/>
              </w:rPr>
            </w:pPr>
            <w:r>
              <w:rPr>
                <w:sz w:val="24"/>
                <w:szCs w:val="24"/>
              </w:rPr>
              <w:t>8.9x</w:t>
            </w:r>
          </w:p>
        </w:tc>
        <w:tc>
          <w:tcPr>
            <w:tcW w:w="1352" w:type="dxa"/>
            <w:shd w:val="clear" w:color="auto" w:fill="FFFFFF"/>
            <w:tcMar>
              <w:top w:w="60" w:type="dxa"/>
              <w:left w:w="120" w:type="dxa"/>
              <w:bottom w:w="60" w:type="dxa"/>
              <w:right w:w="120" w:type="dxa"/>
            </w:tcMar>
            <w:vAlign w:val="center"/>
          </w:tcPr>
          <w:p w14:paraId="35190C82" w14:textId="77777777" w:rsidR="0065571E" w:rsidRPr="00F9489E" w:rsidRDefault="00000000">
            <w:pPr>
              <w:jc w:val="center"/>
              <w:rPr>
                <w:sz w:val="24"/>
                <w:szCs w:val="24"/>
              </w:rPr>
            </w:pPr>
            <w:r>
              <w:rPr>
                <w:sz w:val="24"/>
                <w:szCs w:val="24"/>
              </w:rPr>
              <w:t>12.2x</w:t>
            </w:r>
          </w:p>
        </w:tc>
        <w:tc>
          <w:tcPr>
            <w:tcW w:w="1352" w:type="dxa"/>
            <w:shd w:val="clear" w:color="auto" w:fill="FFFFFF"/>
            <w:tcMar>
              <w:top w:w="60" w:type="dxa"/>
              <w:left w:w="120" w:type="dxa"/>
              <w:bottom w:w="60" w:type="dxa"/>
              <w:right w:w="120" w:type="dxa"/>
            </w:tcMar>
            <w:vAlign w:val="center"/>
          </w:tcPr>
          <w:p w14:paraId="1D019678" w14:textId="77777777" w:rsidR="0065571E" w:rsidRPr="00F9489E" w:rsidRDefault="00000000">
            <w:pPr>
              <w:jc w:val="center"/>
              <w:rPr>
                <w:sz w:val="24"/>
                <w:szCs w:val="24"/>
              </w:rPr>
            </w:pPr>
            <w:r>
              <w:rPr>
                <w:sz w:val="24"/>
                <w:szCs w:val="24"/>
              </w:rPr>
              <w:t>10.6x</w:t>
            </w:r>
          </w:p>
        </w:tc>
      </w:tr>
      <w:tr w:rsidR="00973405" w14:paraId="6E97CDE2" w14:textId="77777777">
        <w:tc>
          <w:tcPr>
            <w:tcW w:w="2600" w:type="dxa"/>
            <w:shd w:val="clear" w:color="auto" w:fill="FFFFFF"/>
            <w:tcMar>
              <w:top w:w="60" w:type="dxa"/>
              <w:left w:w="120" w:type="dxa"/>
              <w:bottom w:w="60" w:type="dxa"/>
              <w:right w:w="120" w:type="dxa"/>
            </w:tcMar>
            <w:vAlign w:val="center"/>
          </w:tcPr>
          <w:p w14:paraId="60EC4909" w14:textId="77777777" w:rsidR="0065571E" w:rsidRPr="00F9489E" w:rsidRDefault="00000000">
            <w:pPr>
              <w:rPr>
                <w:sz w:val="24"/>
                <w:szCs w:val="24"/>
              </w:rPr>
            </w:pPr>
            <w:r>
              <w:rPr>
                <w:sz w:val="24"/>
                <w:szCs w:val="24"/>
              </w:rPr>
              <w:t>Price-to-Book</w:t>
            </w:r>
          </w:p>
        </w:tc>
        <w:tc>
          <w:tcPr>
            <w:tcW w:w="1352" w:type="dxa"/>
            <w:shd w:val="clear" w:color="auto" w:fill="FFFFFF"/>
            <w:tcMar>
              <w:top w:w="60" w:type="dxa"/>
              <w:left w:w="120" w:type="dxa"/>
              <w:bottom w:w="60" w:type="dxa"/>
              <w:right w:w="120" w:type="dxa"/>
            </w:tcMar>
            <w:vAlign w:val="center"/>
          </w:tcPr>
          <w:p w14:paraId="63BAC0F3" w14:textId="5CB29150" w:rsidR="0065571E" w:rsidRPr="00F9489E" w:rsidRDefault="00000000">
            <w:pPr>
              <w:jc w:val="center"/>
              <w:rPr>
                <w:sz w:val="24"/>
                <w:szCs w:val="24"/>
              </w:rPr>
            </w:pPr>
            <w:r>
              <w:rPr>
                <w:sz w:val="24"/>
                <w:szCs w:val="24"/>
              </w:rPr>
              <w:t>1.81</w:t>
            </w:r>
            <w:r w:rsidR="004F303D">
              <w:rPr>
                <w:sz w:val="24"/>
                <w:szCs w:val="24"/>
              </w:rPr>
              <w:t>%</w:t>
            </w:r>
          </w:p>
        </w:tc>
        <w:tc>
          <w:tcPr>
            <w:tcW w:w="1352" w:type="dxa"/>
            <w:shd w:val="clear" w:color="auto" w:fill="FFFFFF"/>
            <w:tcMar>
              <w:top w:w="60" w:type="dxa"/>
              <w:left w:w="120" w:type="dxa"/>
              <w:bottom w:w="60" w:type="dxa"/>
              <w:right w:w="120" w:type="dxa"/>
            </w:tcMar>
            <w:vAlign w:val="center"/>
          </w:tcPr>
          <w:p w14:paraId="0E890C96" w14:textId="7195AB6E" w:rsidR="0065571E" w:rsidRPr="00F9489E" w:rsidRDefault="00000000">
            <w:pPr>
              <w:jc w:val="center"/>
              <w:rPr>
                <w:sz w:val="24"/>
                <w:szCs w:val="24"/>
              </w:rPr>
            </w:pPr>
            <w:r>
              <w:rPr>
                <w:sz w:val="24"/>
                <w:szCs w:val="24"/>
              </w:rPr>
              <w:t>1.57</w:t>
            </w:r>
            <w:r w:rsidR="004F303D">
              <w:rPr>
                <w:sz w:val="24"/>
                <w:szCs w:val="24"/>
              </w:rPr>
              <w:t>%</w:t>
            </w:r>
          </w:p>
        </w:tc>
        <w:tc>
          <w:tcPr>
            <w:tcW w:w="1352" w:type="dxa"/>
            <w:shd w:val="clear" w:color="auto" w:fill="FFFFFF"/>
            <w:tcMar>
              <w:top w:w="60" w:type="dxa"/>
              <w:left w:w="120" w:type="dxa"/>
              <w:bottom w:w="60" w:type="dxa"/>
              <w:right w:w="120" w:type="dxa"/>
            </w:tcMar>
            <w:vAlign w:val="center"/>
          </w:tcPr>
          <w:p w14:paraId="3AB495F5" w14:textId="14AC11C5" w:rsidR="0065571E" w:rsidRPr="00F9489E" w:rsidRDefault="00000000">
            <w:pPr>
              <w:jc w:val="center"/>
              <w:rPr>
                <w:sz w:val="24"/>
                <w:szCs w:val="24"/>
              </w:rPr>
            </w:pPr>
            <w:r>
              <w:rPr>
                <w:sz w:val="24"/>
                <w:szCs w:val="24"/>
              </w:rPr>
              <w:t>1.24</w:t>
            </w:r>
            <w:r w:rsidR="004F303D">
              <w:rPr>
                <w:sz w:val="24"/>
                <w:szCs w:val="24"/>
              </w:rPr>
              <w:t>%</w:t>
            </w:r>
          </w:p>
        </w:tc>
        <w:tc>
          <w:tcPr>
            <w:tcW w:w="1352" w:type="dxa"/>
            <w:shd w:val="clear" w:color="auto" w:fill="FFFFFF"/>
            <w:tcMar>
              <w:top w:w="60" w:type="dxa"/>
              <w:left w:w="120" w:type="dxa"/>
              <w:bottom w:w="60" w:type="dxa"/>
              <w:right w:w="120" w:type="dxa"/>
            </w:tcMar>
            <w:vAlign w:val="center"/>
          </w:tcPr>
          <w:p w14:paraId="3CE9AC13" w14:textId="3398021B" w:rsidR="0065571E" w:rsidRPr="00F9489E" w:rsidRDefault="00000000">
            <w:pPr>
              <w:jc w:val="center"/>
              <w:rPr>
                <w:sz w:val="24"/>
                <w:szCs w:val="24"/>
              </w:rPr>
            </w:pPr>
            <w:r>
              <w:rPr>
                <w:sz w:val="24"/>
                <w:szCs w:val="24"/>
              </w:rPr>
              <w:t>1.78</w:t>
            </w:r>
            <w:r w:rsidR="004F303D">
              <w:rPr>
                <w:sz w:val="24"/>
                <w:szCs w:val="24"/>
              </w:rPr>
              <w:t>%</w:t>
            </w:r>
          </w:p>
        </w:tc>
        <w:tc>
          <w:tcPr>
            <w:tcW w:w="1352" w:type="dxa"/>
            <w:shd w:val="clear" w:color="auto" w:fill="FFFFFF"/>
            <w:tcMar>
              <w:top w:w="60" w:type="dxa"/>
              <w:left w:w="120" w:type="dxa"/>
              <w:bottom w:w="60" w:type="dxa"/>
              <w:right w:w="120" w:type="dxa"/>
            </w:tcMar>
            <w:vAlign w:val="center"/>
          </w:tcPr>
          <w:p w14:paraId="6B7B2719" w14:textId="28ECF994" w:rsidR="0065571E" w:rsidRPr="00F9489E" w:rsidRDefault="00000000">
            <w:pPr>
              <w:jc w:val="center"/>
              <w:rPr>
                <w:sz w:val="24"/>
                <w:szCs w:val="24"/>
              </w:rPr>
            </w:pPr>
            <w:r>
              <w:rPr>
                <w:sz w:val="24"/>
                <w:szCs w:val="24"/>
              </w:rPr>
              <w:t>2.70</w:t>
            </w:r>
            <w:r w:rsidR="004F303D">
              <w:rPr>
                <w:sz w:val="24"/>
                <w:szCs w:val="24"/>
              </w:rPr>
              <w:t>%</w:t>
            </w:r>
          </w:p>
        </w:tc>
      </w:tr>
      <w:tr w:rsidR="00973405" w14:paraId="4B642D72" w14:textId="77777777">
        <w:tc>
          <w:tcPr>
            <w:tcW w:w="2600" w:type="dxa"/>
            <w:shd w:val="clear" w:color="auto" w:fill="F2F2F2"/>
            <w:tcMar>
              <w:top w:w="60" w:type="dxa"/>
              <w:left w:w="120" w:type="dxa"/>
              <w:bottom w:w="60" w:type="dxa"/>
              <w:right w:w="120" w:type="dxa"/>
            </w:tcMar>
            <w:vAlign w:val="center"/>
          </w:tcPr>
          <w:p w14:paraId="50C25535" w14:textId="77777777" w:rsidR="0065571E" w:rsidRPr="00F9489E" w:rsidRDefault="00000000">
            <w:pPr>
              <w:rPr>
                <w:sz w:val="24"/>
                <w:szCs w:val="24"/>
              </w:rPr>
            </w:pPr>
            <w:r>
              <w:rPr>
                <w:sz w:val="24"/>
                <w:szCs w:val="24"/>
              </w:rPr>
              <w:t>Price-to-Sales</w:t>
            </w:r>
          </w:p>
        </w:tc>
        <w:tc>
          <w:tcPr>
            <w:tcW w:w="1352" w:type="dxa"/>
            <w:shd w:val="clear" w:color="auto" w:fill="FFFFFF"/>
            <w:tcMar>
              <w:top w:w="60" w:type="dxa"/>
              <w:left w:w="120" w:type="dxa"/>
              <w:bottom w:w="60" w:type="dxa"/>
              <w:right w:w="120" w:type="dxa"/>
            </w:tcMar>
            <w:vAlign w:val="center"/>
          </w:tcPr>
          <w:p w14:paraId="4A4BA0B4" w14:textId="77777777" w:rsidR="0065571E" w:rsidRPr="00F9489E" w:rsidRDefault="00000000">
            <w:pPr>
              <w:jc w:val="center"/>
              <w:rPr>
                <w:sz w:val="24"/>
                <w:szCs w:val="24"/>
              </w:rPr>
            </w:pPr>
            <w:r>
              <w:rPr>
                <w:sz w:val="24"/>
                <w:szCs w:val="24"/>
              </w:rPr>
              <w:t>1.02%</w:t>
            </w:r>
          </w:p>
        </w:tc>
        <w:tc>
          <w:tcPr>
            <w:tcW w:w="1352" w:type="dxa"/>
            <w:shd w:val="clear" w:color="auto" w:fill="FFFFFF"/>
            <w:tcMar>
              <w:top w:w="60" w:type="dxa"/>
              <w:left w:w="120" w:type="dxa"/>
              <w:bottom w:w="60" w:type="dxa"/>
              <w:right w:w="120" w:type="dxa"/>
            </w:tcMar>
            <w:vAlign w:val="center"/>
          </w:tcPr>
          <w:p w14:paraId="5260FA0C" w14:textId="77777777" w:rsidR="0065571E" w:rsidRPr="00F9489E" w:rsidRDefault="00000000">
            <w:pPr>
              <w:jc w:val="center"/>
              <w:rPr>
                <w:sz w:val="24"/>
                <w:szCs w:val="24"/>
              </w:rPr>
            </w:pPr>
            <w:r>
              <w:rPr>
                <w:sz w:val="24"/>
                <w:szCs w:val="24"/>
              </w:rPr>
              <w:t>0.82%</w:t>
            </w:r>
          </w:p>
        </w:tc>
        <w:tc>
          <w:tcPr>
            <w:tcW w:w="1352" w:type="dxa"/>
            <w:shd w:val="clear" w:color="auto" w:fill="FFFFFF"/>
            <w:tcMar>
              <w:top w:w="60" w:type="dxa"/>
              <w:left w:w="120" w:type="dxa"/>
              <w:bottom w:w="60" w:type="dxa"/>
              <w:right w:w="120" w:type="dxa"/>
            </w:tcMar>
            <w:vAlign w:val="center"/>
          </w:tcPr>
          <w:p w14:paraId="6D658456" w14:textId="77777777" w:rsidR="0065571E" w:rsidRPr="00F9489E" w:rsidRDefault="00000000">
            <w:pPr>
              <w:jc w:val="center"/>
              <w:rPr>
                <w:sz w:val="24"/>
                <w:szCs w:val="24"/>
              </w:rPr>
            </w:pPr>
            <w:r>
              <w:rPr>
                <w:sz w:val="24"/>
                <w:szCs w:val="24"/>
              </w:rPr>
              <w:t>0.65%</w:t>
            </w:r>
          </w:p>
        </w:tc>
        <w:tc>
          <w:tcPr>
            <w:tcW w:w="1352" w:type="dxa"/>
            <w:shd w:val="clear" w:color="auto" w:fill="FFFFFF"/>
            <w:tcMar>
              <w:top w:w="60" w:type="dxa"/>
              <w:left w:w="120" w:type="dxa"/>
              <w:bottom w:w="60" w:type="dxa"/>
              <w:right w:w="120" w:type="dxa"/>
            </w:tcMar>
            <w:vAlign w:val="center"/>
          </w:tcPr>
          <w:p w14:paraId="6A92B93F" w14:textId="77777777" w:rsidR="0065571E" w:rsidRPr="00F9489E" w:rsidRDefault="00000000">
            <w:pPr>
              <w:jc w:val="center"/>
              <w:rPr>
                <w:sz w:val="24"/>
                <w:szCs w:val="24"/>
              </w:rPr>
            </w:pPr>
            <w:r>
              <w:rPr>
                <w:sz w:val="24"/>
                <w:szCs w:val="24"/>
              </w:rPr>
              <w:t>1.09%</w:t>
            </w:r>
          </w:p>
        </w:tc>
        <w:tc>
          <w:tcPr>
            <w:tcW w:w="1352" w:type="dxa"/>
            <w:shd w:val="clear" w:color="auto" w:fill="FFFFFF"/>
            <w:tcMar>
              <w:top w:w="60" w:type="dxa"/>
              <w:left w:w="120" w:type="dxa"/>
              <w:bottom w:w="60" w:type="dxa"/>
              <w:right w:w="120" w:type="dxa"/>
            </w:tcMar>
            <w:vAlign w:val="center"/>
          </w:tcPr>
          <w:p w14:paraId="19D99635" w14:textId="77777777" w:rsidR="0065571E" w:rsidRPr="00F9489E" w:rsidRDefault="00000000">
            <w:pPr>
              <w:jc w:val="center"/>
              <w:rPr>
                <w:sz w:val="24"/>
                <w:szCs w:val="24"/>
              </w:rPr>
            </w:pPr>
            <w:r>
              <w:rPr>
                <w:sz w:val="24"/>
                <w:szCs w:val="24"/>
              </w:rPr>
              <w:t>1.19%</w:t>
            </w:r>
          </w:p>
        </w:tc>
      </w:tr>
    </w:tbl>
    <w:p w14:paraId="5D303F1C" w14:textId="77777777" w:rsidR="0065571E" w:rsidRPr="00F9489E" w:rsidRDefault="00000000">
      <w:pPr>
        <w:spacing w:before="40" w:after="140"/>
        <w:jc w:val="center"/>
        <w:rPr>
          <w:sz w:val="24"/>
          <w:szCs w:val="24"/>
        </w:rPr>
      </w:pPr>
      <w:r>
        <w:rPr>
          <w:i/>
          <w:iCs/>
          <w:color w:val="595959"/>
          <w:sz w:val="24"/>
          <w:szCs w:val="24"/>
        </w:rPr>
        <w:t>Table 6.2: Tiger Brands Relative Valuation Multiples FY2021–FY2025. Source: Author's Financial Analysis Model.</w:t>
      </w:r>
    </w:p>
    <w:p w14:paraId="1EF20711" w14:textId="77777777" w:rsidR="0065571E" w:rsidRPr="00DA0454" w:rsidRDefault="00DA0454">
      <w:pPr>
        <w:spacing w:after="120"/>
        <w:rPr>
          <w:sz w:val="24"/>
          <w:szCs w:val="24"/>
        </w:rPr>
      </w:pPr>
      <w:r>
        <w:rPr>
          <w:sz w:val="24"/>
          <w:szCs w:val="24"/>
        </w:rPr>
        <w:t>Tiger Brands’ P/E chart shows deep valuation de-rating followed by a cautious, partial re-rating. The stock traded at 17.6x in FY2021 before macro headwinds compressed it to a historical trough of 8.9x in FY2023, pricing in structural impairment. The modest shift to 12.2x in FY2024 and 10.6x in FY2025 shows the re-rating is incomplete. This lag persists despite Total EPS surging 30% to 2,482 cents. Tiger Brands sits well below the 15–18x range of regional FMCG peers. Sustained cost leadership execution offers major multiple expansion upside beyond the intrinsic DCF value of R327.60.</w:t>
      </w:r>
    </w:p>
    <w:p w14:paraId="4605CE3F" w14:textId="77777777" w:rsidR="0094601E" w:rsidRPr="00A41CA1" w:rsidRDefault="0094601E" w:rsidP="00A41CA1">
      <w:pPr>
        <w:pStyle w:val="Heading2"/>
        <w:rPr>
          <w:b w:val="0"/>
          <w:bCs w:val="0"/>
          <w:color w:val="auto"/>
        </w:rPr>
      </w:pPr>
      <w:r>
        <w:rPr>
          <w:noProof/>
        </w:rPr>
        <w:drawing>
          <wp:inline distT="0" distB="0" distL="0" distR="0" wp14:anchorId="03256363" wp14:editId="4C628130">
            <wp:extent cx="6400800" cy="2466975"/>
            <wp:effectExtent l="0" t="0" r="0" b="9525"/>
            <wp:docPr id="49" name="Chart 49">
              <a:extLst xmlns:a="http://schemas.openxmlformats.org/drawingml/2006/main">
                <a:ext uri="{FF2B5EF4-FFF2-40B4-BE49-F238E27FC236}">
                  <a16:creationId xmlns:a16="http://schemas.microsoft.com/office/drawing/2014/main" id="{6463DB2B-F237-3082-0D01-7CA46D7D29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7C63421" w14:textId="77777777" w:rsidR="00F05A2C" w:rsidRDefault="00F05A2C">
      <w:pPr>
        <w:jc w:val="center"/>
      </w:pPr>
    </w:p>
    <w:p w14:paraId="3490B298" w14:textId="77777777" w:rsidR="0094601E" w:rsidRPr="0094601E" w:rsidRDefault="00000000" w:rsidP="0094601E">
      <w:pPr>
        <w:spacing w:before="60" w:after="60"/>
        <w:rPr>
          <w:color w:val="1A1A1A"/>
        </w:rPr>
      </w:pPr>
      <w:r>
        <w:rPr>
          <w:color w:val="1A1A1A"/>
        </w:rPr>
        <w:lastRenderedPageBreak/>
        <w:pict w14:anchorId="7A02FF6E">
          <v:rect id="_x0000_i1025" style="width:0;height:1.5pt" o:hralign="center" o:hrstd="t" o:hr="t" fillcolor="#a0a0a0" stroked="f"/>
        </w:pict>
      </w:r>
    </w:p>
    <w:p w14:paraId="2E2053C0" w14:textId="77777777" w:rsidR="00F05A2C" w:rsidRDefault="00F05A2C">
      <w:pPr>
        <w:spacing w:before="60" w:after="60"/>
      </w:pPr>
    </w:p>
    <w:p w14:paraId="2939C11F" w14:textId="395F7ABA" w:rsidR="00F05A2C" w:rsidRPr="00DA0454" w:rsidRDefault="00A41CA1" w:rsidP="00DA0454">
      <w:pPr>
        <w:pStyle w:val="Heading2"/>
        <w:rPr>
          <w:b w:val="0"/>
          <w:bCs w:val="0"/>
          <w:color w:val="auto"/>
        </w:rPr>
      </w:pPr>
      <w:r>
        <w:rPr>
          <w:b w:val="0"/>
          <w:bCs w:val="0"/>
          <w:color w:val="auto"/>
        </w:rPr>
        <w:t>The Price-to-Book multiple expanded from 1.24</w:t>
      </w:r>
      <w:r w:rsidR="00543EB7">
        <w:rPr>
          <w:b w:val="0"/>
          <w:bCs w:val="0"/>
          <w:color w:val="auto"/>
        </w:rPr>
        <w:t>%</w:t>
      </w:r>
      <w:r>
        <w:rPr>
          <w:b w:val="0"/>
          <w:bCs w:val="0"/>
          <w:color w:val="auto"/>
        </w:rPr>
        <w:t xml:space="preserve"> in FY2023 to 2.70</w:t>
      </w:r>
      <w:r w:rsidR="00543EB7">
        <w:rPr>
          <w:b w:val="0"/>
          <w:bCs w:val="0"/>
          <w:color w:val="auto"/>
        </w:rPr>
        <w:t>%</w:t>
      </w:r>
      <w:r>
        <w:rPr>
          <w:b w:val="0"/>
          <w:bCs w:val="0"/>
          <w:color w:val="auto"/>
        </w:rPr>
        <w:t xml:space="preserve"> in FY2025, directly reflecting the recovery in profitability and return on equity. As the business generates stronger earnings on a relatively stable asset base, the market progressively assigns a higher premium above book value.</w:t>
      </w:r>
    </w:p>
    <w:p w14:paraId="27B289F8" w14:textId="77777777" w:rsidR="000E04F3" w:rsidRDefault="000E04F3" w:rsidP="00A41CA1">
      <w:pPr>
        <w:pStyle w:val="Heading2"/>
        <w:rPr>
          <w:b w:val="0"/>
          <w:bCs w:val="0"/>
          <w:color w:val="auto"/>
        </w:rPr>
      </w:pPr>
      <w:r>
        <w:rPr>
          <w:noProof/>
        </w:rPr>
        <w:drawing>
          <wp:inline distT="0" distB="0" distL="0" distR="0" wp14:anchorId="600E0C81" wp14:editId="12BE6590">
            <wp:extent cx="6166485" cy="2381693"/>
            <wp:effectExtent l="0" t="0" r="5715" b="0"/>
            <wp:docPr id="19" name="Chart 19">
              <a:extLst xmlns:a="http://schemas.openxmlformats.org/drawingml/2006/main">
                <a:ext uri="{FF2B5EF4-FFF2-40B4-BE49-F238E27FC236}">
                  <a16:creationId xmlns:a16="http://schemas.microsoft.com/office/drawing/2014/main" id="{44705A44-6AA9-6293-DFCE-679D09CDDE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763C26B" w14:textId="77777777" w:rsidR="00DA0454" w:rsidRPr="00A41CA1" w:rsidRDefault="00DA0454" w:rsidP="00A41CA1">
      <w:pPr>
        <w:pStyle w:val="Heading2"/>
        <w:rPr>
          <w:b w:val="0"/>
          <w:bCs w:val="0"/>
          <w:color w:val="auto"/>
        </w:rPr>
      </w:pPr>
    </w:p>
    <w:p w14:paraId="192635C0" w14:textId="6E5D25E2" w:rsidR="00A41CA1" w:rsidRDefault="00A41CA1" w:rsidP="00A41CA1">
      <w:pPr>
        <w:pStyle w:val="Heading2"/>
        <w:rPr>
          <w:b w:val="0"/>
          <w:bCs w:val="0"/>
          <w:color w:val="auto"/>
        </w:rPr>
      </w:pPr>
      <w:r>
        <w:rPr>
          <w:b w:val="0"/>
          <w:bCs w:val="0"/>
          <w:color w:val="auto"/>
        </w:rPr>
        <w:t>Price-to-Sales has trended upward from 0.65</w:t>
      </w:r>
      <w:r w:rsidR="00543EB7">
        <w:rPr>
          <w:b w:val="0"/>
          <w:bCs w:val="0"/>
          <w:color w:val="auto"/>
        </w:rPr>
        <w:t>%</w:t>
      </w:r>
      <w:r>
        <w:rPr>
          <w:b w:val="0"/>
          <w:bCs w:val="0"/>
          <w:color w:val="auto"/>
        </w:rPr>
        <w:t xml:space="preserve"> in FY2023 to 1.19</w:t>
      </w:r>
      <w:r w:rsidR="00543EB7">
        <w:rPr>
          <w:b w:val="0"/>
          <w:bCs w:val="0"/>
          <w:color w:val="auto"/>
        </w:rPr>
        <w:t>%</w:t>
      </w:r>
      <w:r>
        <w:rPr>
          <w:b w:val="0"/>
          <w:bCs w:val="0"/>
          <w:color w:val="auto"/>
        </w:rPr>
        <w:t xml:space="preserve"> in FY2025, consistent with improving margin quality. The market is now willing to pay more per rand of revenue generated, reflecting greater confidence in Tiger Brands' ability to convert sales into profit.</w:t>
      </w:r>
    </w:p>
    <w:p w14:paraId="6ABC49F2" w14:textId="01EC23A4" w:rsidR="00C8244C" w:rsidRDefault="00C8244C" w:rsidP="00A41CA1">
      <w:pPr>
        <w:pStyle w:val="Heading2"/>
        <w:rPr>
          <w:b w:val="0"/>
          <w:bCs w:val="0"/>
          <w:color w:val="auto"/>
        </w:rPr>
      </w:pPr>
      <w:r>
        <w:rPr>
          <w:noProof/>
        </w:rPr>
        <w:drawing>
          <wp:inline distT="0" distB="0" distL="0" distR="0" wp14:anchorId="5B2002A0" wp14:editId="21DA52E5">
            <wp:extent cx="6188710" cy="1955329"/>
            <wp:effectExtent l="0" t="0" r="2540" b="6985"/>
            <wp:docPr id="50" name="Chart 50">
              <a:extLst xmlns:a="http://schemas.openxmlformats.org/drawingml/2006/main">
                <a:ext uri="{FF2B5EF4-FFF2-40B4-BE49-F238E27FC236}">
                  <a16:creationId xmlns:a16="http://schemas.microsoft.com/office/drawing/2014/main" id="{57C1B995-EB6C-CD11-783F-61A2534AFB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2FDC168" w14:textId="7418145C" w:rsidR="00D44C00" w:rsidRDefault="00000000">
      <w:pPr>
        <w:spacing w:before="80" w:after="100"/>
      </w:pPr>
      <w:r>
        <w:t>.</w:t>
      </w:r>
    </w:p>
    <w:p w14:paraId="7BF18A25" w14:textId="5AB64E4E" w:rsidR="00D44C00" w:rsidRDefault="00C8244C">
      <w:pPr>
        <w:spacing w:before="160" w:after="80"/>
      </w:pPr>
      <w:r>
        <w:rPr>
          <w:b/>
          <w:bCs/>
          <w:color w:val="1A2F5A"/>
          <w:sz w:val="22"/>
          <w:szCs w:val="22"/>
        </w:rPr>
        <w:t>6.3.</w:t>
      </w:r>
      <w:r w:rsidR="004331C6">
        <w:rPr>
          <w:b/>
          <w:bCs/>
          <w:color w:val="1A2F5A"/>
          <w:sz w:val="22"/>
          <w:szCs w:val="22"/>
        </w:rPr>
        <w:t>1</w:t>
      </w:r>
      <w:r>
        <w:rPr>
          <w:b/>
          <w:bCs/>
          <w:color w:val="1A2F5A"/>
          <w:sz w:val="22"/>
          <w:szCs w:val="22"/>
        </w:rPr>
        <w:t xml:space="preserve"> EV/EBITDA</w:t>
      </w:r>
    </w:p>
    <w:p w14:paraId="65FABBF5" w14:textId="77777777" w:rsidR="00D44C00" w:rsidRPr="00FE0ACD" w:rsidRDefault="00000000">
      <w:pPr>
        <w:spacing w:before="80" w:after="100"/>
        <w:rPr>
          <w:sz w:val="24"/>
          <w:szCs w:val="24"/>
        </w:rPr>
      </w:pPr>
      <w:r w:rsidRPr="00FE0ACD">
        <w:rPr>
          <w:sz w:val="24"/>
          <w:szCs w:val="24"/>
        </w:rPr>
        <w:t>EV/EBITDA is widely regarded as the most reliable cross-company valuation metric in FMCG analysis because it is capital structure-neutral and strips out the distorting effect of depreciation accounting choices. Tiger Brands’ EV/EBITDA of 8.4x in FY2025 sits at the lower end of the typical 8–12x range for listed African FMCG companies, suggesting the stock remains modestly undervalued relative to sector peers on an earnings-before-interest basis. Compared to AVI Limited, which trades at approximately 11–13x EV/EBITDA given its premium margin profile, Tiger Brands’ discount reflects both its higher commodity exposure and the market’s residual scepticism about the durability of the margin recovery. If Tiger Brands sustains its EBIT margin above 10% through the forecast period — as the Base Case projects — a re-rating toward 10–11x EV/EBITDA would imply additional share price upside of 15–30% beyond the current DCF-derived target of R327.60.</w:t>
      </w:r>
    </w:p>
    <w:p w14:paraId="7786563F" w14:textId="35215FC7" w:rsidR="00F9489E" w:rsidRPr="004331C6" w:rsidRDefault="004331C6" w:rsidP="004331C6">
      <w:pPr>
        <w:spacing w:before="80" w:after="100"/>
      </w:pPr>
      <w:r>
        <w:rPr>
          <w:noProof/>
        </w:rPr>
        <w:lastRenderedPageBreak/>
        <w:drawing>
          <wp:inline distT="0" distB="0" distL="0" distR="0" wp14:anchorId="4B7DC897" wp14:editId="60B702A8">
            <wp:extent cx="6004560" cy="2204113"/>
            <wp:effectExtent l="0" t="0" r="15240" b="5715"/>
            <wp:docPr id="6" name="Chart 6">
              <a:extLst xmlns:a="http://schemas.openxmlformats.org/drawingml/2006/main">
                <a:ext uri="{FF2B5EF4-FFF2-40B4-BE49-F238E27FC236}">
                  <a16:creationId xmlns:a16="http://schemas.microsoft.com/office/drawing/2014/main" id="{45286865-4395-A065-CF4B-DA408C19D0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7A79742" w14:textId="500D9BDD" w:rsidR="0065571E" w:rsidRPr="00F9489E" w:rsidRDefault="00000000">
      <w:pPr>
        <w:pStyle w:val="Heading2"/>
        <w:rPr>
          <w:sz w:val="28"/>
          <w:szCs w:val="28"/>
        </w:rPr>
      </w:pPr>
      <w:r>
        <w:rPr>
          <w:sz w:val="28"/>
          <w:szCs w:val="28"/>
        </w:rPr>
        <w:t>6.4</w:t>
      </w:r>
      <w:r w:rsidR="004331C6">
        <w:rPr>
          <w:sz w:val="28"/>
          <w:szCs w:val="28"/>
        </w:rPr>
        <w:t xml:space="preserve"> </w:t>
      </w:r>
      <w:r>
        <w:rPr>
          <w:sz w:val="28"/>
          <w:szCs w:val="28"/>
        </w:rPr>
        <w:t>Final Investment Recommendation</w:t>
      </w:r>
    </w:p>
    <w:p w14:paraId="7362C03A" w14:textId="77777777" w:rsidR="00A41CA1" w:rsidRPr="00A41CA1" w:rsidRDefault="00A41CA1" w:rsidP="00A41CA1">
      <w:pPr>
        <w:spacing w:after="100"/>
        <w:jc w:val="both"/>
        <w:rPr>
          <w:sz w:val="24"/>
          <w:szCs w:val="24"/>
        </w:rPr>
      </w:pPr>
      <w:r>
        <w:rPr>
          <w:sz w:val="24"/>
          <w:szCs w:val="24"/>
        </w:rPr>
        <w:t>The five-year DCF model estimates Tiger Brands Limited’s intrinsic value at R327.60 per share, derived by summing the present value of free cash flows over the forecast horizon (R6,216.1 million) and the present value of the terminal value (R18,628 million) to arrive at an Enterprise Value of R46,261 million. Adding cash of R3,069 million and subtracting total debt of R357 million and minority interest of R255 million yields an Equity Value of R48,718 million. Dividing by 150.58 million diluted shares outstanding produces the implied intrinsic share price of R327.60.</w:t>
      </w:r>
    </w:p>
    <w:p w14:paraId="2E7557A6" w14:textId="61ADB539" w:rsidR="00A41CA1" w:rsidRPr="00A41CA1" w:rsidRDefault="00A41CA1" w:rsidP="00A41CA1">
      <w:pPr>
        <w:spacing w:after="100"/>
        <w:jc w:val="both"/>
        <w:rPr>
          <w:sz w:val="24"/>
          <w:szCs w:val="24"/>
        </w:rPr>
      </w:pPr>
      <w:r>
        <w:rPr>
          <w:sz w:val="24"/>
          <w:szCs w:val="24"/>
        </w:rPr>
        <w:t>Comparing this to the current JSE market price of R284</w:t>
      </w:r>
      <w:r w:rsidR="00C8244C">
        <w:rPr>
          <w:sz w:val="24"/>
          <w:szCs w:val="24"/>
        </w:rPr>
        <w:t>.</w:t>
      </w:r>
      <w:r>
        <w:rPr>
          <w:sz w:val="24"/>
          <w:szCs w:val="24"/>
        </w:rPr>
        <w:t>43</w:t>
      </w:r>
      <w:r w:rsidR="00C8244C">
        <w:rPr>
          <w:sz w:val="24"/>
          <w:szCs w:val="24"/>
        </w:rPr>
        <w:t xml:space="preserve"> </w:t>
      </w:r>
      <w:r>
        <w:rPr>
          <w:sz w:val="24"/>
          <w:szCs w:val="24"/>
        </w:rPr>
        <w:t xml:space="preserve">reveals a valuation variance of +15.18%, meaning the stock is trading at a discount to its fundamental worth. As this variance exceeds the ±5% threshold typically used in professional equity research to classify a stock as fairly valued, a formal BUY recommendation is warranted. The market appears </w:t>
      </w:r>
      <w:r w:rsidR="00534C0C">
        <w:rPr>
          <w:sz w:val="24"/>
          <w:szCs w:val="24"/>
        </w:rPr>
        <w:t>not to have</w:t>
      </w:r>
      <w:r>
        <w:rPr>
          <w:sz w:val="24"/>
          <w:szCs w:val="24"/>
        </w:rPr>
        <w:t xml:space="preserve"> yet fully priced in the complete benefits of Tiger Brands' operational turnaround, leaving a modest but meaningful window of undervaluation for investors.</w:t>
      </w:r>
    </w:p>
    <w:p w14:paraId="66B04867" w14:textId="41A5C390" w:rsidR="00A41CA1" w:rsidRPr="00A41CA1" w:rsidRDefault="00A41CA1" w:rsidP="00A41CA1">
      <w:pPr>
        <w:spacing w:after="100"/>
        <w:jc w:val="both"/>
        <w:rPr>
          <w:sz w:val="24"/>
          <w:szCs w:val="24"/>
        </w:rPr>
      </w:pPr>
      <w:r>
        <w:rPr>
          <w:sz w:val="24"/>
          <w:szCs w:val="24"/>
        </w:rPr>
        <w:t xml:space="preserve">This conclusion is further supported by Tiger Brands' strengthening operational metrics, near-debt-free balance sheet, disciplined capital allocation, and visible earnings momentum. The stock is particularly </w:t>
      </w:r>
      <w:r w:rsidR="00534C0C">
        <w:rPr>
          <w:sz w:val="24"/>
          <w:szCs w:val="24"/>
        </w:rPr>
        <w:t>well-suited</w:t>
      </w:r>
      <w:r>
        <w:rPr>
          <w:sz w:val="24"/>
          <w:szCs w:val="24"/>
        </w:rPr>
        <w:t xml:space="preserve"> for investors seeking a low-risk, defensive South African equity holding with meaningful upside potential and a reliable total return through dividends and ongoing share buybacks.</w:t>
      </w:r>
    </w:p>
    <w:p w14:paraId="13D6941A" w14:textId="77777777" w:rsidR="00A41CA1" w:rsidRPr="00A41CA1" w:rsidRDefault="00A41CA1" w:rsidP="00A41CA1">
      <w:pPr>
        <w:spacing w:after="100"/>
        <w:jc w:val="both"/>
        <w:rPr>
          <w:sz w:val="28"/>
          <w:szCs w:val="28"/>
        </w:rPr>
      </w:pPr>
    </w:p>
    <w:p w14:paraId="29FC6683" w14:textId="77777777" w:rsidR="0065571E" w:rsidRPr="00F9489E" w:rsidRDefault="00000000" w:rsidP="00A41CA1">
      <w:pPr>
        <w:spacing w:after="100"/>
        <w:jc w:val="both"/>
        <w:rPr>
          <w:b/>
          <w:bCs/>
          <w:color w:val="1F3864"/>
          <w:sz w:val="28"/>
          <w:szCs w:val="28"/>
        </w:rPr>
      </w:pPr>
      <w:r>
        <w:rPr>
          <w:b/>
          <w:bCs/>
          <w:color w:val="1F3864"/>
          <w:sz w:val="28"/>
          <w:szCs w:val="28"/>
        </w:rPr>
        <w:t>7. Key Risks</w:t>
      </w:r>
    </w:p>
    <w:p w14:paraId="52F58ADA" w14:textId="38DDF722" w:rsidR="00A41CA1" w:rsidRPr="00A41CA1" w:rsidRDefault="00A41CA1" w:rsidP="00A41CA1">
      <w:pPr>
        <w:pStyle w:val="Heading2"/>
        <w:rPr>
          <w:b w:val="0"/>
          <w:bCs w:val="0"/>
          <w:color w:val="auto"/>
        </w:rPr>
      </w:pPr>
      <w:r>
        <w:rPr>
          <w:b w:val="0"/>
          <w:bCs w:val="0"/>
          <w:color w:val="auto"/>
        </w:rPr>
        <w:t>Agricultural Commodity Shock: A severe drought in key grain-producing regions could push white maize and wheat prices materially above the 2.30% PPI baseline used in COGS forecasts, compressing gross margins significantly. This risk is partially captured in the Bear Case scenario</w:t>
      </w:r>
      <w:r w:rsidR="00534C0C">
        <w:rPr>
          <w:b w:val="0"/>
          <w:bCs w:val="0"/>
          <w:color w:val="auto"/>
        </w:rPr>
        <w:t>,</w:t>
      </w:r>
      <w:r>
        <w:rPr>
          <w:b w:val="0"/>
          <w:bCs w:val="0"/>
          <w:color w:val="auto"/>
        </w:rPr>
        <w:t xml:space="preserve"> where PPI is stress-tested at 12.0%, though an extreme multi-season drought could produce outcomes beyond even that assumption.</w:t>
      </w:r>
    </w:p>
    <w:p w14:paraId="30DCB02D" w14:textId="1728BE3B" w:rsidR="00A41CA1" w:rsidRPr="00A41CA1" w:rsidRDefault="00A41CA1" w:rsidP="00A41CA1">
      <w:pPr>
        <w:pStyle w:val="Heading2"/>
        <w:rPr>
          <w:b w:val="0"/>
          <w:bCs w:val="0"/>
          <w:color w:val="auto"/>
        </w:rPr>
      </w:pPr>
      <w:r>
        <w:rPr>
          <w:b w:val="0"/>
          <w:bCs w:val="0"/>
          <w:color w:val="auto"/>
        </w:rPr>
        <w:t>Consumer Demand Weakness: A deterioration in South African household disposable income</w:t>
      </w:r>
      <w:r w:rsidR="00534C0C">
        <w:rPr>
          <w:b w:val="0"/>
          <w:bCs w:val="0"/>
          <w:color w:val="auto"/>
        </w:rPr>
        <w:t>,</w:t>
      </w:r>
      <w:r>
        <w:rPr>
          <w:b w:val="0"/>
          <w:bCs w:val="0"/>
          <w:color w:val="auto"/>
        </w:rPr>
        <w:t xml:space="preserve"> driven by further job losses, administered price increases, or interest rate hikes</w:t>
      </w:r>
      <w:r w:rsidR="00534C0C">
        <w:rPr>
          <w:b w:val="0"/>
          <w:bCs w:val="0"/>
          <w:color w:val="auto"/>
        </w:rPr>
        <w:t>,</w:t>
      </w:r>
      <w:r>
        <w:rPr>
          <w:b w:val="0"/>
          <w:bCs w:val="0"/>
          <w:color w:val="auto"/>
        </w:rPr>
        <w:t xml:space="preserve"> could accelerate consumer migration toward private-label products, reducing Tiger Brands' volume throughput and eroding market share in core staple categories.</w:t>
      </w:r>
    </w:p>
    <w:p w14:paraId="1D5F862B" w14:textId="6873AC8B" w:rsidR="00A41CA1" w:rsidRPr="00A41CA1" w:rsidRDefault="00A41CA1" w:rsidP="00A41CA1">
      <w:pPr>
        <w:pStyle w:val="Heading2"/>
        <w:rPr>
          <w:b w:val="0"/>
          <w:bCs w:val="0"/>
          <w:color w:val="auto"/>
        </w:rPr>
      </w:pPr>
      <w:r>
        <w:rPr>
          <w:b w:val="0"/>
          <w:bCs w:val="0"/>
          <w:color w:val="auto"/>
        </w:rPr>
        <w:t xml:space="preserve">Currency Volatility: While Tiger Brands sources </w:t>
      </w:r>
      <w:proofErr w:type="gramStart"/>
      <w:r>
        <w:rPr>
          <w:b w:val="0"/>
          <w:bCs w:val="0"/>
          <w:color w:val="auto"/>
        </w:rPr>
        <w:t>the majority of</w:t>
      </w:r>
      <w:proofErr w:type="gramEnd"/>
      <w:r>
        <w:rPr>
          <w:b w:val="0"/>
          <w:bCs w:val="0"/>
          <w:color w:val="auto"/>
        </w:rPr>
        <w:t xml:space="preserve"> its raw materials domestically, rand depreciation indirectly increases input costs because South African commodity prices</w:t>
      </w:r>
      <w:r w:rsidR="00534C0C">
        <w:rPr>
          <w:b w:val="0"/>
          <w:bCs w:val="0"/>
          <w:color w:val="auto"/>
        </w:rPr>
        <w:t>,</w:t>
      </w:r>
      <w:r>
        <w:rPr>
          <w:b w:val="0"/>
          <w:bCs w:val="0"/>
          <w:color w:val="auto"/>
        </w:rPr>
        <w:t xml:space="preserve"> particularly wheat and maize traded on SAFEX</w:t>
      </w:r>
      <w:r w:rsidR="00534C0C">
        <w:rPr>
          <w:b w:val="0"/>
          <w:bCs w:val="0"/>
          <w:color w:val="auto"/>
        </w:rPr>
        <w:t>,</w:t>
      </w:r>
      <w:r>
        <w:rPr>
          <w:b w:val="0"/>
          <w:bCs w:val="0"/>
          <w:color w:val="auto"/>
        </w:rPr>
        <w:t xml:space="preserve"> are influenced by global </w:t>
      </w:r>
      <w:r w:rsidR="00534C0C">
        <w:rPr>
          <w:b w:val="0"/>
          <w:bCs w:val="0"/>
          <w:color w:val="auto"/>
        </w:rPr>
        <w:t>dollar-denominated</w:t>
      </w:r>
      <w:r>
        <w:rPr>
          <w:b w:val="0"/>
          <w:bCs w:val="0"/>
          <w:color w:val="auto"/>
        </w:rPr>
        <w:t xml:space="preserve"> commodity markets. A weakening rand therefore transmits global </w:t>
      </w:r>
      <w:r>
        <w:rPr>
          <w:b w:val="0"/>
          <w:bCs w:val="0"/>
          <w:color w:val="auto"/>
        </w:rPr>
        <w:lastRenderedPageBreak/>
        <w:t>commodity inflation into Tiger Brands' local cost base, adding inflationary pressure above the modelled PPI rate.</w:t>
      </w:r>
    </w:p>
    <w:p w14:paraId="74AACE99" w14:textId="77777777" w:rsidR="00A41CA1" w:rsidRPr="00A41CA1" w:rsidRDefault="00A41CA1" w:rsidP="00A41CA1">
      <w:pPr>
        <w:pStyle w:val="Heading2"/>
        <w:rPr>
          <w:b w:val="0"/>
          <w:bCs w:val="0"/>
          <w:color w:val="auto"/>
        </w:rPr>
      </w:pPr>
      <w:r>
        <w:rPr>
          <w:b w:val="0"/>
          <w:bCs w:val="0"/>
          <w:color w:val="auto"/>
        </w:rPr>
        <w:t>Regulatory Risk: Changes to South African food labelling regulations, sugar taxation policies, or B-BBEE ownership requirements could impose additional compliance costs or constrain Tiger Brands' pricing flexibility, particularly in the beverages and snacks segments where regulatory scrutiny on sugar content is intensifying globally.</w:t>
      </w:r>
    </w:p>
    <w:p w14:paraId="57C4BF83" w14:textId="77777777" w:rsidR="00A41CA1" w:rsidRPr="00A41CA1" w:rsidRDefault="00A41CA1" w:rsidP="00A41CA1">
      <w:pPr>
        <w:pStyle w:val="Heading2"/>
        <w:rPr>
          <w:b w:val="0"/>
          <w:bCs w:val="0"/>
          <w:color w:val="auto"/>
        </w:rPr>
      </w:pPr>
      <w:r>
        <w:rPr>
          <w:b w:val="0"/>
          <w:bCs w:val="0"/>
          <w:color w:val="auto"/>
        </w:rPr>
        <w:t>Execution Risk: Failure to deliver the targeted R500 million in Continuous Improvement savings, or unforeseen operational disruptions at manufacturing facilities such as extended load-shedding or water supply failures would reduce Cash Operating Profit growth below the modelled 9.01% rate, weakening the free cash flow profile and compressing the implied intrinsic value toward the Bear Case outcome.</w:t>
      </w:r>
    </w:p>
    <w:p w14:paraId="31F3EF37" w14:textId="77777777" w:rsidR="00F9489E" w:rsidRDefault="00F9489E" w:rsidP="00F9489E">
      <w:pPr>
        <w:pStyle w:val="Heading2"/>
        <w:rPr>
          <w:sz w:val="28"/>
          <w:szCs w:val="28"/>
        </w:rPr>
      </w:pPr>
      <w:r>
        <w:rPr>
          <w:sz w:val="28"/>
          <w:szCs w:val="28"/>
        </w:rPr>
        <w:t>7.2 Upside Risks</w:t>
      </w:r>
    </w:p>
    <w:p w14:paraId="762CD6A9" w14:textId="77777777" w:rsidR="00F9489E" w:rsidRPr="00F9489E" w:rsidRDefault="00F9489E" w:rsidP="00F9489E">
      <w:pPr>
        <w:pStyle w:val="Heading2"/>
        <w:rPr>
          <w:sz w:val="28"/>
          <w:szCs w:val="28"/>
        </w:rPr>
      </w:pPr>
    </w:p>
    <w:p w14:paraId="31340EC0" w14:textId="77777777" w:rsidR="00EE3495" w:rsidRPr="00EE3495" w:rsidRDefault="00EE3495" w:rsidP="00EE3495">
      <w:pPr>
        <w:spacing w:after="240"/>
        <w:rPr>
          <w:sz w:val="24"/>
          <w:szCs w:val="24"/>
        </w:rPr>
      </w:pPr>
      <w:r>
        <w:rPr>
          <w:b/>
          <w:bCs/>
          <w:sz w:val="24"/>
          <w:szCs w:val="24"/>
        </w:rPr>
        <w:t>Faster Turnaround Delivery:</w:t>
      </w:r>
      <w:r>
        <w:rPr>
          <w:sz w:val="24"/>
          <w:szCs w:val="24"/>
        </w:rPr>
        <w:t xml:space="preserve"> If Tiger Brands exceeds its R500 million Continuous Improvement savings target through accelerated factory automation, deeper SKU rationalisation, or better-than-expected logistics efficiencies, Cash Operating Profit growth could materially outpace the modelled 9.01% rate. This would expand free cash flows beyond the Base Case projections and drive the implied intrinsic value toward the Bull Case estimate of approximately R334.34 per share.</w:t>
      </w:r>
    </w:p>
    <w:p w14:paraId="3526B13F" w14:textId="77777777" w:rsidR="00EE3495" w:rsidRPr="00EE3495" w:rsidRDefault="00EE3495" w:rsidP="00EE3495">
      <w:pPr>
        <w:spacing w:after="240"/>
        <w:rPr>
          <w:sz w:val="24"/>
          <w:szCs w:val="24"/>
        </w:rPr>
      </w:pPr>
      <w:r>
        <w:rPr>
          <w:b/>
          <w:bCs/>
          <w:sz w:val="24"/>
          <w:szCs w:val="24"/>
        </w:rPr>
        <w:t>Commodity Deflation:</w:t>
      </w:r>
      <w:r>
        <w:rPr>
          <w:sz w:val="24"/>
          <w:szCs w:val="24"/>
        </w:rPr>
        <w:t xml:space="preserve"> A favourable agricultural season producing abundant domestic harvests of white maize and wheat, combined with a strengthening rand reducing the local impact of global commodity prices, could push effective input cost inflation below the 2.30% PPI baseline. This would widen the spread between revenue growth and COGS growth beyond what the Base Case assumes, accelerating gross margin expansion ahead of the forecast trajectory.</w:t>
      </w:r>
    </w:p>
    <w:p w14:paraId="286A7B08" w14:textId="77777777" w:rsidR="00EE3495" w:rsidRPr="00EE3495" w:rsidRDefault="00EE3495" w:rsidP="00EE3495">
      <w:pPr>
        <w:spacing w:after="240"/>
        <w:rPr>
          <w:sz w:val="24"/>
          <w:szCs w:val="24"/>
        </w:rPr>
      </w:pPr>
      <w:r>
        <w:rPr>
          <w:b/>
          <w:bCs/>
          <w:sz w:val="24"/>
          <w:szCs w:val="24"/>
        </w:rPr>
        <w:t>African Market Expansion:</w:t>
      </w:r>
      <w:r>
        <w:rPr>
          <w:sz w:val="24"/>
          <w:szCs w:val="24"/>
        </w:rPr>
        <w:t xml:space="preserve"> Tiger Brands already exports to 22 countries across the African continent through an established third-party distributor network, meaning the infrastructure for growth exists without requiring significant additional capital investment. Accelerated penetration of high-growth sub-Saharan African markets driven by rising urbanisation, growing middle-class populations, and increasing demand for branded packaged food could add meaningful incremental revenue streams that are entirely excluded from the domestic-focused 3.02% Base Case revenue growth assumption, representing genuine unmodelled upside.</w:t>
      </w:r>
    </w:p>
    <w:p w14:paraId="17FE9DC7" w14:textId="77777777" w:rsidR="003C0648" w:rsidRPr="00F9489E" w:rsidRDefault="003C0648" w:rsidP="003C0648">
      <w:pPr>
        <w:spacing w:after="240"/>
        <w:ind w:firstLine="720"/>
        <w:rPr>
          <w:sz w:val="24"/>
          <w:szCs w:val="24"/>
        </w:rPr>
      </w:pPr>
    </w:p>
    <w:p w14:paraId="1DF793CB" w14:textId="77777777" w:rsidR="003C0648" w:rsidRPr="00F9489E" w:rsidRDefault="003C0648" w:rsidP="003C0648">
      <w:pPr>
        <w:spacing w:after="240"/>
        <w:ind w:firstLine="720"/>
        <w:rPr>
          <w:sz w:val="24"/>
          <w:szCs w:val="24"/>
        </w:rPr>
      </w:pPr>
    </w:p>
    <w:p w14:paraId="3DED8493" w14:textId="77777777" w:rsidR="003C0648" w:rsidRPr="00F9489E" w:rsidRDefault="003C0648" w:rsidP="003C0648">
      <w:pPr>
        <w:spacing w:after="240"/>
        <w:ind w:firstLine="720"/>
        <w:rPr>
          <w:sz w:val="24"/>
          <w:szCs w:val="24"/>
        </w:rPr>
      </w:pPr>
    </w:p>
    <w:p w14:paraId="5C03CD39" w14:textId="77777777" w:rsidR="003C0648" w:rsidRDefault="003C0648" w:rsidP="003C0648">
      <w:pPr>
        <w:spacing w:after="240"/>
        <w:ind w:firstLine="720"/>
      </w:pPr>
    </w:p>
    <w:p w14:paraId="18E4EB09" w14:textId="77777777" w:rsidR="00483B96" w:rsidRDefault="00483B96" w:rsidP="003C0648">
      <w:pPr>
        <w:spacing w:after="240"/>
        <w:ind w:firstLine="720"/>
      </w:pPr>
    </w:p>
    <w:p w14:paraId="21197E41" w14:textId="77777777" w:rsidR="00483B96" w:rsidRDefault="00483B96" w:rsidP="003C0648">
      <w:pPr>
        <w:spacing w:after="240"/>
        <w:ind w:firstLine="720"/>
      </w:pPr>
    </w:p>
    <w:p w14:paraId="6A0D501D" w14:textId="77777777" w:rsidR="00483B96" w:rsidRDefault="00483B96" w:rsidP="003C0648">
      <w:pPr>
        <w:spacing w:after="240"/>
        <w:ind w:firstLine="720"/>
      </w:pPr>
    </w:p>
    <w:p w14:paraId="405CD257" w14:textId="77777777" w:rsidR="003C0648" w:rsidRDefault="003C0648" w:rsidP="004331C6">
      <w:pPr>
        <w:spacing w:after="240"/>
      </w:pPr>
    </w:p>
    <w:p w14:paraId="43FE193F" w14:textId="77777777" w:rsidR="0065571E" w:rsidRDefault="00000000">
      <w:pPr>
        <w:pStyle w:val="Heading1"/>
        <w:pBdr>
          <w:bottom w:val="single" w:sz="8" w:space="4" w:color="1F3864"/>
        </w:pBdr>
      </w:pPr>
      <w:r>
        <w:lastRenderedPageBreak/>
        <w:t>References</w:t>
      </w:r>
    </w:p>
    <w:p w14:paraId="412899CA" w14:textId="77777777" w:rsidR="00543EB7" w:rsidRDefault="00543EB7" w:rsidP="00543EB7">
      <w:pPr>
        <w:spacing w:after="100"/>
        <w:jc w:val="both"/>
        <w:rPr>
          <w:sz w:val="24"/>
          <w:szCs w:val="24"/>
        </w:rPr>
      </w:pPr>
      <w:r>
        <w:rPr>
          <w:sz w:val="24"/>
          <w:szCs w:val="24"/>
        </w:rPr>
        <w:t xml:space="preserve">AVI Limited. (2025). </w:t>
      </w:r>
      <w:r>
        <w:rPr>
          <w:i/>
          <w:iCs/>
          <w:sz w:val="24"/>
          <w:szCs w:val="24"/>
        </w:rPr>
        <w:t>Results for the year ended 30 June 2025</w:t>
      </w:r>
      <w:r>
        <w:rPr>
          <w:sz w:val="24"/>
          <w:szCs w:val="24"/>
        </w:rPr>
        <w:t>. Johannesburg: AVI Limited.</w:t>
      </w:r>
    </w:p>
    <w:p w14:paraId="455048E5" w14:textId="659DA1BF" w:rsidR="00543EB7" w:rsidRDefault="00543EB7" w:rsidP="00543EB7">
      <w:pPr>
        <w:spacing w:before="60" w:after="60"/>
        <w:rPr>
          <w:sz w:val="24"/>
          <w:szCs w:val="24"/>
        </w:rPr>
      </w:pPr>
      <w:r w:rsidRPr="004331C6">
        <w:rPr>
          <w:sz w:val="24"/>
          <w:szCs w:val="24"/>
        </w:rPr>
        <w:t>Competition Commission of South Africa. (2024). Annual report 2023/2024. Pretoria: Competition Commission.</w:t>
      </w:r>
    </w:p>
    <w:p w14:paraId="0340C7DA" w14:textId="77777777" w:rsidR="00543EB7" w:rsidRDefault="00543EB7" w:rsidP="00543EB7">
      <w:pPr>
        <w:spacing w:after="100"/>
        <w:jc w:val="both"/>
        <w:rPr>
          <w:sz w:val="24"/>
          <w:szCs w:val="24"/>
        </w:rPr>
      </w:pPr>
      <w:r>
        <w:rPr>
          <w:sz w:val="24"/>
          <w:szCs w:val="24"/>
        </w:rPr>
        <w:t xml:space="preserve">Damodaran, A. (2024). </w:t>
      </w:r>
      <w:r>
        <w:rPr>
          <w:i/>
          <w:iCs/>
          <w:sz w:val="24"/>
          <w:szCs w:val="24"/>
        </w:rPr>
        <w:t>Equity risk premiums: Determinants, estimation, and implications</w:t>
      </w:r>
      <w:r>
        <w:rPr>
          <w:sz w:val="24"/>
          <w:szCs w:val="24"/>
        </w:rPr>
        <w:t>. New York: Stern School of Business, New York University.</w:t>
      </w:r>
    </w:p>
    <w:p w14:paraId="1BD6153F" w14:textId="50B8FF93" w:rsidR="00543EB7" w:rsidRDefault="00543EB7" w:rsidP="00543EB7">
      <w:pPr>
        <w:spacing w:after="100"/>
        <w:jc w:val="both"/>
        <w:rPr>
          <w:sz w:val="24"/>
          <w:szCs w:val="24"/>
        </w:rPr>
      </w:pPr>
      <w:r>
        <w:rPr>
          <w:sz w:val="24"/>
          <w:szCs w:val="24"/>
        </w:rPr>
        <w:t xml:space="preserve">Investing.com. (2026). </w:t>
      </w:r>
      <w:r>
        <w:rPr>
          <w:i/>
          <w:iCs/>
          <w:sz w:val="24"/>
          <w:szCs w:val="24"/>
        </w:rPr>
        <w:t>Tiger Brands Limited financial summary</w:t>
      </w:r>
      <w:r>
        <w:rPr>
          <w:sz w:val="24"/>
          <w:szCs w:val="24"/>
        </w:rPr>
        <w:t xml:space="preserve">. Retrieved from </w:t>
      </w:r>
      <w:hyperlink r:id="rId25" w:history="1">
        <w:r>
          <w:rPr>
            <w:rStyle w:val="Hyperlink"/>
            <w:sz w:val="24"/>
            <w:szCs w:val="24"/>
          </w:rPr>
          <w:t>https://www.investing.com/equities/tiger-brands-ltd-financial-summary</w:t>
        </w:r>
      </w:hyperlink>
    </w:p>
    <w:p w14:paraId="0DFEE676" w14:textId="06DBFA89" w:rsidR="00543EB7" w:rsidRPr="00FA2ECE" w:rsidRDefault="00543EB7" w:rsidP="00543EB7">
      <w:pPr>
        <w:spacing w:before="60" w:after="60"/>
        <w:rPr>
          <w:sz w:val="24"/>
          <w:szCs w:val="24"/>
        </w:rPr>
      </w:pPr>
      <w:r w:rsidRPr="004331C6">
        <w:rPr>
          <w:sz w:val="24"/>
          <w:szCs w:val="24"/>
        </w:rPr>
        <w:t>JSE Limited. (2025). SAFEX agricultural derivatives market data 2025. Johannesburg: JSE.</w:t>
      </w:r>
    </w:p>
    <w:p w14:paraId="63FD6B30" w14:textId="77777777" w:rsidR="00D44C00" w:rsidRDefault="00000000">
      <w:pPr>
        <w:spacing w:before="60" w:after="60"/>
        <w:rPr>
          <w:sz w:val="24"/>
          <w:szCs w:val="24"/>
        </w:rPr>
      </w:pPr>
      <w:proofErr w:type="spellStart"/>
      <w:r w:rsidRPr="004331C6">
        <w:rPr>
          <w:sz w:val="24"/>
          <w:szCs w:val="24"/>
        </w:rPr>
        <w:t>NielsenIQ</w:t>
      </w:r>
      <w:proofErr w:type="spellEnd"/>
      <w:r w:rsidRPr="004331C6">
        <w:rPr>
          <w:sz w:val="24"/>
          <w:szCs w:val="24"/>
        </w:rPr>
        <w:t xml:space="preserve"> South Africa. (2025). State of the retail nation: South Africa FMCG full year 2025. Johannesburg: </w:t>
      </w:r>
      <w:proofErr w:type="spellStart"/>
      <w:r w:rsidRPr="004331C6">
        <w:rPr>
          <w:sz w:val="24"/>
          <w:szCs w:val="24"/>
        </w:rPr>
        <w:t>NielsenIQ</w:t>
      </w:r>
      <w:proofErr w:type="spellEnd"/>
      <w:r w:rsidRPr="004331C6">
        <w:rPr>
          <w:sz w:val="24"/>
          <w:szCs w:val="24"/>
        </w:rPr>
        <w:t>.</w:t>
      </w:r>
    </w:p>
    <w:p w14:paraId="4CF66A65" w14:textId="05EB511E" w:rsidR="00543EB7" w:rsidRPr="00543EB7" w:rsidRDefault="00543EB7" w:rsidP="00543EB7">
      <w:pPr>
        <w:spacing w:after="100"/>
        <w:jc w:val="both"/>
      </w:pPr>
      <w:r>
        <w:rPr>
          <w:sz w:val="24"/>
          <w:szCs w:val="24"/>
        </w:rPr>
        <w:t xml:space="preserve">Nedbank CIB. (2025). </w:t>
      </w:r>
      <w:r>
        <w:rPr>
          <w:i/>
          <w:iCs/>
          <w:sz w:val="24"/>
          <w:szCs w:val="24"/>
        </w:rPr>
        <w:t>Tiger Brands: A promising turnaround</w:t>
      </w:r>
      <w:r>
        <w:rPr>
          <w:sz w:val="24"/>
          <w:szCs w:val="24"/>
        </w:rPr>
        <w:t xml:space="preserve">. Retrieved from </w:t>
      </w:r>
      <w:hyperlink r:id="rId26" w:history="1">
        <w:r>
          <w:rPr>
            <w:rStyle w:val="Hyperlink"/>
            <w:sz w:val="24"/>
            <w:szCs w:val="24"/>
          </w:rPr>
          <w:t>https://cib.nedbank.co.za</w:t>
        </w:r>
      </w:hyperlink>
    </w:p>
    <w:p w14:paraId="59B974E1" w14:textId="0CED47E2" w:rsidR="00543EB7" w:rsidRPr="00543EB7" w:rsidRDefault="00543EB7" w:rsidP="00543EB7">
      <w:pPr>
        <w:spacing w:after="100"/>
        <w:jc w:val="both"/>
        <w:rPr>
          <w:sz w:val="24"/>
          <w:szCs w:val="24"/>
        </w:rPr>
      </w:pPr>
      <w:r>
        <w:rPr>
          <w:sz w:val="24"/>
          <w:szCs w:val="24"/>
        </w:rPr>
        <w:t xml:space="preserve">Premier Group Holdings. (2025). </w:t>
      </w:r>
      <w:r>
        <w:rPr>
          <w:i/>
          <w:iCs/>
          <w:sz w:val="24"/>
          <w:szCs w:val="24"/>
        </w:rPr>
        <w:t>Annual results presentation FY2025</w:t>
      </w:r>
      <w:r>
        <w:rPr>
          <w:sz w:val="24"/>
          <w:szCs w:val="24"/>
        </w:rPr>
        <w:t>. Johannesburg: Premier Group.</w:t>
      </w:r>
    </w:p>
    <w:p w14:paraId="58C39060" w14:textId="77777777" w:rsidR="00543EB7" w:rsidRPr="00FA2ECE" w:rsidRDefault="00543EB7" w:rsidP="00543EB7">
      <w:pPr>
        <w:spacing w:after="100"/>
        <w:jc w:val="both"/>
        <w:rPr>
          <w:sz w:val="24"/>
          <w:szCs w:val="24"/>
        </w:rPr>
      </w:pPr>
      <w:r>
        <w:rPr>
          <w:sz w:val="24"/>
          <w:szCs w:val="24"/>
        </w:rPr>
        <w:t xml:space="preserve">RCL Foods Limited. (2025). </w:t>
      </w:r>
      <w:r>
        <w:rPr>
          <w:i/>
          <w:iCs/>
          <w:sz w:val="24"/>
          <w:szCs w:val="24"/>
        </w:rPr>
        <w:t>Integrated annual report 2025</w:t>
      </w:r>
      <w:r>
        <w:rPr>
          <w:sz w:val="24"/>
          <w:szCs w:val="24"/>
        </w:rPr>
        <w:t>. Durban: RCL Foods Limited.</w:t>
      </w:r>
    </w:p>
    <w:p w14:paraId="024414FC" w14:textId="77777777" w:rsidR="00543EB7" w:rsidRPr="004331C6" w:rsidRDefault="00543EB7" w:rsidP="00543EB7">
      <w:pPr>
        <w:spacing w:before="60" w:after="60"/>
        <w:rPr>
          <w:sz w:val="24"/>
          <w:szCs w:val="24"/>
        </w:rPr>
      </w:pPr>
      <w:r w:rsidRPr="004331C6">
        <w:rPr>
          <w:sz w:val="24"/>
          <w:szCs w:val="24"/>
        </w:rPr>
        <w:t>Statistics South Africa. (2025). Quarterly labour force survey Q4 2025. Pretoria: Stats SA.</w:t>
      </w:r>
    </w:p>
    <w:p w14:paraId="054C8EDC" w14:textId="77777777" w:rsidR="00543EB7" w:rsidRPr="00FA2ECE" w:rsidRDefault="00543EB7" w:rsidP="00543EB7">
      <w:pPr>
        <w:spacing w:after="100"/>
        <w:jc w:val="both"/>
        <w:rPr>
          <w:sz w:val="24"/>
          <w:szCs w:val="24"/>
        </w:rPr>
      </w:pPr>
      <w:r>
        <w:rPr>
          <w:sz w:val="24"/>
          <w:szCs w:val="24"/>
        </w:rPr>
        <w:t xml:space="preserve">South African Reserve Bank. (2026). </w:t>
      </w:r>
      <w:r>
        <w:rPr>
          <w:i/>
          <w:iCs/>
          <w:sz w:val="24"/>
          <w:szCs w:val="24"/>
        </w:rPr>
        <w:t>Monetary policy statement</w:t>
      </w:r>
      <w:r>
        <w:rPr>
          <w:sz w:val="24"/>
          <w:szCs w:val="24"/>
        </w:rPr>
        <w:t>. Pretoria: SARB.</w:t>
      </w:r>
    </w:p>
    <w:p w14:paraId="65112F1D" w14:textId="77777777" w:rsidR="00543EB7" w:rsidRPr="00FA2ECE" w:rsidRDefault="00543EB7" w:rsidP="00543EB7">
      <w:pPr>
        <w:spacing w:after="100"/>
        <w:jc w:val="both"/>
        <w:rPr>
          <w:sz w:val="24"/>
          <w:szCs w:val="24"/>
        </w:rPr>
      </w:pPr>
      <w:r>
        <w:rPr>
          <w:sz w:val="24"/>
          <w:szCs w:val="24"/>
        </w:rPr>
        <w:t xml:space="preserve">Statistics South Africa. (2026, April). </w:t>
      </w:r>
      <w:r>
        <w:rPr>
          <w:i/>
          <w:iCs/>
          <w:sz w:val="24"/>
          <w:szCs w:val="24"/>
        </w:rPr>
        <w:t>Producer Price Index March 2026</w:t>
      </w:r>
      <w:r>
        <w:rPr>
          <w:sz w:val="24"/>
          <w:szCs w:val="24"/>
        </w:rPr>
        <w:t xml:space="preserve">. Pretoria: </w:t>
      </w:r>
      <w:proofErr w:type="spellStart"/>
      <w:r>
        <w:rPr>
          <w:sz w:val="24"/>
          <w:szCs w:val="24"/>
        </w:rPr>
        <w:t>StatsSA</w:t>
      </w:r>
      <w:proofErr w:type="spellEnd"/>
      <w:r>
        <w:rPr>
          <w:sz w:val="24"/>
          <w:szCs w:val="24"/>
        </w:rPr>
        <w:t>.</w:t>
      </w:r>
    </w:p>
    <w:p w14:paraId="1BA646A4" w14:textId="77777777" w:rsidR="00543EB7" w:rsidRPr="004331C6" w:rsidRDefault="00543EB7" w:rsidP="00543EB7">
      <w:pPr>
        <w:spacing w:before="60" w:after="60"/>
        <w:rPr>
          <w:sz w:val="24"/>
          <w:szCs w:val="24"/>
        </w:rPr>
      </w:pPr>
      <w:r w:rsidRPr="004331C6">
        <w:rPr>
          <w:sz w:val="24"/>
          <w:szCs w:val="24"/>
        </w:rPr>
        <w:t>Tiger Brands Limited. (2025). Integrated annual report 2025. Johannesburg: Tiger Brands Limited.</w:t>
      </w:r>
    </w:p>
    <w:p w14:paraId="01DC2586" w14:textId="77777777" w:rsidR="00543EB7" w:rsidRPr="00FA2ECE" w:rsidRDefault="00543EB7" w:rsidP="00543EB7">
      <w:pPr>
        <w:spacing w:after="100"/>
        <w:jc w:val="both"/>
        <w:rPr>
          <w:sz w:val="24"/>
          <w:szCs w:val="24"/>
        </w:rPr>
      </w:pPr>
      <w:r>
        <w:rPr>
          <w:sz w:val="24"/>
          <w:szCs w:val="24"/>
        </w:rPr>
        <w:t xml:space="preserve">Tiger Brands Limited. (2023). </w:t>
      </w:r>
      <w:r>
        <w:rPr>
          <w:i/>
          <w:iCs/>
          <w:sz w:val="24"/>
          <w:szCs w:val="24"/>
        </w:rPr>
        <w:t>Annual financial statements FY2021–FY2023</w:t>
      </w:r>
      <w:r>
        <w:rPr>
          <w:sz w:val="24"/>
          <w:szCs w:val="24"/>
        </w:rPr>
        <w:t>. Johannesburg: Tiger Brands Limited.</w:t>
      </w:r>
    </w:p>
    <w:p w14:paraId="7598339C" w14:textId="77777777" w:rsidR="00543EB7" w:rsidRPr="00FA2ECE" w:rsidRDefault="00543EB7" w:rsidP="00543EB7">
      <w:pPr>
        <w:spacing w:after="100"/>
        <w:jc w:val="both"/>
        <w:rPr>
          <w:sz w:val="24"/>
          <w:szCs w:val="24"/>
        </w:rPr>
      </w:pPr>
      <w:r>
        <w:rPr>
          <w:sz w:val="24"/>
          <w:szCs w:val="24"/>
        </w:rPr>
        <w:t xml:space="preserve">Tiger Brands Limited. (2025). </w:t>
      </w:r>
      <w:r>
        <w:rPr>
          <w:i/>
          <w:iCs/>
          <w:sz w:val="24"/>
          <w:szCs w:val="24"/>
        </w:rPr>
        <w:t>Group annual financial statements FY2024–FY2025</w:t>
      </w:r>
      <w:r>
        <w:rPr>
          <w:sz w:val="24"/>
          <w:szCs w:val="24"/>
        </w:rPr>
        <w:t>. Johannesburg: Tiger Brands Limited.</w:t>
      </w:r>
    </w:p>
    <w:p w14:paraId="6B00CEC6" w14:textId="77777777" w:rsidR="00543EB7" w:rsidRPr="00FA2ECE" w:rsidRDefault="00543EB7" w:rsidP="00543EB7">
      <w:pPr>
        <w:spacing w:after="100"/>
        <w:jc w:val="both"/>
        <w:rPr>
          <w:sz w:val="24"/>
          <w:szCs w:val="24"/>
        </w:rPr>
      </w:pPr>
      <w:r>
        <w:rPr>
          <w:sz w:val="24"/>
          <w:szCs w:val="24"/>
        </w:rPr>
        <w:t xml:space="preserve">Tiger Brands Limited. (2025). </w:t>
      </w:r>
      <w:r>
        <w:rPr>
          <w:i/>
          <w:iCs/>
          <w:sz w:val="24"/>
          <w:szCs w:val="24"/>
        </w:rPr>
        <w:t>Interim results presentation H1 FY2025</w:t>
      </w:r>
      <w:r>
        <w:rPr>
          <w:sz w:val="24"/>
          <w:szCs w:val="24"/>
        </w:rPr>
        <w:t xml:space="preserve">. Retrieved from </w:t>
      </w:r>
      <w:hyperlink r:id="rId27" w:history="1">
        <w:r>
          <w:rPr>
            <w:rStyle w:val="Hyperlink"/>
            <w:sz w:val="24"/>
            <w:szCs w:val="24"/>
          </w:rPr>
          <w:t>https://www.tigerbrands.com</w:t>
        </w:r>
      </w:hyperlink>
    </w:p>
    <w:p w14:paraId="79194045" w14:textId="77777777" w:rsidR="00543EB7" w:rsidRPr="00FA2ECE" w:rsidRDefault="00543EB7" w:rsidP="00543EB7">
      <w:pPr>
        <w:spacing w:after="100"/>
        <w:jc w:val="both"/>
        <w:rPr>
          <w:sz w:val="24"/>
          <w:szCs w:val="24"/>
        </w:rPr>
      </w:pPr>
    </w:p>
    <w:p w14:paraId="44C35398" w14:textId="77777777" w:rsidR="005A4BFC" w:rsidRPr="005A4BFC" w:rsidRDefault="005A4BFC" w:rsidP="00FA2ECE">
      <w:pPr>
        <w:spacing w:after="100"/>
        <w:jc w:val="both"/>
        <w:rPr>
          <w:sz w:val="24"/>
          <w:szCs w:val="24"/>
        </w:rPr>
      </w:pPr>
    </w:p>
    <w:sectPr w:rsidR="005A4BFC" w:rsidRPr="005A4BFC">
      <w:headerReference w:type="default" r:id="rId28"/>
      <w:footerReference w:type="default" r:id="rId2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F0FCF" w14:textId="77777777" w:rsidR="00875733" w:rsidRDefault="00875733">
      <w:r>
        <w:separator/>
      </w:r>
    </w:p>
  </w:endnote>
  <w:endnote w:type="continuationSeparator" w:id="0">
    <w:p w14:paraId="6F591841" w14:textId="77777777" w:rsidR="00875733" w:rsidRDefault="00875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B1B79" w14:textId="77777777" w:rsidR="0065571E" w:rsidRDefault="00000000">
    <w:pPr>
      <w:pBdr>
        <w:top w:val="single" w:sz="4" w:space="2" w:color="2E75B6"/>
      </w:pBdr>
      <w:tabs>
        <w:tab w:val="right" w:pos="9026"/>
      </w:tabs>
    </w:pPr>
    <w:r>
      <w:rPr>
        <w:color w:val="595959"/>
        <w:sz w:val="16"/>
        <w:szCs w:val="16"/>
      </w:rPr>
      <w:t>Confidential | Academic Submission | JSE: TBS.JO</w:t>
    </w: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3C6AC" w14:textId="77777777" w:rsidR="00875733" w:rsidRDefault="00875733">
      <w:r>
        <w:separator/>
      </w:r>
    </w:p>
  </w:footnote>
  <w:footnote w:type="continuationSeparator" w:id="0">
    <w:p w14:paraId="449B9DB7" w14:textId="77777777" w:rsidR="00875733" w:rsidRDefault="00875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469AD" w14:textId="77777777" w:rsidR="0065571E" w:rsidRDefault="00000000">
    <w:pPr>
      <w:pBdr>
        <w:bottom w:val="single" w:sz="4" w:space="2" w:color="2E75B6"/>
      </w:pBdr>
      <w:tabs>
        <w:tab w:val="right" w:pos="9026"/>
      </w:tabs>
    </w:pPr>
    <w:r>
      <w:rPr>
        <w:color w:val="595959"/>
        <w:sz w:val="16"/>
        <w:szCs w:val="16"/>
      </w:rPr>
      <w:t xml:space="preserve">TIGER BRANDS </w:t>
    </w:r>
    <w:r w:rsidR="007E2FDF">
      <w:rPr>
        <w:color w:val="595959"/>
        <w:sz w:val="16"/>
        <w:szCs w:val="16"/>
      </w:rPr>
      <w:t xml:space="preserve">LIMITED </w:t>
    </w:r>
    <w:r w:rsidR="009211DB">
      <w:rPr>
        <w:color w:val="595959"/>
        <w:sz w:val="16"/>
        <w:szCs w:val="16"/>
      </w:rPr>
      <w:t>| EQUITY</w:t>
    </w:r>
    <w:r>
      <w:rPr>
        <w:color w:val="595959"/>
        <w:sz w:val="16"/>
        <w:szCs w:val="16"/>
      </w:rPr>
      <w:t xml:space="preserve"> RESEARCH </w:t>
    </w:r>
    <w:r w:rsidR="009211DB">
      <w:rPr>
        <w:color w:val="595959"/>
        <w:sz w:val="16"/>
        <w:szCs w:val="16"/>
      </w:rPr>
      <w:t>REPORT | ESEC</w:t>
    </w:r>
    <w:r>
      <w:rPr>
        <w:color w:val="595959"/>
        <w:sz w:val="16"/>
        <w:szCs w:val="16"/>
      </w:rPr>
      <w:t>6814</w:t>
    </w:r>
    <w:r>
      <w:rPr>
        <w:sz w:val="16"/>
        <w:szCs w:val="16"/>
      </w:rPr>
      <w:tab/>
    </w:r>
    <w:r>
      <w:rPr>
        <w:color w:val="595959"/>
        <w:sz w:val="16"/>
        <w:szCs w:val="16"/>
      </w:rPr>
      <w:t>Mamello Malape | 2023232750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1813"/>
    <w:multiLevelType w:val="hybridMultilevel"/>
    <w:tmpl w:val="7B224BBA"/>
    <w:lvl w:ilvl="0" w:tplc="81DE8F4A">
      <w:start w:val="1"/>
      <w:numFmt w:val="bullet"/>
      <w:lvlText w:val="●"/>
      <w:lvlJc w:val="left"/>
      <w:pPr>
        <w:ind w:left="720" w:hanging="360"/>
      </w:pPr>
    </w:lvl>
    <w:lvl w:ilvl="1" w:tplc="B18E4412">
      <w:start w:val="1"/>
      <w:numFmt w:val="bullet"/>
      <w:lvlText w:val="○"/>
      <w:lvlJc w:val="left"/>
      <w:pPr>
        <w:ind w:left="1440" w:hanging="360"/>
      </w:pPr>
    </w:lvl>
    <w:lvl w:ilvl="2" w:tplc="DCF2EC6A">
      <w:start w:val="1"/>
      <w:numFmt w:val="bullet"/>
      <w:lvlText w:val="■"/>
      <w:lvlJc w:val="left"/>
      <w:pPr>
        <w:ind w:left="2160" w:hanging="360"/>
      </w:pPr>
    </w:lvl>
    <w:lvl w:ilvl="3" w:tplc="41B2CB7C">
      <w:start w:val="1"/>
      <w:numFmt w:val="bullet"/>
      <w:lvlText w:val="●"/>
      <w:lvlJc w:val="left"/>
      <w:pPr>
        <w:ind w:left="2880" w:hanging="360"/>
      </w:pPr>
    </w:lvl>
    <w:lvl w:ilvl="4" w:tplc="CA5E13A2">
      <w:start w:val="1"/>
      <w:numFmt w:val="bullet"/>
      <w:lvlText w:val="○"/>
      <w:lvlJc w:val="left"/>
      <w:pPr>
        <w:ind w:left="3600" w:hanging="360"/>
      </w:pPr>
    </w:lvl>
    <w:lvl w:ilvl="5" w:tplc="9F74BDAC">
      <w:start w:val="1"/>
      <w:numFmt w:val="bullet"/>
      <w:lvlText w:val="■"/>
      <w:lvlJc w:val="left"/>
      <w:pPr>
        <w:ind w:left="4320" w:hanging="360"/>
      </w:pPr>
    </w:lvl>
    <w:lvl w:ilvl="6" w:tplc="F9725324">
      <w:start w:val="1"/>
      <w:numFmt w:val="bullet"/>
      <w:lvlText w:val="●"/>
      <w:lvlJc w:val="left"/>
      <w:pPr>
        <w:ind w:left="5040" w:hanging="360"/>
      </w:pPr>
    </w:lvl>
    <w:lvl w:ilvl="7" w:tplc="1700DBE4">
      <w:start w:val="1"/>
      <w:numFmt w:val="bullet"/>
      <w:lvlText w:val="●"/>
      <w:lvlJc w:val="left"/>
      <w:pPr>
        <w:ind w:left="5760" w:hanging="360"/>
      </w:pPr>
    </w:lvl>
    <w:lvl w:ilvl="8" w:tplc="406CDCDE">
      <w:start w:val="1"/>
      <w:numFmt w:val="bullet"/>
      <w:lvlText w:val="●"/>
      <w:lvlJc w:val="left"/>
      <w:pPr>
        <w:ind w:left="6480" w:hanging="360"/>
      </w:pPr>
    </w:lvl>
  </w:abstractNum>
  <w:abstractNum w:abstractNumId="1" w15:restartNumberingAfterBreak="0">
    <w:nsid w:val="17275F8F"/>
    <w:multiLevelType w:val="multilevel"/>
    <w:tmpl w:val="63DE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866AA"/>
    <w:multiLevelType w:val="hybridMultilevel"/>
    <w:tmpl w:val="6F92C3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9C31B5E"/>
    <w:multiLevelType w:val="hybridMultilevel"/>
    <w:tmpl w:val="32AC7524"/>
    <w:lvl w:ilvl="0" w:tplc="77881976">
      <w:start w:val="1"/>
      <w:numFmt w:val="bullet"/>
      <w:lvlText w:val="•"/>
      <w:lvlJc w:val="left"/>
      <w:pPr>
        <w:ind w:left="720" w:hanging="360"/>
      </w:pPr>
    </w:lvl>
    <w:lvl w:ilvl="1" w:tplc="398634FE">
      <w:start w:val="1"/>
      <w:numFmt w:val="bullet"/>
      <w:lvlText w:val="◦"/>
      <w:lvlJc w:val="left"/>
      <w:pPr>
        <w:ind w:left="1080" w:hanging="360"/>
      </w:pPr>
    </w:lvl>
    <w:lvl w:ilvl="2" w:tplc="7C60DF96">
      <w:numFmt w:val="decimal"/>
      <w:lvlText w:val=""/>
      <w:lvlJc w:val="left"/>
    </w:lvl>
    <w:lvl w:ilvl="3" w:tplc="301050A6">
      <w:numFmt w:val="decimal"/>
      <w:lvlText w:val=""/>
      <w:lvlJc w:val="left"/>
    </w:lvl>
    <w:lvl w:ilvl="4" w:tplc="571A136A">
      <w:numFmt w:val="decimal"/>
      <w:lvlText w:val=""/>
      <w:lvlJc w:val="left"/>
    </w:lvl>
    <w:lvl w:ilvl="5" w:tplc="4DDA0FB8">
      <w:numFmt w:val="decimal"/>
      <w:lvlText w:val=""/>
      <w:lvlJc w:val="left"/>
    </w:lvl>
    <w:lvl w:ilvl="6" w:tplc="84484AEA">
      <w:numFmt w:val="decimal"/>
      <w:lvlText w:val=""/>
      <w:lvlJc w:val="left"/>
    </w:lvl>
    <w:lvl w:ilvl="7" w:tplc="66507A64">
      <w:numFmt w:val="decimal"/>
      <w:lvlText w:val=""/>
      <w:lvlJc w:val="left"/>
    </w:lvl>
    <w:lvl w:ilvl="8" w:tplc="BE347232">
      <w:numFmt w:val="decimal"/>
      <w:lvlText w:val=""/>
      <w:lvlJc w:val="left"/>
    </w:lvl>
  </w:abstractNum>
  <w:abstractNum w:abstractNumId="4" w15:restartNumberingAfterBreak="0">
    <w:nsid w:val="577D12B5"/>
    <w:multiLevelType w:val="hybridMultilevel"/>
    <w:tmpl w:val="BE5C3E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ECB16AE"/>
    <w:multiLevelType w:val="hybridMultilevel"/>
    <w:tmpl w:val="9F4C9E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86346478">
    <w:abstractNumId w:val="0"/>
    <w:lvlOverride w:ilvl="0">
      <w:startOverride w:val="1"/>
    </w:lvlOverride>
  </w:num>
  <w:num w:numId="2" w16cid:durableId="1175920115">
    <w:abstractNumId w:val="3"/>
    <w:lvlOverride w:ilvl="0">
      <w:startOverride w:val="1"/>
    </w:lvlOverride>
  </w:num>
  <w:num w:numId="3" w16cid:durableId="103618270">
    <w:abstractNumId w:val="1"/>
  </w:num>
  <w:num w:numId="4" w16cid:durableId="592325418">
    <w:abstractNumId w:val="2"/>
  </w:num>
  <w:num w:numId="5" w16cid:durableId="1089692137">
    <w:abstractNumId w:val="5"/>
  </w:num>
  <w:num w:numId="6" w16cid:durableId="334039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71E"/>
    <w:rsid w:val="00025972"/>
    <w:rsid w:val="000413F3"/>
    <w:rsid w:val="000A56EE"/>
    <w:rsid w:val="000E04F3"/>
    <w:rsid w:val="00105056"/>
    <w:rsid w:val="00177CA5"/>
    <w:rsid w:val="001E046D"/>
    <w:rsid w:val="001F2A0D"/>
    <w:rsid w:val="00212ECA"/>
    <w:rsid w:val="0023254A"/>
    <w:rsid w:val="00257857"/>
    <w:rsid w:val="002614BC"/>
    <w:rsid w:val="002721C2"/>
    <w:rsid w:val="002B4B5D"/>
    <w:rsid w:val="002D19D2"/>
    <w:rsid w:val="003106EE"/>
    <w:rsid w:val="00357F10"/>
    <w:rsid w:val="003C0648"/>
    <w:rsid w:val="003F0A20"/>
    <w:rsid w:val="004331C6"/>
    <w:rsid w:val="00471D05"/>
    <w:rsid w:val="00483B96"/>
    <w:rsid w:val="004B06F0"/>
    <w:rsid w:val="004D5CAA"/>
    <w:rsid w:val="004F303D"/>
    <w:rsid w:val="00534C0C"/>
    <w:rsid w:val="00543EB7"/>
    <w:rsid w:val="00586DB8"/>
    <w:rsid w:val="00593F3F"/>
    <w:rsid w:val="005A4BFC"/>
    <w:rsid w:val="005C0BD8"/>
    <w:rsid w:val="006150E8"/>
    <w:rsid w:val="006339F5"/>
    <w:rsid w:val="0065571E"/>
    <w:rsid w:val="006769BF"/>
    <w:rsid w:val="006847ED"/>
    <w:rsid w:val="00695493"/>
    <w:rsid w:val="00716C35"/>
    <w:rsid w:val="007439B7"/>
    <w:rsid w:val="00766B55"/>
    <w:rsid w:val="007B5D3A"/>
    <w:rsid w:val="007E2FDF"/>
    <w:rsid w:val="0084196C"/>
    <w:rsid w:val="00875733"/>
    <w:rsid w:val="008D684F"/>
    <w:rsid w:val="008D688B"/>
    <w:rsid w:val="008E3CB7"/>
    <w:rsid w:val="008F2169"/>
    <w:rsid w:val="009211DB"/>
    <w:rsid w:val="00930B56"/>
    <w:rsid w:val="0094601E"/>
    <w:rsid w:val="00953A7A"/>
    <w:rsid w:val="00954F05"/>
    <w:rsid w:val="009619D9"/>
    <w:rsid w:val="00973405"/>
    <w:rsid w:val="00A3252F"/>
    <w:rsid w:val="00A41CA1"/>
    <w:rsid w:val="00A62B4D"/>
    <w:rsid w:val="00AD7B66"/>
    <w:rsid w:val="00AF5B48"/>
    <w:rsid w:val="00B1209A"/>
    <w:rsid w:val="00B571B2"/>
    <w:rsid w:val="00BB7736"/>
    <w:rsid w:val="00C14C60"/>
    <w:rsid w:val="00C8244C"/>
    <w:rsid w:val="00C930A9"/>
    <w:rsid w:val="00D44C00"/>
    <w:rsid w:val="00D4647C"/>
    <w:rsid w:val="00D63182"/>
    <w:rsid w:val="00DA0454"/>
    <w:rsid w:val="00DA1160"/>
    <w:rsid w:val="00DB5BD3"/>
    <w:rsid w:val="00E008A8"/>
    <w:rsid w:val="00E84156"/>
    <w:rsid w:val="00EA30E5"/>
    <w:rsid w:val="00EE3495"/>
    <w:rsid w:val="00F02EB8"/>
    <w:rsid w:val="00F05A2C"/>
    <w:rsid w:val="00F65464"/>
    <w:rsid w:val="00F9489E"/>
    <w:rsid w:val="00F968D3"/>
    <w:rsid w:val="00FA2ECE"/>
    <w:rsid w:val="00FE0AC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65C65"/>
  <w15:docId w15:val="{6298592B-CB10-4B8C-9FB0-CC0AD4644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160" w:after="6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E046D"/>
    <w:pPr>
      <w:tabs>
        <w:tab w:val="center" w:pos="4513"/>
        <w:tab w:val="right" w:pos="9026"/>
      </w:tabs>
    </w:pPr>
  </w:style>
  <w:style w:type="character" w:customStyle="1" w:styleId="HeaderChar">
    <w:name w:val="Header Char"/>
    <w:basedOn w:val="DefaultParagraphFont"/>
    <w:link w:val="Header"/>
    <w:uiPriority w:val="99"/>
    <w:rsid w:val="001E046D"/>
  </w:style>
  <w:style w:type="paragraph" w:styleId="Footer">
    <w:name w:val="footer"/>
    <w:basedOn w:val="Normal"/>
    <w:link w:val="FooterChar"/>
    <w:uiPriority w:val="99"/>
    <w:unhideWhenUsed/>
    <w:rsid w:val="001E046D"/>
    <w:pPr>
      <w:tabs>
        <w:tab w:val="center" w:pos="4513"/>
        <w:tab w:val="right" w:pos="9026"/>
      </w:tabs>
    </w:pPr>
  </w:style>
  <w:style w:type="character" w:customStyle="1" w:styleId="FooterChar">
    <w:name w:val="Footer Char"/>
    <w:basedOn w:val="DefaultParagraphFont"/>
    <w:link w:val="Footer"/>
    <w:uiPriority w:val="99"/>
    <w:rsid w:val="001E046D"/>
  </w:style>
  <w:style w:type="paragraph" w:customStyle="1" w:styleId="font-claude-response-body">
    <w:name w:val="font-claude-response-body"/>
    <w:basedOn w:val="Normal"/>
    <w:rsid w:val="002B4B5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B4B5D"/>
    <w:rPr>
      <w:b/>
      <w:bCs/>
    </w:rPr>
  </w:style>
  <w:style w:type="table" w:styleId="TableGrid">
    <w:name w:val="Table Grid"/>
    <w:basedOn w:val="TableNormal"/>
    <w:uiPriority w:val="39"/>
    <w:rsid w:val="00766B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A4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49133">
      <w:bodyDiv w:val="1"/>
      <w:marLeft w:val="0"/>
      <w:marRight w:val="0"/>
      <w:marTop w:val="0"/>
      <w:marBottom w:val="0"/>
      <w:divBdr>
        <w:top w:val="none" w:sz="0" w:space="0" w:color="auto"/>
        <w:left w:val="none" w:sz="0" w:space="0" w:color="auto"/>
        <w:bottom w:val="none" w:sz="0" w:space="0" w:color="auto"/>
        <w:right w:val="none" w:sz="0" w:space="0" w:color="auto"/>
      </w:divBdr>
    </w:div>
    <w:div w:id="64492792">
      <w:bodyDiv w:val="1"/>
      <w:marLeft w:val="0"/>
      <w:marRight w:val="0"/>
      <w:marTop w:val="0"/>
      <w:marBottom w:val="0"/>
      <w:divBdr>
        <w:top w:val="none" w:sz="0" w:space="0" w:color="auto"/>
        <w:left w:val="none" w:sz="0" w:space="0" w:color="auto"/>
        <w:bottom w:val="none" w:sz="0" w:space="0" w:color="auto"/>
        <w:right w:val="none" w:sz="0" w:space="0" w:color="auto"/>
      </w:divBdr>
      <w:divsChild>
        <w:div w:id="1634556684">
          <w:marLeft w:val="0"/>
          <w:marRight w:val="0"/>
          <w:marTop w:val="0"/>
          <w:marBottom w:val="0"/>
          <w:divBdr>
            <w:top w:val="none" w:sz="0" w:space="0" w:color="auto"/>
            <w:left w:val="none" w:sz="0" w:space="0" w:color="auto"/>
            <w:bottom w:val="none" w:sz="0" w:space="0" w:color="auto"/>
            <w:right w:val="none" w:sz="0" w:space="0" w:color="auto"/>
          </w:divBdr>
          <w:divsChild>
            <w:div w:id="1893883386">
              <w:marLeft w:val="0"/>
              <w:marRight w:val="0"/>
              <w:marTop w:val="0"/>
              <w:marBottom w:val="0"/>
              <w:divBdr>
                <w:top w:val="none" w:sz="0" w:space="0" w:color="auto"/>
                <w:left w:val="none" w:sz="0" w:space="0" w:color="auto"/>
                <w:bottom w:val="none" w:sz="0" w:space="0" w:color="auto"/>
                <w:right w:val="none" w:sz="0" w:space="0" w:color="auto"/>
              </w:divBdr>
              <w:divsChild>
                <w:div w:id="1027175228">
                  <w:marLeft w:val="0"/>
                  <w:marRight w:val="0"/>
                  <w:marTop w:val="0"/>
                  <w:marBottom w:val="0"/>
                  <w:divBdr>
                    <w:top w:val="none" w:sz="0" w:space="0" w:color="auto"/>
                    <w:left w:val="none" w:sz="0" w:space="0" w:color="auto"/>
                    <w:bottom w:val="none" w:sz="0" w:space="0" w:color="auto"/>
                    <w:right w:val="none" w:sz="0" w:space="0" w:color="auto"/>
                  </w:divBdr>
                  <w:divsChild>
                    <w:div w:id="1566256085">
                      <w:marLeft w:val="0"/>
                      <w:marRight w:val="0"/>
                      <w:marTop w:val="0"/>
                      <w:marBottom w:val="0"/>
                      <w:divBdr>
                        <w:top w:val="none" w:sz="0" w:space="0" w:color="auto"/>
                        <w:left w:val="none" w:sz="0" w:space="0" w:color="auto"/>
                        <w:bottom w:val="none" w:sz="0" w:space="0" w:color="auto"/>
                        <w:right w:val="none" w:sz="0" w:space="0" w:color="auto"/>
                      </w:divBdr>
                      <w:divsChild>
                        <w:div w:id="1754743338">
                          <w:marLeft w:val="0"/>
                          <w:marRight w:val="0"/>
                          <w:marTop w:val="0"/>
                          <w:marBottom w:val="0"/>
                          <w:divBdr>
                            <w:top w:val="none" w:sz="0" w:space="0" w:color="auto"/>
                            <w:left w:val="none" w:sz="0" w:space="0" w:color="auto"/>
                            <w:bottom w:val="none" w:sz="0" w:space="0" w:color="auto"/>
                            <w:right w:val="none" w:sz="0" w:space="0" w:color="auto"/>
                          </w:divBdr>
                          <w:divsChild>
                            <w:div w:id="440875882">
                              <w:marLeft w:val="0"/>
                              <w:marRight w:val="0"/>
                              <w:marTop w:val="0"/>
                              <w:marBottom w:val="0"/>
                              <w:divBdr>
                                <w:top w:val="none" w:sz="0" w:space="0" w:color="auto"/>
                                <w:left w:val="none" w:sz="0" w:space="0" w:color="auto"/>
                                <w:bottom w:val="none" w:sz="0" w:space="0" w:color="auto"/>
                                <w:right w:val="none" w:sz="0" w:space="0" w:color="auto"/>
                              </w:divBdr>
                              <w:divsChild>
                                <w:div w:id="96676110">
                                  <w:marLeft w:val="0"/>
                                  <w:marRight w:val="0"/>
                                  <w:marTop w:val="0"/>
                                  <w:marBottom w:val="0"/>
                                  <w:divBdr>
                                    <w:top w:val="none" w:sz="0" w:space="0" w:color="auto"/>
                                    <w:left w:val="none" w:sz="0" w:space="0" w:color="auto"/>
                                    <w:bottom w:val="none" w:sz="0" w:space="0" w:color="auto"/>
                                    <w:right w:val="none" w:sz="0" w:space="0" w:color="auto"/>
                                  </w:divBdr>
                                  <w:divsChild>
                                    <w:div w:id="22441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867808">
                      <w:marLeft w:val="0"/>
                      <w:marRight w:val="0"/>
                      <w:marTop w:val="0"/>
                      <w:marBottom w:val="0"/>
                      <w:divBdr>
                        <w:top w:val="none" w:sz="0" w:space="0" w:color="auto"/>
                        <w:left w:val="none" w:sz="0" w:space="0" w:color="auto"/>
                        <w:bottom w:val="none" w:sz="0" w:space="0" w:color="auto"/>
                        <w:right w:val="none" w:sz="0" w:space="0" w:color="auto"/>
                      </w:divBdr>
                      <w:divsChild>
                        <w:div w:id="1800683462">
                          <w:marLeft w:val="0"/>
                          <w:marRight w:val="0"/>
                          <w:marTop w:val="0"/>
                          <w:marBottom w:val="0"/>
                          <w:divBdr>
                            <w:top w:val="none" w:sz="0" w:space="0" w:color="auto"/>
                            <w:left w:val="none" w:sz="0" w:space="0" w:color="auto"/>
                            <w:bottom w:val="none" w:sz="0" w:space="0" w:color="auto"/>
                            <w:right w:val="none" w:sz="0" w:space="0" w:color="auto"/>
                          </w:divBdr>
                          <w:divsChild>
                            <w:div w:id="329254481">
                              <w:marLeft w:val="0"/>
                              <w:marRight w:val="0"/>
                              <w:marTop w:val="0"/>
                              <w:marBottom w:val="0"/>
                              <w:divBdr>
                                <w:top w:val="none" w:sz="0" w:space="0" w:color="auto"/>
                                <w:left w:val="none" w:sz="0" w:space="0" w:color="auto"/>
                                <w:bottom w:val="none" w:sz="0" w:space="0" w:color="auto"/>
                                <w:right w:val="none" w:sz="0" w:space="0" w:color="auto"/>
                              </w:divBdr>
                              <w:divsChild>
                                <w:div w:id="6685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696262">
      <w:bodyDiv w:val="1"/>
      <w:marLeft w:val="0"/>
      <w:marRight w:val="0"/>
      <w:marTop w:val="0"/>
      <w:marBottom w:val="0"/>
      <w:divBdr>
        <w:top w:val="none" w:sz="0" w:space="0" w:color="auto"/>
        <w:left w:val="none" w:sz="0" w:space="0" w:color="auto"/>
        <w:bottom w:val="none" w:sz="0" w:space="0" w:color="auto"/>
        <w:right w:val="none" w:sz="0" w:space="0" w:color="auto"/>
      </w:divBdr>
    </w:div>
    <w:div w:id="106393442">
      <w:bodyDiv w:val="1"/>
      <w:marLeft w:val="0"/>
      <w:marRight w:val="0"/>
      <w:marTop w:val="0"/>
      <w:marBottom w:val="0"/>
      <w:divBdr>
        <w:top w:val="none" w:sz="0" w:space="0" w:color="auto"/>
        <w:left w:val="none" w:sz="0" w:space="0" w:color="auto"/>
        <w:bottom w:val="none" w:sz="0" w:space="0" w:color="auto"/>
        <w:right w:val="none" w:sz="0" w:space="0" w:color="auto"/>
      </w:divBdr>
    </w:div>
    <w:div w:id="136774334">
      <w:bodyDiv w:val="1"/>
      <w:marLeft w:val="0"/>
      <w:marRight w:val="0"/>
      <w:marTop w:val="0"/>
      <w:marBottom w:val="0"/>
      <w:divBdr>
        <w:top w:val="none" w:sz="0" w:space="0" w:color="auto"/>
        <w:left w:val="none" w:sz="0" w:space="0" w:color="auto"/>
        <w:bottom w:val="none" w:sz="0" w:space="0" w:color="auto"/>
        <w:right w:val="none" w:sz="0" w:space="0" w:color="auto"/>
      </w:divBdr>
    </w:div>
    <w:div w:id="150633902">
      <w:bodyDiv w:val="1"/>
      <w:marLeft w:val="0"/>
      <w:marRight w:val="0"/>
      <w:marTop w:val="0"/>
      <w:marBottom w:val="0"/>
      <w:divBdr>
        <w:top w:val="none" w:sz="0" w:space="0" w:color="auto"/>
        <w:left w:val="none" w:sz="0" w:space="0" w:color="auto"/>
        <w:bottom w:val="none" w:sz="0" w:space="0" w:color="auto"/>
        <w:right w:val="none" w:sz="0" w:space="0" w:color="auto"/>
      </w:divBdr>
    </w:div>
    <w:div w:id="288705865">
      <w:bodyDiv w:val="1"/>
      <w:marLeft w:val="0"/>
      <w:marRight w:val="0"/>
      <w:marTop w:val="0"/>
      <w:marBottom w:val="0"/>
      <w:divBdr>
        <w:top w:val="none" w:sz="0" w:space="0" w:color="auto"/>
        <w:left w:val="none" w:sz="0" w:space="0" w:color="auto"/>
        <w:bottom w:val="none" w:sz="0" w:space="0" w:color="auto"/>
        <w:right w:val="none" w:sz="0" w:space="0" w:color="auto"/>
      </w:divBdr>
    </w:div>
    <w:div w:id="310449778">
      <w:bodyDiv w:val="1"/>
      <w:marLeft w:val="0"/>
      <w:marRight w:val="0"/>
      <w:marTop w:val="0"/>
      <w:marBottom w:val="0"/>
      <w:divBdr>
        <w:top w:val="none" w:sz="0" w:space="0" w:color="auto"/>
        <w:left w:val="none" w:sz="0" w:space="0" w:color="auto"/>
        <w:bottom w:val="none" w:sz="0" w:space="0" w:color="auto"/>
        <w:right w:val="none" w:sz="0" w:space="0" w:color="auto"/>
      </w:divBdr>
      <w:divsChild>
        <w:div w:id="1755588327">
          <w:marLeft w:val="0"/>
          <w:marRight w:val="0"/>
          <w:marTop w:val="0"/>
          <w:marBottom w:val="0"/>
          <w:divBdr>
            <w:top w:val="none" w:sz="0" w:space="0" w:color="auto"/>
            <w:left w:val="none" w:sz="0" w:space="0" w:color="auto"/>
            <w:bottom w:val="none" w:sz="0" w:space="0" w:color="auto"/>
            <w:right w:val="none" w:sz="0" w:space="0" w:color="auto"/>
          </w:divBdr>
          <w:divsChild>
            <w:div w:id="744454659">
              <w:marLeft w:val="0"/>
              <w:marRight w:val="0"/>
              <w:marTop w:val="0"/>
              <w:marBottom w:val="0"/>
              <w:divBdr>
                <w:top w:val="none" w:sz="0" w:space="0" w:color="auto"/>
                <w:left w:val="none" w:sz="0" w:space="0" w:color="auto"/>
                <w:bottom w:val="none" w:sz="0" w:space="0" w:color="auto"/>
                <w:right w:val="none" w:sz="0" w:space="0" w:color="auto"/>
              </w:divBdr>
              <w:divsChild>
                <w:div w:id="896892451">
                  <w:marLeft w:val="0"/>
                  <w:marRight w:val="0"/>
                  <w:marTop w:val="0"/>
                  <w:marBottom w:val="0"/>
                  <w:divBdr>
                    <w:top w:val="none" w:sz="0" w:space="0" w:color="auto"/>
                    <w:left w:val="none" w:sz="0" w:space="0" w:color="auto"/>
                    <w:bottom w:val="none" w:sz="0" w:space="0" w:color="auto"/>
                    <w:right w:val="none" w:sz="0" w:space="0" w:color="auto"/>
                  </w:divBdr>
                  <w:divsChild>
                    <w:div w:id="1813671999">
                      <w:marLeft w:val="0"/>
                      <w:marRight w:val="0"/>
                      <w:marTop w:val="0"/>
                      <w:marBottom w:val="0"/>
                      <w:divBdr>
                        <w:top w:val="none" w:sz="0" w:space="0" w:color="auto"/>
                        <w:left w:val="none" w:sz="0" w:space="0" w:color="auto"/>
                        <w:bottom w:val="none" w:sz="0" w:space="0" w:color="auto"/>
                        <w:right w:val="none" w:sz="0" w:space="0" w:color="auto"/>
                      </w:divBdr>
                      <w:divsChild>
                        <w:div w:id="431051728">
                          <w:marLeft w:val="0"/>
                          <w:marRight w:val="0"/>
                          <w:marTop w:val="0"/>
                          <w:marBottom w:val="0"/>
                          <w:divBdr>
                            <w:top w:val="none" w:sz="0" w:space="0" w:color="auto"/>
                            <w:left w:val="none" w:sz="0" w:space="0" w:color="auto"/>
                            <w:bottom w:val="none" w:sz="0" w:space="0" w:color="auto"/>
                            <w:right w:val="none" w:sz="0" w:space="0" w:color="auto"/>
                          </w:divBdr>
                          <w:divsChild>
                            <w:div w:id="1251622630">
                              <w:marLeft w:val="0"/>
                              <w:marRight w:val="0"/>
                              <w:marTop w:val="0"/>
                              <w:marBottom w:val="0"/>
                              <w:divBdr>
                                <w:top w:val="none" w:sz="0" w:space="0" w:color="auto"/>
                                <w:left w:val="none" w:sz="0" w:space="0" w:color="auto"/>
                                <w:bottom w:val="none" w:sz="0" w:space="0" w:color="auto"/>
                                <w:right w:val="none" w:sz="0" w:space="0" w:color="auto"/>
                              </w:divBdr>
                              <w:divsChild>
                                <w:div w:id="219875517">
                                  <w:marLeft w:val="0"/>
                                  <w:marRight w:val="0"/>
                                  <w:marTop w:val="0"/>
                                  <w:marBottom w:val="0"/>
                                  <w:divBdr>
                                    <w:top w:val="none" w:sz="0" w:space="0" w:color="auto"/>
                                    <w:left w:val="none" w:sz="0" w:space="0" w:color="auto"/>
                                    <w:bottom w:val="none" w:sz="0" w:space="0" w:color="auto"/>
                                    <w:right w:val="none" w:sz="0" w:space="0" w:color="auto"/>
                                  </w:divBdr>
                                  <w:divsChild>
                                    <w:div w:id="10227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550313">
                      <w:marLeft w:val="0"/>
                      <w:marRight w:val="0"/>
                      <w:marTop w:val="0"/>
                      <w:marBottom w:val="0"/>
                      <w:divBdr>
                        <w:top w:val="none" w:sz="0" w:space="0" w:color="auto"/>
                        <w:left w:val="none" w:sz="0" w:space="0" w:color="auto"/>
                        <w:bottom w:val="none" w:sz="0" w:space="0" w:color="auto"/>
                        <w:right w:val="none" w:sz="0" w:space="0" w:color="auto"/>
                      </w:divBdr>
                      <w:divsChild>
                        <w:div w:id="107622570">
                          <w:marLeft w:val="0"/>
                          <w:marRight w:val="0"/>
                          <w:marTop w:val="0"/>
                          <w:marBottom w:val="0"/>
                          <w:divBdr>
                            <w:top w:val="none" w:sz="0" w:space="0" w:color="auto"/>
                            <w:left w:val="none" w:sz="0" w:space="0" w:color="auto"/>
                            <w:bottom w:val="none" w:sz="0" w:space="0" w:color="auto"/>
                            <w:right w:val="none" w:sz="0" w:space="0" w:color="auto"/>
                          </w:divBdr>
                          <w:divsChild>
                            <w:div w:id="1540119522">
                              <w:marLeft w:val="0"/>
                              <w:marRight w:val="0"/>
                              <w:marTop w:val="0"/>
                              <w:marBottom w:val="0"/>
                              <w:divBdr>
                                <w:top w:val="none" w:sz="0" w:space="0" w:color="auto"/>
                                <w:left w:val="none" w:sz="0" w:space="0" w:color="auto"/>
                                <w:bottom w:val="none" w:sz="0" w:space="0" w:color="auto"/>
                                <w:right w:val="none" w:sz="0" w:space="0" w:color="auto"/>
                              </w:divBdr>
                              <w:divsChild>
                                <w:div w:id="132396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326364">
      <w:bodyDiv w:val="1"/>
      <w:marLeft w:val="0"/>
      <w:marRight w:val="0"/>
      <w:marTop w:val="0"/>
      <w:marBottom w:val="0"/>
      <w:divBdr>
        <w:top w:val="none" w:sz="0" w:space="0" w:color="auto"/>
        <w:left w:val="none" w:sz="0" w:space="0" w:color="auto"/>
        <w:bottom w:val="none" w:sz="0" w:space="0" w:color="auto"/>
        <w:right w:val="none" w:sz="0" w:space="0" w:color="auto"/>
      </w:divBdr>
    </w:div>
    <w:div w:id="330834960">
      <w:bodyDiv w:val="1"/>
      <w:marLeft w:val="0"/>
      <w:marRight w:val="0"/>
      <w:marTop w:val="0"/>
      <w:marBottom w:val="0"/>
      <w:divBdr>
        <w:top w:val="none" w:sz="0" w:space="0" w:color="auto"/>
        <w:left w:val="none" w:sz="0" w:space="0" w:color="auto"/>
        <w:bottom w:val="none" w:sz="0" w:space="0" w:color="auto"/>
        <w:right w:val="none" w:sz="0" w:space="0" w:color="auto"/>
      </w:divBdr>
    </w:div>
    <w:div w:id="336882628">
      <w:bodyDiv w:val="1"/>
      <w:marLeft w:val="0"/>
      <w:marRight w:val="0"/>
      <w:marTop w:val="0"/>
      <w:marBottom w:val="0"/>
      <w:divBdr>
        <w:top w:val="none" w:sz="0" w:space="0" w:color="auto"/>
        <w:left w:val="none" w:sz="0" w:space="0" w:color="auto"/>
        <w:bottom w:val="none" w:sz="0" w:space="0" w:color="auto"/>
        <w:right w:val="none" w:sz="0" w:space="0" w:color="auto"/>
      </w:divBdr>
    </w:div>
    <w:div w:id="357850548">
      <w:bodyDiv w:val="1"/>
      <w:marLeft w:val="0"/>
      <w:marRight w:val="0"/>
      <w:marTop w:val="0"/>
      <w:marBottom w:val="0"/>
      <w:divBdr>
        <w:top w:val="none" w:sz="0" w:space="0" w:color="auto"/>
        <w:left w:val="none" w:sz="0" w:space="0" w:color="auto"/>
        <w:bottom w:val="none" w:sz="0" w:space="0" w:color="auto"/>
        <w:right w:val="none" w:sz="0" w:space="0" w:color="auto"/>
      </w:divBdr>
    </w:div>
    <w:div w:id="461727746">
      <w:bodyDiv w:val="1"/>
      <w:marLeft w:val="0"/>
      <w:marRight w:val="0"/>
      <w:marTop w:val="0"/>
      <w:marBottom w:val="0"/>
      <w:divBdr>
        <w:top w:val="none" w:sz="0" w:space="0" w:color="auto"/>
        <w:left w:val="none" w:sz="0" w:space="0" w:color="auto"/>
        <w:bottom w:val="none" w:sz="0" w:space="0" w:color="auto"/>
        <w:right w:val="none" w:sz="0" w:space="0" w:color="auto"/>
      </w:divBdr>
    </w:div>
    <w:div w:id="461844296">
      <w:bodyDiv w:val="1"/>
      <w:marLeft w:val="0"/>
      <w:marRight w:val="0"/>
      <w:marTop w:val="0"/>
      <w:marBottom w:val="0"/>
      <w:divBdr>
        <w:top w:val="none" w:sz="0" w:space="0" w:color="auto"/>
        <w:left w:val="none" w:sz="0" w:space="0" w:color="auto"/>
        <w:bottom w:val="none" w:sz="0" w:space="0" w:color="auto"/>
        <w:right w:val="none" w:sz="0" w:space="0" w:color="auto"/>
      </w:divBdr>
    </w:div>
    <w:div w:id="518740493">
      <w:bodyDiv w:val="1"/>
      <w:marLeft w:val="0"/>
      <w:marRight w:val="0"/>
      <w:marTop w:val="0"/>
      <w:marBottom w:val="0"/>
      <w:divBdr>
        <w:top w:val="none" w:sz="0" w:space="0" w:color="auto"/>
        <w:left w:val="none" w:sz="0" w:space="0" w:color="auto"/>
        <w:bottom w:val="none" w:sz="0" w:space="0" w:color="auto"/>
        <w:right w:val="none" w:sz="0" w:space="0" w:color="auto"/>
      </w:divBdr>
    </w:div>
    <w:div w:id="571623415">
      <w:bodyDiv w:val="1"/>
      <w:marLeft w:val="0"/>
      <w:marRight w:val="0"/>
      <w:marTop w:val="0"/>
      <w:marBottom w:val="0"/>
      <w:divBdr>
        <w:top w:val="none" w:sz="0" w:space="0" w:color="auto"/>
        <w:left w:val="none" w:sz="0" w:space="0" w:color="auto"/>
        <w:bottom w:val="none" w:sz="0" w:space="0" w:color="auto"/>
        <w:right w:val="none" w:sz="0" w:space="0" w:color="auto"/>
      </w:divBdr>
      <w:divsChild>
        <w:div w:id="816529725">
          <w:marLeft w:val="0"/>
          <w:marRight w:val="0"/>
          <w:marTop w:val="180"/>
          <w:marBottom w:val="240"/>
          <w:divBdr>
            <w:top w:val="none" w:sz="0" w:space="0" w:color="auto"/>
            <w:left w:val="none" w:sz="0" w:space="0" w:color="auto"/>
            <w:bottom w:val="none" w:sz="0" w:space="0" w:color="auto"/>
            <w:right w:val="none" w:sz="0" w:space="0" w:color="auto"/>
          </w:divBdr>
        </w:div>
        <w:div w:id="1424956587">
          <w:marLeft w:val="0"/>
          <w:marRight w:val="0"/>
          <w:marTop w:val="180"/>
          <w:marBottom w:val="240"/>
          <w:divBdr>
            <w:top w:val="none" w:sz="0" w:space="0" w:color="auto"/>
            <w:left w:val="none" w:sz="0" w:space="0" w:color="auto"/>
            <w:bottom w:val="none" w:sz="0" w:space="0" w:color="auto"/>
            <w:right w:val="none" w:sz="0" w:space="0" w:color="auto"/>
          </w:divBdr>
        </w:div>
        <w:div w:id="1490754066">
          <w:marLeft w:val="0"/>
          <w:marRight w:val="0"/>
          <w:marTop w:val="180"/>
          <w:marBottom w:val="240"/>
          <w:divBdr>
            <w:top w:val="none" w:sz="0" w:space="0" w:color="auto"/>
            <w:left w:val="none" w:sz="0" w:space="0" w:color="auto"/>
            <w:bottom w:val="none" w:sz="0" w:space="0" w:color="auto"/>
            <w:right w:val="none" w:sz="0" w:space="0" w:color="auto"/>
          </w:divBdr>
        </w:div>
      </w:divsChild>
    </w:div>
    <w:div w:id="578096593">
      <w:bodyDiv w:val="1"/>
      <w:marLeft w:val="0"/>
      <w:marRight w:val="0"/>
      <w:marTop w:val="0"/>
      <w:marBottom w:val="0"/>
      <w:divBdr>
        <w:top w:val="none" w:sz="0" w:space="0" w:color="auto"/>
        <w:left w:val="none" w:sz="0" w:space="0" w:color="auto"/>
        <w:bottom w:val="none" w:sz="0" w:space="0" w:color="auto"/>
        <w:right w:val="none" w:sz="0" w:space="0" w:color="auto"/>
      </w:divBdr>
    </w:div>
    <w:div w:id="601844883">
      <w:bodyDiv w:val="1"/>
      <w:marLeft w:val="0"/>
      <w:marRight w:val="0"/>
      <w:marTop w:val="0"/>
      <w:marBottom w:val="0"/>
      <w:divBdr>
        <w:top w:val="none" w:sz="0" w:space="0" w:color="auto"/>
        <w:left w:val="none" w:sz="0" w:space="0" w:color="auto"/>
        <w:bottom w:val="none" w:sz="0" w:space="0" w:color="auto"/>
        <w:right w:val="none" w:sz="0" w:space="0" w:color="auto"/>
      </w:divBdr>
    </w:div>
    <w:div w:id="628127518">
      <w:bodyDiv w:val="1"/>
      <w:marLeft w:val="0"/>
      <w:marRight w:val="0"/>
      <w:marTop w:val="0"/>
      <w:marBottom w:val="0"/>
      <w:divBdr>
        <w:top w:val="none" w:sz="0" w:space="0" w:color="auto"/>
        <w:left w:val="none" w:sz="0" w:space="0" w:color="auto"/>
        <w:bottom w:val="none" w:sz="0" w:space="0" w:color="auto"/>
        <w:right w:val="none" w:sz="0" w:space="0" w:color="auto"/>
      </w:divBdr>
    </w:div>
    <w:div w:id="673535140">
      <w:bodyDiv w:val="1"/>
      <w:marLeft w:val="0"/>
      <w:marRight w:val="0"/>
      <w:marTop w:val="0"/>
      <w:marBottom w:val="0"/>
      <w:divBdr>
        <w:top w:val="none" w:sz="0" w:space="0" w:color="auto"/>
        <w:left w:val="none" w:sz="0" w:space="0" w:color="auto"/>
        <w:bottom w:val="none" w:sz="0" w:space="0" w:color="auto"/>
        <w:right w:val="none" w:sz="0" w:space="0" w:color="auto"/>
      </w:divBdr>
      <w:divsChild>
        <w:div w:id="175315834">
          <w:marLeft w:val="0"/>
          <w:marRight w:val="0"/>
          <w:marTop w:val="0"/>
          <w:marBottom w:val="0"/>
          <w:divBdr>
            <w:top w:val="none" w:sz="0" w:space="0" w:color="auto"/>
            <w:left w:val="none" w:sz="0" w:space="0" w:color="auto"/>
            <w:bottom w:val="none" w:sz="0" w:space="0" w:color="auto"/>
            <w:right w:val="none" w:sz="0" w:space="0" w:color="auto"/>
          </w:divBdr>
          <w:divsChild>
            <w:div w:id="135149335">
              <w:marLeft w:val="0"/>
              <w:marRight w:val="0"/>
              <w:marTop w:val="0"/>
              <w:marBottom w:val="0"/>
              <w:divBdr>
                <w:top w:val="none" w:sz="0" w:space="0" w:color="auto"/>
                <w:left w:val="none" w:sz="0" w:space="0" w:color="auto"/>
                <w:bottom w:val="none" w:sz="0" w:space="0" w:color="auto"/>
                <w:right w:val="none" w:sz="0" w:space="0" w:color="auto"/>
              </w:divBdr>
              <w:divsChild>
                <w:div w:id="561215677">
                  <w:marLeft w:val="0"/>
                  <w:marRight w:val="0"/>
                  <w:marTop w:val="0"/>
                  <w:marBottom w:val="0"/>
                  <w:divBdr>
                    <w:top w:val="none" w:sz="0" w:space="0" w:color="auto"/>
                    <w:left w:val="none" w:sz="0" w:space="0" w:color="auto"/>
                    <w:bottom w:val="none" w:sz="0" w:space="0" w:color="auto"/>
                    <w:right w:val="none" w:sz="0" w:space="0" w:color="auto"/>
                  </w:divBdr>
                  <w:divsChild>
                    <w:div w:id="1318533227">
                      <w:marLeft w:val="0"/>
                      <w:marRight w:val="0"/>
                      <w:marTop w:val="0"/>
                      <w:marBottom w:val="0"/>
                      <w:divBdr>
                        <w:top w:val="none" w:sz="0" w:space="0" w:color="auto"/>
                        <w:left w:val="none" w:sz="0" w:space="0" w:color="auto"/>
                        <w:bottom w:val="none" w:sz="0" w:space="0" w:color="auto"/>
                        <w:right w:val="none" w:sz="0" w:space="0" w:color="auto"/>
                      </w:divBdr>
                      <w:divsChild>
                        <w:div w:id="1425416907">
                          <w:marLeft w:val="0"/>
                          <w:marRight w:val="0"/>
                          <w:marTop w:val="0"/>
                          <w:marBottom w:val="0"/>
                          <w:divBdr>
                            <w:top w:val="none" w:sz="0" w:space="0" w:color="auto"/>
                            <w:left w:val="none" w:sz="0" w:space="0" w:color="auto"/>
                            <w:bottom w:val="none" w:sz="0" w:space="0" w:color="auto"/>
                            <w:right w:val="none" w:sz="0" w:space="0" w:color="auto"/>
                          </w:divBdr>
                          <w:divsChild>
                            <w:div w:id="1082068231">
                              <w:marLeft w:val="0"/>
                              <w:marRight w:val="0"/>
                              <w:marTop w:val="0"/>
                              <w:marBottom w:val="0"/>
                              <w:divBdr>
                                <w:top w:val="none" w:sz="0" w:space="0" w:color="auto"/>
                                <w:left w:val="none" w:sz="0" w:space="0" w:color="auto"/>
                                <w:bottom w:val="none" w:sz="0" w:space="0" w:color="auto"/>
                                <w:right w:val="none" w:sz="0" w:space="0" w:color="auto"/>
                              </w:divBdr>
                              <w:divsChild>
                                <w:div w:id="2069724574">
                                  <w:marLeft w:val="0"/>
                                  <w:marRight w:val="0"/>
                                  <w:marTop w:val="0"/>
                                  <w:marBottom w:val="0"/>
                                  <w:divBdr>
                                    <w:top w:val="none" w:sz="0" w:space="0" w:color="auto"/>
                                    <w:left w:val="none" w:sz="0" w:space="0" w:color="auto"/>
                                    <w:bottom w:val="none" w:sz="0" w:space="0" w:color="auto"/>
                                    <w:right w:val="none" w:sz="0" w:space="0" w:color="auto"/>
                                  </w:divBdr>
                                  <w:divsChild>
                                    <w:div w:id="200974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417547">
                      <w:marLeft w:val="0"/>
                      <w:marRight w:val="0"/>
                      <w:marTop w:val="0"/>
                      <w:marBottom w:val="0"/>
                      <w:divBdr>
                        <w:top w:val="none" w:sz="0" w:space="0" w:color="auto"/>
                        <w:left w:val="none" w:sz="0" w:space="0" w:color="auto"/>
                        <w:bottom w:val="none" w:sz="0" w:space="0" w:color="auto"/>
                        <w:right w:val="none" w:sz="0" w:space="0" w:color="auto"/>
                      </w:divBdr>
                      <w:divsChild>
                        <w:div w:id="307248735">
                          <w:marLeft w:val="0"/>
                          <w:marRight w:val="0"/>
                          <w:marTop w:val="0"/>
                          <w:marBottom w:val="0"/>
                          <w:divBdr>
                            <w:top w:val="none" w:sz="0" w:space="0" w:color="auto"/>
                            <w:left w:val="none" w:sz="0" w:space="0" w:color="auto"/>
                            <w:bottom w:val="none" w:sz="0" w:space="0" w:color="auto"/>
                            <w:right w:val="none" w:sz="0" w:space="0" w:color="auto"/>
                          </w:divBdr>
                          <w:divsChild>
                            <w:div w:id="1304190396">
                              <w:marLeft w:val="0"/>
                              <w:marRight w:val="0"/>
                              <w:marTop w:val="0"/>
                              <w:marBottom w:val="0"/>
                              <w:divBdr>
                                <w:top w:val="none" w:sz="0" w:space="0" w:color="auto"/>
                                <w:left w:val="none" w:sz="0" w:space="0" w:color="auto"/>
                                <w:bottom w:val="none" w:sz="0" w:space="0" w:color="auto"/>
                                <w:right w:val="none" w:sz="0" w:space="0" w:color="auto"/>
                              </w:divBdr>
                              <w:divsChild>
                                <w:div w:id="841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678813">
      <w:bodyDiv w:val="1"/>
      <w:marLeft w:val="0"/>
      <w:marRight w:val="0"/>
      <w:marTop w:val="0"/>
      <w:marBottom w:val="0"/>
      <w:divBdr>
        <w:top w:val="none" w:sz="0" w:space="0" w:color="auto"/>
        <w:left w:val="none" w:sz="0" w:space="0" w:color="auto"/>
        <w:bottom w:val="none" w:sz="0" w:space="0" w:color="auto"/>
        <w:right w:val="none" w:sz="0" w:space="0" w:color="auto"/>
      </w:divBdr>
    </w:div>
    <w:div w:id="702679677">
      <w:bodyDiv w:val="1"/>
      <w:marLeft w:val="0"/>
      <w:marRight w:val="0"/>
      <w:marTop w:val="0"/>
      <w:marBottom w:val="0"/>
      <w:divBdr>
        <w:top w:val="none" w:sz="0" w:space="0" w:color="auto"/>
        <w:left w:val="none" w:sz="0" w:space="0" w:color="auto"/>
        <w:bottom w:val="none" w:sz="0" w:space="0" w:color="auto"/>
        <w:right w:val="none" w:sz="0" w:space="0" w:color="auto"/>
      </w:divBdr>
      <w:divsChild>
        <w:div w:id="30570615">
          <w:marLeft w:val="0"/>
          <w:marRight w:val="0"/>
          <w:marTop w:val="0"/>
          <w:marBottom w:val="0"/>
          <w:divBdr>
            <w:top w:val="none" w:sz="0" w:space="0" w:color="auto"/>
            <w:left w:val="none" w:sz="0" w:space="0" w:color="auto"/>
            <w:bottom w:val="none" w:sz="0" w:space="0" w:color="auto"/>
            <w:right w:val="none" w:sz="0" w:space="0" w:color="auto"/>
          </w:divBdr>
          <w:divsChild>
            <w:div w:id="805510760">
              <w:marLeft w:val="0"/>
              <w:marRight w:val="0"/>
              <w:marTop w:val="0"/>
              <w:marBottom w:val="0"/>
              <w:divBdr>
                <w:top w:val="none" w:sz="0" w:space="0" w:color="auto"/>
                <w:left w:val="none" w:sz="0" w:space="0" w:color="auto"/>
                <w:bottom w:val="none" w:sz="0" w:space="0" w:color="auto"/>
                <w:right w:val="none" w:sz="0" w:space="0" w:color="auto"/>
              </w:divBdr>
              <w:divsChild>
                <w:div w:id="1176770476">
                  <w:marLeft w:val="0"/>
                  <w:marRight w:val="0"/>
                  <w:marTop w:val="0"/>
                  <w:marBottom w:val="0"/>
                  <w:divBdr>
                    <w:top w:val="none" w:sz="0" w:space="0" w:color="auto"/>
                    <w:left w:val="none" w:sz="0" w:space="0" w:color="auto"/>
                    <w:bottom w:val="none" w:sz="0" w:space="0" w:color="auto"/>
                    <w:right w:val="none" w:sz="0" w:space="0" w:color="auto"/>
                  </w:divBdr>
                  <w:divsChild>
                    <w:div w:id="1646809597">
                      <w:marLeft w:val="0"/>
                      <w:marRight w:val="0"/>
                      <w:marTop w:val="0"/>
                      <w:marBottom w:val="0"/>
                      <w:divBdr>
                        <w:top w:val="none" w:sz="0" w:space="0" w:color="auto"/>
                        <w:left w:val="none" w:sz="0" w:space="0" w:color="auto"/>
                        <w:bottom w:val="none" w:sz="0" w:space="0" w:color="auto"/>
                        <w:right w:val="none" w:sz="0" w:space="0" w:color="auto"/>
                      </w:divBdr>
                      <w:divsChild>
                        <w:div w:id="717582817">
                          <w:marLeft w:val="0"/>
                          <w:marRight w:val="0"/>
                          <w:marTop w:val="0"/>
                          <w:marBottom w:val="0"/>
                          <w:divBdr>
                            <w:top w:val="none" w:sz="0" w:space="0" w:color="auto"/>
                            <w:left w:val="none" w:sz="0" w:space="0" w:color="auto"/>
                            <w:bottom w:val="none" w:sz="0" w:space="0" w:color="auto"/>
                            <w:right w:val="none" w:sz="0" w:space="0" w:color="auto"/>
                          </w:divBdr>
                          <w:divsChild>
                            <w:div w:id="993218413">
                              <w:marLeft w:val="0"/>
                              <w:marRight w:val="0"/>
                              <w:marTop w:val="0"/>
                              <w:marBottom w:val="0"/>
                              <w:divBdr>
                                <w:top w:val="none" w:sz="0" w:space="0" w:color="auto"/>
                                <w:left w:val="none" w:sz="0" w:space="0" w:color="auto"/>
                                <w:bottom w:val="none" w:sz="0" w:space="0" w:color="auto"/>
                                <w:right w:val="none" w:sz="0" w:space="0" w:color="auto"/>
                              </w:divBdr>
                              <w:divsChild>
                                <w:div w:id="1558474691">
                                  <w:marLeft w:val="0"/>
                                  <w:marRight w:val="0"/>
                                  <w:marTop w:val="0"/>
                                  <w:marBottom w:val="0"/>
                                  <w:divBdr>
                                    <w:top w:val="none" w:sz="0" w:space="0" w:color="auto"/>
                                    <w:left w:val="none" w:sz="0" w:space="0" w:color="auto"/>
                                    <w:bottom w:val="none" w:sz="0" w:space="0" w:color="auto"/>
                                    <w:right w:val="none" w:sz="0" w:space="0" w:color="auto"/>
                                  </w:divBdr>
                                  <w:divsChild>
                                    <w:div w:id="119126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855974">
                      <w:marLeft w:val="0"/>
                      <w:marRight w:val="0"/>
                      <w:marTop w:val="0"/>
                      <w:marBottom w:val="0"/>
                      <w:divBdr>
                        <w:top w:val="none" w:sz="0" w:space="0" w:color="auto"/>
                        <w:left w:val="none" w:sz="0" w:space="0" w:color="auto"/>
                        <w:bottom w:val="none" w:sz="0" w:space="0" w:color="auto"/>
                        <w:right w:val="none" w:sz="0" w:space="0" w:color="auto"/>
                      </w:divBdr>
                      <w:divsChild>
                        <w:div w:id="492530007">
                          <w:marLeft w:val="0"/>
                          <w:marRight w:val="0"/>
                          <w:marTop w:val="0"/>
                          <w:marBottom w:val="0"/>
                          <w:divBdr>
                            <w:top w:val="none" w:sz="0" w:space="0" w:color="auto"/>
                            <w:left w:val="none" w:sz="0" w:space="0" w:color="auto"/>
                            <w:bottom w:val="none" w:sz="0" w:space="0" w:color="auto"/>
                            <w:right w:val="none" w:sz="0" w:space="0" w:color="auto"/>
                          </w:divBdr>
                          <w:divsChild>
                            <w:div w:id="1978487311">
                              <w:marLeft w:val="0"/>
                              <w:marRight w:val="0"/>
                              <w:marTop w:val="0"/>
                              <w:marBottom w:val="0"/>
                              <w:divBdr>
                                <w:top w:val="none" w:sz="0" w:space="0" w:color="auto"/>
                                <w:left w:val="none" w:sz="0" w:space="0" w:color="auto"/>
                                <w:bottom w:val="none" w:sz="0" w:space="0" w:color="auto"/>
                                <w:right w:val="none" w:sz="0" w:space="0" w:color="auto"/>
                              </w:divBdr>
                              <w:divsChild>
                                <w:div w:id="169739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201933">
      <w:bodyDiv w:val="1"/>
      <w:marLeft w:val="0"/>
      <w:marRight w:val="0"/>
      <w:marTop w:val="0"/>
      <w:marBottom w:val="0"/>
      <w:divBdr>
        <w:top w:val="none" w:sz="0" w:space="0" w:color="auto"/>
        <w:left w:val="none" w:sz="0" w:space="0" w:color="auto"/>
        <w:bottom w:val="none" w:sz="0" w:space="0" w:color="auto"/>
        <w:right w:val="none" w:sz="0" w:space="0" w:color="auto"/>
      </w:divBdr>
    </w:div>
    <w:div w:id="769860803">
      <w:bodyDiv w:val="1"/>
      <w:marLeft w:val="0"/>
      <w:marRight w:val="0"/>
      <w:marTop w:val="0"/>
      <w:marBottom w:val="0"/>
      <w:divBdr>
        <w:top w:val="none" w:sz="0" w:space="0" w:color="auto"/>
        <w:left w:val="none" w:sz="0" w:space="0" w:color="auto"/>
        <w:bottom w:val="none" w:sz="0" w:space="0" w:color="auto"/>
        <w:right w:val="none" w:sz="0" w:space="0" w:color="auto"/>
      </w:divBdr>
    </w:div>
    <w:div w:id="782843609">
      <w:bodyDiv w:val="1"/>
      <w:marLeft w:val="0"/>
      <w:marRight w:val="0"/>
      <w:marTop w:val="0"/>
      <w:marBottom w:val="0"/>
      <w:divBdr>
        <w:top w:val="none" w:sz="0" w:space="0" w:color="auto"/>
        <w:left w:val="none" w:sz="0" w:space="0" w:color="auto"/>
        <w:bottom w:val="none" w:sz="0" w:space="0" w:color="auto"/>
        <w:right w:val="none" w:sz="0" w:space="0" w:color="auto"/>
      </w:divBdr>
    </w:div>
    <w:div w:id="851142465">
      <w:bodyDiv w:val="1"/>
      <w:marLeft w:val="0"/>
      <w:marRight w:val="0"/>
      <w:marTop w:val="0"/>
      <w:marBottom w:val="0"/>
      <w:divBdr>
        <w:top w:val="none" w:sz="0" w:space="0" w:color="auto"/>
        <w:left w:val="none" w:sz="0" w:space="0" w:color="auto"/>
        <w:bottom w:val="none" w:sz="0" w:space="0" w:color="auto"/>
        <w:right w:val="none" w:sz="0" w:space="0" w:color="auto"/>
      </w:divBdr>
    </w:div>
    <w:div w:id="904488335">
      <w:bodyDiv w:val="1"/>
      <w:marLeft w:val="0"/>
      <w:marRight w:val="0"/>
      <w:marTop w:val="0"/>
      <w:marBottom w:val="0"/>
      <w:divBdr>
        <w:top w:val="none" w:sz="0" w:space="0" w:color="auto"/>
        <w:left w:val="none" w:sz="0" w:space="0" w:color="auto"/>
        <w:bottom w:val="none" w:sz="0" w:space="0" w:color="auto"/>
        <w:right w:val="none" w:sz="0" w:space="0" w:color="auto"/>
      </w:divBdr>
    </w:div>
    <w:div w:id="915287796">
      <w:bodyDiv w:val="1"/>
      <w:marLeft w:val="0"/>
      <w:marRight w:val="0"/>
      <w:marTop w:val="0"/>
      <w:marBottom w:val="0"/>
      <w:divBdr>
        <w:top w:val="none" w:sz="0" w:space="0" w:color="auto"/>
        <w:left w:val="none" w:sz="0" w:space="0" w:color="auto"/>
        <w:bottom w:val="none" w:sz="0" w:space="0" w:color="auto"/>
        <w:right w:val="none" w:sz="0" w:space="0" w:color="auto"/>
      </w:divBdr>
    </w:div>
    <w:div w:id="921991630">
      <w:bodyDiv w:val="1"/>
      <w:marLeft w:val="0"/>
      <w:marRight w:val="0"/>
      <w:marTop w:val="0"/>
      <w:marBottom w:val="0"/>
      <w:divBdr>
        <w:top w:val="none" w:sz="0" w:space="0" w:color="auto"/>
        <w:left w:val="none" w:sz="0" w:space="0" w:color="auto"/>
        <w:bottom w:val="none" w:sz="0" w:space="0" w:color="auto"/>
        <w:right w:val="none" w:sz="0" w:space="0" w:color="auto"/>
      </w:divBdr>
      <w:divsChild>
        <w:div w:id="109736633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476461490">
              <w:marLeft w:val="0"/>
              <w:marRight w:val="0"/>
              <w:marTop w:val="0"/>
              <w:marBottom w:val="240"/>
              <w:divBdr>
                <w:top w:val="none" w:sz="0" w:space="0" w:color="auto"/>
                <w:left w:val="none" w:sz="0" w:space="0" w:color="auto"/>
                <w:bottom w:val="none" w:sz="0" w:space="0" w:color="auto"/>
                <w:right w:val="none" w:sz="0" w:space="0" w:color="auto"/>
              </w:divBdr>
            </w:div>
            <w:div w:id="25258172">
              <w:marLeft w:val="0"/>
              <w:marRight w:val="0"/>
              <w:marTop w:val="180"/>
              <w:marBottom w:val="240"/>
              <w:divBdr>
                <w:top w:val="none" w:sz="0" w:space="0" w:color="auto"/>
                <w:left w:val="none" w:sz="0" w:space="0" w:color="auto"/>
                <w:bottom w:val="none" w:sz="0" w:space="0" w:color="auto"/>
                <w:right w:val="none" w:sz="0" w:space="0" w:color="auto"/>
              </w:divBdr>
            </w:div>
            <w:div w:id="20337497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930315094">
      <w:bodyDiv w:val="1"/>
      <w:marLeft w:val="0"/>
      <w:marRight w:val="0"/>
      <w:marTop w:val="0"/>
      <w:marBottom w:val="0"/>
      <w:divBdr>
        <w:top w:val="none" w:sz="0" w:space="0" w:color="auto"/>
        <w:left w:val="none" w:sz="0" w:space="0" w:color="auto"/>
        <w:bottom w:val="none" w:sz="0" w:space="0" w:color="auto"/>
        <w:right w:val="none" w:sz="0" w:space="0" w:color="auto"/>
      </w:divBdr>
    </w:div>
    <w:div w:id="937837164">
      <w:bodyDiv w:val="1"/>
      <w:marLeft w:val="0"/>
      <w:marRight w:val="0"/>
      <w:marTop w:val="0"/>
      <w:marBottom w:val="0"/>
      <w:divBdr>
        <w:top w:val="none" w:sz="0" w:space="0" w:color="auto"/>
        <w:left w:val="none" w:sz="0" w:space="0" w:color="auto"/>
        <w:bottom w:val="none" w:sz="0" w:space="0" w:color="auto"/>
        <w:right w:val="none" w:sz="0" w:space="0" w:color="auto"/>
      </w:divBdr>
      <w:divsChild>
        <w:div w:id="1224096570">
          <w:marLeft w:val="0"/>
          <w:marRight w:val="0"/>
          <w:marTop w:val="0"/>
          <w:marBottom w:val="0"/>
          <w:divBdr>
            <w:top w:val="none" w:sz="0" w:space="0" w:color="auto"/>
            <w:left w:val="none" w:sz="0" w:space="0" w:color="auto"/>
            <w:bottom w:val="none" w:sz="0" w:space="0" w:color="auto"/>
            <w:right w:val="none" w:sz="0" w:space="0" w:color="auto"/>
          </w:divBdr>
          <w:divsChild>
            <w:div w:id="1100219741">
              <w:marLeft w:val="0"/>
              <w:marRight w:val="0"/>
              <w:marTop w:val="0"/>
              <w:marBottom w:val="0"/>
              <w:divBdr>
                <w:top w:val="none" w:sz="0" w:space="0" w:color="auto"/>
                <w:left w:val="none" w:sz="0" w:space="0" w:color="auto"/>
                <w:bottom w:val="none" w:sz="0" w:space="0" w:color="auto"/>
                <w:right w:val="none" w:sz="0" w:space="0" w:color="auto"/>
              </w:divBdr>
              <w:divsChild>
                <w:div w:id="340595084">
                  <w:marLeft w:val="0"/>
                  <w:marRight w:val="0"/>
                  <w:marTop w:val="0"/>
                  <w:marBottom w:val="0"/>
                  <w:divBdr>
                    <w:top w:val="none" w:sz="0" w:space="0" w:color="auto"/>
                    <w:left w:val="none" w:sz="0" w:space="0" w:color="auto"/>
                    <w:bottom w:val="none" w:sz="0" w:space="0" w:color="auto"/>
                    <w:right w:val="none" w:sz="0" w:space="0" w:color="auto"/>
                  </w:divBdr>
                  <w:divsChild>
                    <w:div w:id="196936895">
                      <w:marLeft w:val="0"/>
                      <w:marRight w:val="0"/>
                      <w:marTop w:val="0"/>
                      <w:marBottom w:val="0"/>
                      <w:divBdr>
                        <w:top w:val="none" w:sz="0" w:space="0" w:color="auto"/>
                        <w:left w:val="none" w:sz="0" w:space="0" w:color="auto"/>
                        <w:bottom w:val="none" w:sz="0" w:space="0" w:color="auto"/>
                        <w:right w:val="none" w:sz="0" w:space="0" w:color="auto"/>
                      </w:divBdr>
                      <w:divsChild>
                        <w:div w:id="993606510">
                          <w:marLeft w:val="0"/>
                          <w:marRight w:val="0"/>
                          <w:marTop w:val="0"/>
                          <w:marBottom w:val="0"/>
                          <w:divBdr>
                            <w:top w:val="none" w:sz="0" w:space="0" w:color="auto"/>
                            <w:left w:val="none" w:sz="0" w:space="0" w:color="auto"/>
                            <w:bottom w:val="none" w:sz="0" w:space="0" w:color="auto"/>
                            <w:right w:val="none" w:sz="0" w:space="0" w:color="auto"/>
                          </w:divBdr>
                          <w:divsChild>
                            <w:div w:id="2086293344">
                              <w:marLeft w:val="0"/>
                              <w:marRight w:val="0"/>
                              <w:marTop w:val="0"/>
                              <w:marBottom w:val="0"/>
                              <w:divBdr>
                                <w:top w:val="none" w:sz="0" w:space="0" w:color="auto"/>
                                <w:left w:val="none" w:sz="0" w:space="0" w:color="auto"/>
                                <w:bottom w:val="none" w:sz="0" w:space="0" w:color="auto"/>
                                <w:right w:val="none" w:sz="0" w:space="0" w:color="auto"/>
                              </w:divBdr>
                              <w:divsChild>
                                <w:div w:id="1275555564">
                                  <w:marLeft w:val="0"/>
                                  <w:marRight w:val="0"/>
                                  <w:marTop w:val="0"/>
                                  <w:marBottom w:val="0"/>
                                  <w:divBdr>
                                    <w:top w:val="none" w:sz="0" w:space="0" w:color="auto"/>
                                    <w:left w:val="none" w:sz="0" w:space="0" w:color="auto"/>
                                    <w:bottom w:val="none" w:sz="0" w:space="0" w:color="auto"/>
                                    <w:right w:val="none" w:sz="0" w:space="0" w:color="auto"/>
                                  </w:divBdr>
                                  <w:divsChild>
                                    <w:div w:id="29013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7338">
                      <w:marLeft w:val="0"/>
                      <w:marRight w:val="0"/>
                      <w:marTop w:val="0"/>
                      <w:marBottom w:val="0"/>
                      <w:divBdr>
                        <w:top w:val="none" w:sz="0" w:space="0" w:color="auto"/>
                        <w:left w:val="none" w:sz="0" w:space="0" w:color="auto"/>
                        <w:bottom w:val="none" w:sz="0" w:space="0" w:color="auto"/>
                        <w:right w:val="none" w:sz="0" w:space="0" w:color="auto"/>
                      </w:divBdr>
                      <w:divsChild>
                        <w:div w:id="837888793">
                          <w:marLeft w:val="0"/>
                          <w:marRight w:val="0"/>
                          <w:marTop w:val="0"/>
                          <w:marBottom w:val="0"/>
                          <w:divBdr>
                            <w:top w:val="none" w:sz="0" w:space="0" w:color="auto"/>
                            <w:left w:val="none" w:sz="0" w:space="0" w:color="auto"/>
                            <w:bottom w:val="none" w:sz="0" w:space="0" w:color="auto"/>
                            <w:right w:val="none" w:sz="0" w:space="0" w:color="auto"/>
                          </w:divBdr>
                          <w:divsChild>
                            <w:div w:id="28454246">
                              <w:marLeft w:val="0"/>
                              <w:marRight w:val="0"/>
                              <w:marTop w:val="0"/>
                              <w:marBottom w:val="0"/>
                              <w:divBdr>
                                <w:top w:val="none" w:sz="0" w:space="0" w:color="auto"/>
                                <w:left w:val="none" w:sz="0" w:space="0" w:color="auto"/>
                                <w:bottom w:val="none" w:sz="0" w:space="0" w:color="auto"/>
                                <w:right w:val="none" w:sz="0" w:space="0" w:color="auto"/>
                              </w:divBdr>
                              <w:divsChild>
                                <w:div w:id="76129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5041486">
      <w:bodyDiv w:val="1"/>
      <w:marLeft w:val="0"/>
      <w:marRight w:val="0"/>
      <w:marTop w:val="0"/>
      <w:marBottom w:val="0"/>
      <w:divBdr>
        <w:top w:val="none" w:sz="0" w:space="0" w:color="auto"/>
        <w:left w:val="none" w:sz="0" w:space="0" w:color="auto"/>
        <w:bottom w:val="none" w:sz="0" w:space="0" w:color="auto"/>
        <w:right w:val="none" w:sz="0" w:space="0" w:color="auto"/>
      </w:divBdr>
    </w:div>
    <w:div w:id="977615388">
      <w:bodyDiv w:val="1"/>
      <w:marLeft w:val="0"/>
      <w:marRight w:val="0"/>
      <w:marTop w:val="0"/>
      <w:marBottom w:val="0"/>
      <w:divBdr>
        <w:top w:val="none" w:sz="0" w:space="0" w:color="auto"/>
        <w:left w:val="none" w:sz="0" w:space="0" w:color="auto"/>
        <w:bottom w:val="none" w:sz="0" w:space="0" w:color="auto"/>
        <w:right w:val="none" w:sz="0" w:space="0" w:color="auto"/>
      </w:divBdr>
    </w:div>
    <w:div w:id="1038360587">
      <w:bodyDiv w:val="1"/>
      <w:marLeft w:val="0"/>
      <w:marRight w:val="0"/>
      <w:marTop w:val="0"/>
      <w:marBottom w:val="0"/>
      <w:divBdr>
        <w:top w:val="none" w:sz="0" w:space="0" w:color="auto"/>
        <w:left w:val="none" w:sz="0" w:space="0" w:color="auto"/>
        <w:bottom w:val="none" w:sz="0" w:space="0" w:color="auto"/>
        <w:right w:val="none" w:sz="0" w:space="0" w:color="auto"/>
      </w:divBdr>
    </w:div>
    <w:div w:id="1069501611">
      <w:bodyDiv w:val="1"/>
      <w:marLeft w:val="0"/>
      <w:marRight w:val="0"/>
      <w:marTop w:val="0"/>
      <w:marBottom w:val="0"/>
      <w:divBdr>
        <w:top w:val="none" w:sz="0" w:space="0" w:color="auto"/>
        <w:left w:val="none" w:sz="0" w:space="0" w:color="auto"/>
        <w:bottom w:val="none" w:sz="0" w:space="0" w:color="auto"/>
        <w:right w:val="none" w:sz="0" w:space="0" w:color="auto"/>
      </w:divBdr>
    </w:div>
    <w:div w:id="1099906435">
      <w:bodyDiv w:val="1"/>
      <w:marLeft w:val="0"/>
      <w:marRight w:val="0"/>
      <w:marTop w:val="0"/>
      <w:marBottom w:val="0"/>
      <w:divBdr>
        <w:top w:val="none" w:sz="0" w:space="0" w:color="auto"/>
        <w:left w:val="none" w:sz="0" w:space="0" w:color="auto"/>
        <w:bottom w:val="none" w:sz="0" w:space="0" w:color="auto"/>
        <w:right w:val="none" w:sz="0" w:space="0" w:color="auto"/>
      </w:divBdr>
    </w:div>
    <w:div w:id="1107044846">
      <w:bodyDiv w:val="1"/>
      <w:marLeft w:val="0"/>
      <w:marRight w:val="0"/>
      <w:marTop w:val="0"/>
      <w:marBottom w:val="0"/>
      <w:divBdr>
        <w:top w:val="none" w:sz="0" w:space="0" w:color="auto"/>
        <w:left w:val="none" w:sz="0" w:space="0" w:color="auto"/>
        <w:bottom w:val="none" w:sz="0" w:space="0" w:color="auto"/>
        <w:right w:val="none" w:sz="0" w:space="0" w:color="auto"/>
      </w:divBdr>
      <w:divsChild>
        <w:div w:id="130700716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200705834">
              <w:marLeft w:val="0"/>
              <w:marRight w:val="0"/>
              <w:marTop w:val="0"/>
              <w:marBottom w:val="240"/>
              <w:divBdr>
                <w:top w:val="none" w:sz="0" w:space="0" w:color="auto"/>
                <w:left w:val="none" w:sz="0" w:space="0" w:color="auto"/>
                <w:bottom w:val="none" w:sz="0" w:space="0" w:color="auto"/>
                <w:right w:val="none" w:sz="0" w:space="0" w:color="auto"/>
              </w:divBdr>
            </w:div>
            <w:div w:id="1633905876">
              <w:marLeft w:val="0"/>
              <w:marRight w:val="0"/>
              <w:marTop w:val="180"/>
              <w:marBottom w:val="240"/>
              <w:divBdr>
                <w:top w:val="none" w:sz="0" w:space="0" w:color="auto"/>
                <w:left w:val="none" w:sz="0" w:space="0" w:color="auto"/>
                <w:bottom w:val="none" w:sz="0" w:space="0" w:color="auto"/>
                <w:right w:val="none" w:sz="0" w:space="0" w:color="auto"/>
              </w:divBdr>
            </w:div>
            <w:div w:id="42245516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124496851">
      <w:bodyDiv w:val="1"/>
      <w:marLeft w:val="0"/>
      <w:marRight w:val="0"/>
      <w:marTop w:val="0"/>
      <w:marBottom w:val="0"/>
      <w:divBdr>
        <w:top w:val="none" w:sz="0" w:space="0" w:color="auto"/>
        <w:left w:val="none" w:sz="0" w:space="0" w:color="auto"/>
        <w:bottom w:val="none" w:sz="0" w:space="0" w:color="auto"/>
        <w:right w:val="none" w:sz="0" w:space="0" w:color="auto"/>
      </w:divBdr>
      <w:divsChild>
        <w:div w:id="625814733">
          <w:marLeft w:val="0"/>
          <w:marRight w:val="0"/>
          <w:marTop w:val="0"/>
          <w:marBottom w:val="0"/>
          <w:divBdr>
            <w:top w:val="none" w:sz="0" w:space="0" w:color="auto"/>
            <w:left w:val="none" w:sz="0" w:space="0" w:color="auto"/>
            <w:bottom w:val="none" w:sz="0" w:space="0" w:color="auto"/>
            <w:right w:val="none" w:sz="0" w:space="0" w:color="auto"/>
          </w:divBdr>
          <w:divsChild>
            <w:div w:id="916326318">
              <w:marLeft w:val="0"/>
              <w:marRight w:val="0"/>
              <w:marTop w:val="0"/>
              <w:marBottom w:val="0"/>
              <w:divBdr>
                <w:top w:val="none" w:sz="0" w:space="0" w:color="auto"/>
                <w:left w:val="none" w:sz="0" w:space="0" w:color="auto"/>
                <w:bottom w:val="none" w:sz="0" w:space="0" w:color="auto"/>
                <w:right w:val="none" w:sz="0" w:space="0" w:color="auto"/>
              </w:divBdr>
              <w:divsChild>
                <w:div w:id="1266690239">
                  <w:marLeft w:val="0"/>
                  <w:marRight w:val="0"/>
                  <w:marTop w:val="0"/>
                  <w:marBottom w:val="0"/>
                  <w:divBdr>
                    <w:top w:val="none" w:sz="0" w:space="0" w:color="auto"/>
                    <w:left w:val="none" w:sz="0" w:space="0" w:color="auto"/>
                    <w:bottom w:val="none" w:sz="0" w:space="0" w:color="auto"/>
                    <w:right w:val="none" w:sz="0" w:space="0" w:color="auto"/>
                  </w:divBdr>
                  <w:divsChild>
                    <w:div w:id="938299597">
                      <w:marLeft w:val="0"/>
                      <w:marRight w:val="0"/>
                      <w:marTop w:val="0"/>
                      <w:marBottom w:val="0"/>
                      <w:divBdr>
                        <w:top w:val="none" w:sz="0" w:space="0" w:color="auto"/>
                        <w:left w:val="none" w:sz="0" w:space="0" w:color="auto"/>
                        <w:bottom w:val="none" w:sz="0" w:space="0" w:color="auto"/>
                        <w:right w:val="none" w:sz="0" w:space="0" w:color="auto"/>
                      </w:divBdr>
                      <w:divsChild>
                        <w:div w:id="417945668">
                          <w:marLeft w:val="0"/>
                          <w:marRight w:val="0"/>
                          <w:marTop w:val="0"/>
                          <w:marBottom w:val="0"/>
                          <w:divBdr>
                            <w:top w:val="none" w:sz="0" w:space="0" w:color="auto"/>
                            <w:left w:val="none" w:sz="0" w:space="0" w:color="auto"/>
                            <w:bottom w:val="none" w:sz="0" w:space="0" w:color="auto"/>
                            <w:right w:val="none" w:sz="0" w:space="0" w:color="auto"/>
                          </w:divBdr>
                          <w:divsChild>
                            <w:div w:id="1182351508">
                              <w:marLeft w:val="0"/>
                              <w:marRight w:val="0"/>
                              <w:marTop w:val="0"/>
                              <w:marBottom w:val="0"/>
                              <w:divBdr>
                                <w:top w:val="none" w:sz="0" w:space="0" w:color="auto"/>
                                <w:left w:val="none" w:sz="0" w:space="0" w:color="auto"/>
                                <w:bottom w:val="none" w:sz="0" w:space="0" w:color="auto"/>
                                <w:right w:val="none" w:sz="0" w:space="0" w:color="auto"/>
                              </w:divBdr>
                              <w:divsChild>
                                <w:div w:id="897016851">
                                  <w:marLeft w:val="0"/>
                                  <w:marRight w:val="0"/>
                                  <w:marTop w:val="0"/>
                                  <w:marBottom w:val="0"/>
                                  <w:divBdr>
                                    <w:top w:val="none" w:sz="0" w:space="0" w:color="auto"/>
                                    <w:left w:val="none" w:sz="0" w:space="0" w:color="auto"/>
                                    <w:bottom w:val="none" w:sz="0" w:space="0" w:color="auto"/>
                                    <w:right w:val="none" w:sz="0" w:space="0" w:color="auto"/>
                                  </w:divBdr>
                                  <w:divsChild>
                                    <w:div w:id="109690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348080">
                      <w:marLeft w:val="0"/>
                      <w:marRight w:val="0"/>
                      <w:marTop w:val="0"/>
                      <w:marBottom w:val="0"/>
                      <w:divBdr>
                        <w:top w:val="none" w:sz="0" w:space="0" w:color="auto"/>
                        <w:left w:val="none" w:sz="0" w:space="0" w:color="auto"/>
                        <w:bottom w:val="none" w:sz="0" w:space="0" w:color="auto"/>
                        <w:right w:val="none" w:sz="0" w:space="0" w:color="auto"/>
                      </w:divBdr>
                      <w:divsChild>
                        <w:div w:id="1301420765">
                          <w:marLeft w:val="0"/>
                          <w:marRight w:val="0"/>
                          <w:marTop w:val="0"/>
                          <w:marBottom w:val="0"/>
                          <w:divBdr>
                            <w:top w:val="none" w:sz="0" w:space="0" w:color="auto"/>
                            <w:left w:val="none" w:sz="0" w:space="0" w:color="auto"/>
                            <w:bottom w:val="none" w:sz="0" w:space="0" w:color="auto"/>
                            <w:right w:val="none" w:sz="0" w:space="0" w:color="auto"/>
                          </w:divBdr>
                          <w:divsChild>
                            <w:div w:id="1758941822">
                              <w:marLeft w:val="0"/>
                              <w:marRight w:val="0"/>
                              <w:marTop w:val="0"/>
                              <w:marBottom w:val="0"/>
                              <w:divBdr>
                                <w:top w:val="none" w:sz="0" w:space="0" w:color="auto"/>
                                <w:left w:val="none" w:sz="0" w:space="0" w:color="auto"/>
                                <w:bottom w:val="none" w:sz="0" w:space="0" w:color="auto"/>
                                <w:right w:val="none" w:sz="0" w:space="0" w:color="auto"/>
                              </w:divBdr>
                              <w:divsChild>
                                <w:div w:id="20511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407271">
      <w:bodyDiv w:val="1"/>
      <w:marLeft w:val="0"/>
      <w:marRight w:val="0"/>
      <w:marTop w:val="0"/>
      <w:marBottom w:val="0"/>
      <w:divBdr>
        <w:top w:val="none" w:sz="0" w:space="0" w:color="auto"/>
        <w:left w:val="none" w:sz="0" w:space="0" w:color="auto"/>
        <w:bottom w:val="none" w:sz="0" w:space="0" w:color="auto"/>
        <w:right w:val="none" w:sz="0" w:space="0" w:color="auto"/>
      </w:divBdr>
    </w:div>
    <w:div w:id="1148127204">
      <w:bodyDiv w:val="1"/>
      <w:marLeft w:val="0"/>
      <w:marRight w:val="0"/>
      <w:marTop w:val="0"/>
      <w:marBottom w:val="0"/>
      <w:divBdr>
        <w:top w:val="none" w:sz="0" w:space="0" w:color="auto"/>
        <w:left w:val="none" w:sz="0" w:space="0" w:color="auto"/>
        <w:bottom w:val="none" w:sz="0" w:space="0" w:color="auto"/>
        <w:right w:val="none" w:sz="0" w:space="0" w:color="auto"/>
      </w:divBdr>
    </w:div>
    <w:div w:id="1154417969">
      <w:bodyDiv w:val="1"/>
      <w:marLeft w:val="0"/>
      <w:marRight w:val="0"/>
      <w:marTop w:val="0"/>
      <w:marBottom w:val="0"/>
      <w:divBdr>
        <w:top w:val="none" w:sz="0" w:space="0" w:color="auto"/>
        <w:left w:val="none" w:sz="0" w:space="0" w:color="auto"/>
        <w:bottom w:val="none" w:sz="0" w:space="0" w:color="auto"/>
        <w:right w:val="none" w:sz="0" w:space="0" w:color="auto"/>
      </w:divBdr>
    </w:div>
    <w:div w:id="1178884301">
      <w:bodyDiv w:val="1"/>
      <w:marLeft w:val="0"/>
      <w:marRight w:val="0"/>
      <w:marTop w:val="0"/>
      <w:marBottom w:val="0"/>
      <w:divBdr>
        <w:top w:val="none" w:sz="0" w:space="0" w:color="auto"/>
        <w:left w:val="none" w:sz="0" w:space="0" w:color="auto"/>
        <w:bottom w:val="none" w:sz="0" w:space="0" w:color="auto"/>
        <w:right w:val="none" w:sz="0" w:space="0" w:color="auto"/>
      </w:divBdr>
    </w:div>
    <w:div w:id="1211653158">
      <w:bodyDiv w:val="1"/>
      <w:marLeft w:val="0"/>
      <w:marRight w:val="0"/>
      <w:marTop w:val="0"/>
      <w:marBottom w:val="0"/>
      <w:divBdr>
        <w:top w:val="none" w:sz="0" w:space="0" w:color="auto"/>
        <w:left w:val="none" w:sz="0" w:space="0" w:color="auto"/>
        <w:bottom w:val="none" w:sz="0" w:space="0" w:color="auto"/>
        <w:right w:val="none" w:sz="0" w:space="0" w:color="auto"/>
      </w:divBdr>
    </w:div>
    <w:div w:id="1211841554">
      <w:bodyDiv w:val="1"/>
      <w:marLeft w:val="0"/>
      <w:marRight w:val="0"/>
      <w:marTop w:val="0"/>
      <w:marBottom w:val="0"/>
      <w:divBdr>
        <w:top w:val="none" w:sz="0" w:space="0" w:color="auto"/>
        <w:left w:val="none" w:sz="0" w:space="0" w:color="auto"/>
        <w:bottom w:val="none" w:sz="0" w:space="0" w:color="auto"/>
        <w:right w:val="none" w:sz="0" w:space="0" w:color="auto"/>
      </w:divBdr>
      <w:divsChild>
        <w:div w:id="573197216">
          <w:marLeft w:val="0"/>
          <w:marRight w:val="0"/>
          <w:marTop w:val="180"/>
          <w:marBottom w:val="240"/>
          <w:divBdr>
            <w:top w:val="none" w:sz="0" w:space="0" w:color="auto"/>
            <w:left w:val="none" w:sz="0" w:space="0" w:color="auto"/>
            <w:bottom w:val="none" w:sz="0" w:space="0" w:color="auto"/>
            <w:right w:val="none" w:sz="0" w:space="0" w:color="auto"/>
          </w:divBdr>
        </w:div>
        <w:div w:id="1262909019">
          <w:marLeft w:val="0"/>
          <w:marRight w:val="0"/>
          <w:marTop w:val="180"/>
          <w:marBottom w:val="240"/>
          <w:divBdr>
            <w:top w:val="none" w:sz="0" w:space="0" w:color="auto"/>
            <w:left w:val="none" w:sz="0" w:space="0" w:color="auto"/>
            <w:bottom w:val="none" w:sz="0" w:space="0" w:color="auto"/>
            <w:right w:val="none" w:sz="0" w:space="0" w:color="auto"/>
          </w:divBdr>
        </w:div>
        <w:div w:id="723942384">
          <w:marLeft w:val="0"/>
          <w:marRight w:val="0"/>
          <w:marTop w:val="180"/>
          <w:marBottom w:val="240"/>
          <w:divBdr>
            <w:top w:val="none" w:sz="0" w:space="0" w:color="auto"/>
            <w:left w:val="none" w:sz="0" w:space="0" w:color="auto"/>
            <w:bottom w:val="none" w:sz="0" w:space="0" w:color="auto"/>
            <w:right w:val="none" w:sz="0" w:space="0" w:color="auto"/>
          </w:divBdr>
        </w:div>
      </w:divsChild>
    </w:div>
    <w:div w:id="1216703240">
      <w:bodyDiv w:val="1"/>
      <w:marLeft w:val="0"/>
      <w:marRight w:val="0"/>
      <w:marTop w:val="0"/>
      <w:marBottom w:val="0"/>
      <w:divBdr>
        <w:top w:val="none" w:sz="0" w:space="0" w:color="auto"/>
        <w:left w:val="none" w:sz="0" w:space="0" w:color="auto"/>
        <w:bottom w:val="none" w:sz="0" w:space="0" w:color="auto"/>
        <w:right w:val="none" w:sz="0" w:space="0" w:color="auto"/>
      </w:divBdr>
    </w:div>
    <w:div w:id="1276599220">
      <w:bodyDiv w:val="1"/>
      <w:marLeft w:val="0"/>
      <w:marRight w:val="0"/>
      <w:marTop w:val="0"/>
      <w:marBottom w:val="0"/>
      <w:divBdr>
        <w:top w:val="none" w:sz="0" w:space="0" w:color="auto"/>
        <w:left w:val="none" w:sz="0" w:space="0" w:color="auto"/>
        <w:bottom w:val="none" w:sz="0" w:space="0" w:color="auto"/>
        <w:right w:val="none" w:sz="0" w:space="0" w:color="auto"/>
      </w:divBdr>
    </w:div>
    <w:div w:id="1357150107">
      <w:bodyDiv w:val="1"/>
      <w:marLeft w:val="0"/>
      <w:marRight w:val="0"/>
      <w:marTop w:val="0"/>
      <w:marBottom w:val="0"/>
      <w:divBdr>
        <w:top w:val="none" w:sz="0" w:space="0" w:color="auto"/>
        <w:left w:val="none" w:sz="0" w:space="0" w:color="auto"/>
        <w:bottom w:val="none" w:sz="0" w:space="0" w:color="auto"/>
        <w:right w:val="none" w:sz="0" w:space="0" w:color="auto"/>
      </w:divBdr>
    </w:div>
    <w:div w:id="1365860919">
      <w:bodyDiv w:val="1"/>
      <w:marLeft w:val="0"/>
      <w:marRight w:val="0"/>
      <w:marTop w:val="0"/>
      <w:marBottom w:val="0"/>
      <w:divBdr>
        <w:top w:val="none" w:sz="0" w:space="0" w:color="auto"/>
        <w:left w:val="none" w:sz="0" w:space="0" w:color="auto"/>
        <w:bottom w:val="none" w:sz="0" w:space="0" w:color="auto"/>
        <w:right w:val="none" w:sz="0" w:space="0" w:color="auto"/>
      </w:divBdr>
    </w:div>
    <w:div w:id="1392383582">
      <w:bodyDiv w:val="1"/>
      <w:marLeft w:val="0"/>
      <w:marRight w:val="0"/>
      <w:marTop w:val="0"/>
      <w:marBottom w:val="0"/>
      <w:divBdr>
        <w:top w:val="none" w:sz="0" w:space="0" w:color="auto"/>
        <w:left w:val="none" w:sz="0" w:space="0" w:color="auto"/>
        <w:bottom w:val="none" w:sz="0" w:space="0" w:color="auto"/>
        <w:right w:val="none" w:sz="0" w:space="0" w:color="auto"/>
      </w:divBdr>
    </w:div>
    <w:div w:id="1423256939">
      <w:bodyDiv w:val="1"/>
      <w:marLeft w:val="0"/>
      <w:marRight w:val="0"/>
      <w:marTop w:val="0"/>
      <w:marBottom w:val="0"/>
      <w:divBdr>
        <w:top w:val="none" w:sz="0" w:space="0" w:color="auto"/>
        <w:left w:val="none" w:sz="0" w:space="0" w:color="auto"/>
        <w:bottom w:val="none" w:sz="0" w:space="0" w:color="auto"/>
        <w:right w:val="none" w:sz="0" w:space="0" w:color="auto"/>
      </w:divBdr>
    </w:div>
    <w:div w:id="1442459178">
      <w:bodyDiv w:val="1"/>
      <w:marLeft w:val="0"/>
      <w:marRight w:val="0"/>
      <w:marTop w:val="0"/>
      <w:marBottom w:val="0"/>
      <w:divBdr>
        <w:top w:val="none" w:sz="0" w:space="0" w:color="auto"/>
        <w:left w:val="none" w:sz="0" w:space="0" w:color="auto"/>
        <w:bottom w:val="none" w:sz="0" w:space="0" w:color="auto"/>
        <w:right w:val="none" w:sz="0" w:space="0" w:color="auto"/>
      </w:divBdr>
    </w:div>
    <w:div w:id="1444809521">
      <w:bodyDiv w:val="1"/>
      <w:marLeft w:val="0"/>
      <w:marRight w:val="0"/>
      <w:marTop w:val="0"/>
      <w:marBottom w:val="0"/>
      <w:divBdr>
        <w:top w:val="none" w:sz="0" w:space="0" w:color="auto"/>
        <w:left w:val="none" w:sz="0" w:space="0" w:color="auto"/>
        <w:bottom w:val="none" w:sz="0" w:space="0" w:color="auto"/>
        <w:right w:val="none" w:sz="0" w:space="0" w:color="auto"/>
      </w:divBdr>
    </w:div>
    <w:div w:id="1467703367">
      <w:bodyDiv w:val="1"/>
      <w:marLeft w:val="0"/>
      <w:marRight w:val="0"/>
      <w:marTop w:val="0"/>
      <w:marBottom w:val="0"/>
      <w:divBdr>
        <w:top w:val="none" w:sz="0" w:space="0" w:color="auto"/>
        <w:left w:val="none" w:sz="0" w:space="0" w:color="auto"/>
        <w:bottom w:val="none" w:sz="0" w:space="0" w:color="auto"/>
        <w:right w:val="none" w:sz="0" w:space="0" w:color="auto"/>
      </w:divBdr>
    </w:div>
    <w:div w:id="1479885309">
      <w:bodyDiv w:val="1"/>
      <w:marLeft w:val="0"/>
      <w:marRight w:val="0"/>
      <w:marTop w:val="0"/>
      <w:marBottom w:val="0"/>
      <w:divBdr>
        <w:top w:val="none" w:sz="0" w:space="0" w:color="auto"/>
        <w:left w:val="none" w:sz="0" w:space="0" w:color="auto"/>
        <w:bottom w:val="none" w:sz="0" w:space="0" w:color="auto"/>
        <w:right w:val="none" w:sz="0" w:space="0" w:color="auto"/>
      </w:divBdr>
    </w:div>
    <w:div w:id="1482886479">
      <w:bodyDiv w:val="1"/>
      <w:marLeft w:val="0"/>
      <w:marRight w:val="0"/>
      <w:marTop w:val="0"/>
      <w:marBottom w:val="0"/>
      <w:divBdr>
        <w:top w:val="none" w:sz="0" w:space="0" w:color="auto"/>
        <w:left w:val="none" w:sz="0" w:space="0" w:color="auto"/>
        <w:bottom w:val="none" w:sz="0" w:space="0" w:color="auto"/>
        <w:right w:val="none" w:sz="0" w:space="0" w:color="auto"/>
      </w:divBdr>
    </w:div>
    <w:div w:id="1500538255">
      <w:bodyDiv w:val="1"/>
      <w:marLeft w:val="0"/>
      <w:marRight w:val="0"/>
      <w:marTop w:val="0"/>
      <w:marBottom w:val="0"/>
      <w:divBdr>
        <w:top w:val="none" w:sz="0" w:space="0" w:color="auto"/>
        <w:left w:val="none" w:sz="0" w:space="0" w:color="auto"/>
        <w:bottom w:val="none" w:sz="0" w:space="0" w:color="auto"/>
        <w:right w:val="none" w:sz="0" w:space="0" w:color="auto"/>
      </w:divBdr>
    </w:div>
    <w:div w:id="1543205663">
      <w:bodyDiv w:val="1"/>
      <w:marLeft w:val="0"/>
      <w:marRight w:val="0"/>
      <w:marTop w:val="0"/>
      <w:marBottom w:val="0"/>
      <w:divBdr>
        <w:top w:val="none" w:sz="0" w:space="0" w:color="auto"/>
        <w:left w:val="none" w:sz="0" w:space="0" w:color="auto"/>
        <w:bottom w:val="none" w:sz="0" w:space="0" w:color="auto"/>
        <w:right w:val="none" w:sz="0" w:space="0" w:color="auto"/>
      </w:divBdr>
      <w:divsChild>
        <w:div w:id="130890304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19211055">
              <w:marLeft w:val="0"/>
              <w:marRight w:val="0"/>
              <w:marTop w:val="0"/>
              <w:marBottom w:val="240"/>
              <w:divBdr>
                <w:top w:val="none" w:sz="0" w:space="0" w:color="auto"/>
                <w:left w:val="none" w:sz="0" w:space="0" w:color="auto"/>
                <w:bottom w:val="none" w:sz="0" w:space="0" w:color="auto"/>
                <w:right w:val="none" w:sz="0" w:space="0" w:color="auto"/>
              </w:divBdr>
            </w:div>
            <w:div w:id="443113278">
              <w:marLeft w:val="0"/>
              <w:marRight w:val="0"/>
              <w:marTop w:val="180"/>
              <w:marBottom w:val="240"/>
              <w:divBdr>
                <w:top w:val="none" w:sz="0" w:space="0" w:color="auto"/>
                <w:left w:val="none" w:sz="0" w:space="0" w:color="auto"/>
                <w:bottom w:val="none" w:sz="0" w:space="0" w:color="auto"/>
                <w:right w:val="none" w:sz="0" w:space="0" w:color="auto"/>
              </w:divBdr>
            </w:div>
            <w:div w:id="16655465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552035009">
      <w:bodyDiv w:val="1"/>
      <w:marLeft w:val="0"/>
      <w:marRight w:val="0"/>
      <w:marTop w:val="0"/>
      <w:marBottom w:val="0"/>
      <w:divBdr>
        <w:top w:val="none" w:sz="0" w:space="0" w:color="auto"/>
        <w:left w:val="none" w:sz="0" w:space="0" w:color="auto"/>
        <w:bottom w:val="none" w:sz="0" w:space="0" w:color="auto"/>
        <w:right w:val="none" w:sz="0" w:space="0" w:color="auto"/>
      </w:divBdr>
    </w:div>
    <w:div w:id="1619994984">
      <w:bodyDiv w:val="1"/>
      <w:marLeft w:val="0"/>
      <w:marRight w:val="0"/>
      <w:marTop w:val="0"/>
      <w:marBottom w:val="0"/>
      <w:divBdr>
        <w:top w:val="none" w:sz="0" w:space="0" w:color="auto"/>
        <w:left w:val="none" w:sz="0" w:space="0" w:color="auto"/>
        <w:bottom w:val="none" w:sz="0" w:space="0" w:color="auto"/>
        <w:right w:val="none" w:sz="0" w:space="0" w:color="auto"/>
      </w:divBdr>
    </w:div>
    <w:div w:id="1643849090">
      <w:bodyDiv w:val="1"/>
      <w:marLeft w:val="0"/>
      <w:marRight w:val="0"/>
      <w:marTop w:val="0"/>
      <w:marBottom w:val="0"/>
      <w:divBdr>
        <w:top w:val="none" w:sz="0" w:space="0" w:color="auto"/>
        <w:left w:val="none" w:sz="0" w:space="0" w:color="auto"/>
        <w:bottom w:val="none" w:sz="0" w:space="0" w:color="auto"/>
        <w:right w:val="none" w:sz="0" w:space="0" w:color="auto"/>
      </w:divBdr>
    </w:div>
    <w:div w:id="1661736673">
      <w:bodyDiv w:val="1"/>
      <w:marLeft w:val="0"/>
      <w:marRight w:val="0"/>
      <w:marTop w:val="0"/>
      <w:marBottom w:val="0"/>
      <w:divBdr>
        <w:top w:val="none" w:sz="0" w:space="0" w:color="auto"/>
        <w:left w:val="none" w:sz="0" w:space="0" w:color="auto"/>
        <w:bottom w:val="none" w:sz="0" w:space="0" w:color="auto"/>
        <w:right w:val="none" w:sz="0" w:space="0" w:color="auto"/>
      </w:divBdr>
    </w:div>
    <w:div w:id="1688869736">
      <w:bodyDiv w:val="1"/>
      <w:marLeft w:val="0"/>
      <w:marRight w:val="0"/>
      <w:marTop w:val="0"/>
      <w:marBottom w:val="0"/>
      <w:divBdr>
        <w:top w:val="none" w:sz="0" w:space="0" w:color="auto"/>
        <w:left w:val="none" w:sz="0" w:space="0" w:color="auto"/>
        <w:bottom w:val="none" w:sz="0" w:space="0" w:color="auto"/>
        <w:right w:val="none" w:sz="0" w:space="0" w:color="auto"/>
      </w:divBdr>
    </w:div>
    <w:div w:id="1692492880">
      <w:bodyDiv w:val="1"/>
      <w:marLeft w:val="0"/>
      <w:marRight w:val="0"/>
      <w:marTop w:val="0"/>
      <w:marBottom w:val="0"/>
      <w:divBdr>
        <w:top w:val="none" w:sz="0" w:space="0" w:color="auto"/>
        <w:left w:val="none" w:sz="0" w:space="0" w:color="auto"/>
        <w:bottom w:val="none" w:sz="0" w:space="0" w:color="auto"/>
        <w:right w:val="none" w:sz="0" w:space="0" w:color="auto"/>
      </w:divBdr>
    </w:div>
    <w:div w:id="1843543004">
      <w:bodyDiv w:val="1"/>
      <w:marLeft w:val="0"/>
      <w:marRight w:val="0"/>
      <w:marTop w:val="0"/>
      <w:marBottom w:val="0"/>
      <w:divBdr>
        <w:top w:val="none" w:sz="0" w:space="0" w:color="auto"/>
        <w:left w:val="none" w:sz="0" w:space="0" w:color="auto"/>
        <w:bottom w:val="none" w:sz="0" w:space="0" w:color="auto"/>
        <w:right w:val="none" w:sz="0" w:space="0" w:color="auto"/>
      </w:divBdr>
    </w:div>
    <w:div w:id="1848211796">
      <w:bodyDiv w:val="1"/>
      <w:marLeft w:val="0"/>
      <w:marRight w:val="0"/>
      <w:marTop w:val="0"/>
      <w:marBottom w:val="0"/>
      <w:divBdr>
        <w:top w:val="none" w:sz="0" w:space="0" w:color="auto"/>
        <w:left w:val="none" w:sz="0" w:space="0" w:color="auto"/>
        <w:bottom w:val="none" w:sz="0" w:space="0" w:color="auto"/>
        <w:right w:val="none" w:sz="0" w:space="0" w:color="auto"/>
      </w:divBdr>
    </w:div>
    <w:div w:id="1917737565">
      <w:bodyDiv w:val="1"/>
      <w:marLeft w:val="0"/>
      <w:marRight w:val="0"/>
      <w:marTop w:val="0"/>
      <w:marBottom w:val="0"/>
      <w:divBdr>
        <w:top w:val="none" w:sz="0" w:space="0" w:color="auto"/>
        <w:left w:val="none" w:sz="0" w:space="0" w:color="auto"/>
        <w:bottom w:val="none" w:sz="0" w:space="0" w:color="auto"/>
        <w:right w:val="none" w:sz="0" w:space="0" w:color="auto"/>
      </w:divBdr>
    </w:div>
    <w:div w:id="1933389303">
      <w:bodyDiv w:val="1"/>
      <w:marLeft w:val="0"/>
      <w:marRight w:val="0"/>
      <w:marTop w:val="0"/>
      <w:marBottom w:val="0"/>
      <w:divBdr>
        <w:top w:val="none" w:sz="0" w:space="0" w:color="auto"/>
        <w:left w:val="none" w:sz="0" w:space="0" w:color="auto"/>
        <w:bottom w:val="none" w:sz="0" w:space="0" w:color="auto"/>
        <w:right w:val="none" w:sz="0" w:space="0" w:color="auto"/>
      </w:divBdr>
    </w:div>
    <w:div w:id="1952084525">
      <w:bodyDiv w:val="1"/>
      <w:marLeft w:val="0"/>
      <w:marRight w:val="0"/>
      <w:marTop w:val="0"/>
      <w:marBottom w:val="0"/>
      <w:divBdr>
        <w:top w:val="none" w:sz="0" w:space="0" w:color="auto"/>
        <w:left w:val="none" w:sz="0" w:space="0" w:color="auto"/>
        <w:bottom w:val="none" w:sz="0" w:space="0" w:color="auto"/>
        <w:right w:val="none" w:sz="0" w:space="0" w:color="auto"/>
      </w:divBdr>
    </w:div>
    <w:div w:id="2034719279">
      <w:bodyDiv w:val="1"/>
      <w:marLeft w:val="0"/>
      <w:marRight w:val="0"/>
      <w:marTop w:val="0"/>
      <w:marBottom w:val="0"/>
      <w:divBdr>
        <w:top w:val="none" w:sz="0" w:space="0" w:color="auto"/>
        <w:left w:val="none" w:sz="0" w:space="0" w:color="auto"/>
        <w:bottom w:val="none" w:sz="0" w:space="0" w:color="auto"/>
        <w:right w:val="none" w:sz="0" w:space="0" w:color="auto"/>
      </w:divBdr>
    </w:div>
    <w:div w:id="2035767395">
      <w:bodyDiv w:val="1"/>
      <w:marLeft w:val="0"/>
      <w:marRight w:val="0"/>
      <w:marTop w:val="0"/>
      <w:marBottom w:val="0"/>
      <w:divBdr>
        <w:top w:val="none" w:sz="0" w:space="0" w:color="auto"/>
        <w:left w:val="none" w:sz="0" w:space="0" w:color="auto"/>
        <w:bottom w:val="none" w:sz="0" w:space="0" w:color="auto"/>
        <w:right w:val="none" w:sz="0" w:space="0" w:color="auto"/>
      </w:divBdr>
    </w:div>
    <w:div w:id="2049136713">
      <w:bodyDiv w:val="1"/>
      <w:marLeft w:val="0"/>
      <w:marRight w:val="0"/>
      <w:marTop w:val="0"/>
      <w:marBottom w:val="0"/>
      <w:divBdr>
        <w:top w:val="none" w:sz="0" w:space="0" w:color="auto"/>
        <w:left w:val="none" w:sz="0" w:space="0" w:color="auto"/>
        <w:bottom w:val="none" w:sz="0" w:space="0" w:color="auto"/>
        <w:right w:val="none" w:sz="0" w:space="0" w:color="auto"/>
      </w:divBdr>
    </w:div>
    <w:div w:id="2063747908">
      <w:bodyDiv w:val="1"/>
      <w:marLeft w:val="0"/>
      <w:marRight w:val="0"/>
      <w:marTop w:val="0"/>
      <w:marBottom w:val="0"/>
      <w:divBdr>
        <w:top w:val="none" w:sz="0" w:space="0" w:color="auto"/>
        <w:left w:val="none" w:sz="0" w:space="0" w:color="auto"/>
        <w:bottom w:val="none" w:sz="0" w:space="0" w:color="auto"/>
        <w:right w:val="none" w:sz="0" w:space="0" w:color="auto"/>
      </w:divBdr>
      <w:divsChild>
        <w:div w:id="45194689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23876309">
              <w:marLeft w:val="0"/>
              <w:marRight w:val="0"/>
              <w:marTop w:val="0"/>
              <w:marBottom w:val="240"/>
              <w:divBdr>
                <w:top w:val="none" w:sz="0" w:space="0" w:color="auto"/>
                <w:left w:val="none" w:sz="0" w:space="0" w:color="auto"/>
                <w:bottom w:val="none" w:sz="0" w:space="0" w:color="auto"/>
                <w:right w:val="none" w:sz="0" w:space="0" w:color="auto"/>
              </w:divBdr>
            </w:div>
            <w:div w:id="710806283">
              <w:marLeft w:val="0"/>
              <w:marRight w:val="0"/>
              <w:marTop w:val="180"/>
              <w:marBottom w:val="240"/>
              <w:divBdr>
                <w:top w:val="none" w:sz="0" w:space="0" w:color="auto"/>
                <w:left w:val="none" w:sz="0" w:space="0" w:color="auto"/>
                <w:bottom w:val="none" w:sz="0" w:space="0" w:color="auto"/>
                <w:right w:val="none" w:sz="0" w:space="0" w:color="auto"/>
              </w:divBdr>
            </w:div>
            <w:div w:id="67851062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2067603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hyperlink" Target="https://cib.nedbank.co.za" TargetMode="External"/><Relationship Id="rId3" Type="http://schemas.openxmlformats.org/officeDocument/2006/relationships/styles" Target="styles.xml"/><Relationship Id="rId21" Type="http://schemas.openxmlformats.org/officeDocument/2006/relationships/chart" Target="charts/chart14.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hyperlink" Target="https://www.investing.com/equities/tiger-brands-ltd-financial-summary" TargetMode="Externa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chart" Target="charts/chart13.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chart" Target="charts/chart17.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chart" Target="charts/chart16.xml"/><Relationship Id="rId28" Type="http://schemas.openxmlformats.org/officeDocument/2006/relationships/header" Target="header1.xml"/><Relationship Id="rId10" Type="http://schemas.openxmlformats.org/officeDocument/2006/relationships/chart" Target="charts/chart3.xml"/><Relationship Id="rId19" Type="http://schemas.openxmlformats.org/officeDocument/2006/relationships/chart" Target="charts/chart1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chart" Target="charts/chart15.xml"/><Relationship Id="rId27" Type="http://schemas.openxmlformats.org/officeDocument/2006/relationships/hyperlink" Target="https://www.tigerbrands.com" TargetMode="Externa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2023232750\Downloads\TigerBrands_DCF%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2023232750\Downloads\TigerBrands_DCF%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2023232750\Downloads\TigerBrands_DCF%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2023232750\Downloads\TigerBrands_DCF%20(FinalSubmission).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2023232750\Downloads\TigerBrands_DCF%20(FinalSubmission).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2023232750\Downloads\TigerBrands_DCF%20(FinalSubmission).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2023232750\Downloads\TigerBrands_DCF%20(FinalSubmission).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2023232750\Downloads\TigerBrands_DCF%20(FinalSubmission).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2023232750\Downloads\TigerBrands_DCF%20(FinalSubmission).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2023232750\Downloads\TigerBrands_DCF%20(FinalSubmission).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2023232750\Downloads\2023232750_TigerBrands_DCF%20(FinalSubmission').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2023232750\Downloads\TigerBrands_DCF%20(FinalSubmission).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2023232750\Downloads\TigerBrands_DCF%20(FinalSubmission).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2023232750\Downloads\TigerBrands_DCF%20(FinalSubmission).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2023232750\Downloads\TigerBrands_DCF%20(1).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2023232750\Downloads\TigerBrands_DCF%20(FinalSubmission).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2023232750\Downloads\2023232750_TigerBrands_DCF%20(FinalSubmission').xlsx" TargetMode="External"/><Relationship Id="rId2" Type="http://schemas.microsoft.com/office/2011/relationships/chartColorStyle" Target="colors17.xml"/><Relationship Id="rId1" Type="http://schemas.microsoft.com/office/2011/relationships/chartStyle" Target="style1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sz="1400" b="0" i="0" u="none" strike="noStrike" baseline="0"/>
              <a:t>Peer EBIT Margin comparison </a:t>
            </a:r>
            <a:endParaRPr lang="en-Z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ZA"/>
        </a:p>
      </c:txPr>
    </c:title>
    <c:autoTitleDeleted val="0"/>
    <c:plotArea>
      <c:layout/>
      <c:barChart>
        <c:barDir val="col"/>
        <c:grouping val="clustered"/>
        <c:varyColors val="0"/>
        <c:ser>
          <c:idx val="0"/>
          <c:order val="0"/>
          <c:tx>
            <c:strRef>
              <c:f>'Financial Analysis'!$B$64</c:f>
              <c:strCache>
                <c:ptCount val="1"/>
                <c:pt idx="0">
                  <c:v>Tiger Brand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'Financial Analysis'!$A$67</c:f>
              <c:strCache>
                <c:ptCount val="1"/>
                <c:pt idx="0">
                  <c:v>EBIT Margin</c:v>
                </c:pt>
              </c:strCache>
            </c:strRef>
          </c:cat>
          <c:val>
            <c:numRef>
              <c:f>'Financial Analysis'!$B$67</c:f>
              <c:numCache>
                <c:formatCode>0.00%</c:formatCode>
                <c:ptCount val="1"/>
                <c:pt idx="0">
                  <c:v>0.111</c:v>
                </c:pt>
              </c:numCache>
            </c:numRef>
          </c:val>
          <c:extLst>
            <c:ext xmlns:c16="http://schemas.microsoft.com/office/drawing/2014/chart" uri="{C3380CC4-5D6E-409C-BE32-E72D297353CC}">
              <c16:uniqueId val="{00000000-6018-492E-AEB4-D527F46BB89E}"/>
            </c:ext>
          </c:extLst>
        </c:ser>
        <c:ser>
          <c:idx val="1"/>
          <c:order val="1"/>
          <c:tx>
            <c:strRef>
              <c:f>'Financial Analysis'!$C$64</c:f>
              <c:strCache>
                <c:ptCount val="1"/>
                <c:pt idx="0">
                  <c:v>AVI ltd</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'Financial Analysis'!$A$67</c:f>
              <c:strCache>
                <c:ptCount val="1"/>
                <c:pt idx="0">
                  <c:v>EBIT Margin</c:v>
                </c:pt>
              </c:strCache>
            </c:strRef>
          </c:cat>
          <c:val>
            <c:numRef>
              <c:f>'Financial Analysis'!$C$67</c:f>
              <c:numCache>
                <c:formatCode>0.00%</c:formatCode>
                <c:ptCount val="1"/>
                <c:pt idx="0">
                  <c:v>0.222</c:v>
                </c:pt>
              </c:numCache>
            </c:numRef>
          </c:val>
          <c:extLst>
            <c:ext xmlns:c16="http://schemas.microsoft.com/office/drawing/2014/chart" uri="{C3380CC4-5D6E-409C-BE32-E72D297353CC}">
              <c16:uniqueId val="{00000001-6018-492E-AEB4-D527F46BB89E}"/>
            </c:ext>
          </c:extLst>
        </c:ser>
        <c:ser>
          <c:idx val="2"/>
          <c:order val="2"/>
          <c:tx>
            <c:strRef>
              <c:f>'Financial Analysis'!$D$64</c:f>
              <c:strCache>
                <c:ptCount val="1"/>
                <c:pt idx="0">
                  <c:v>RCL Food</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'Financial Analysis'!$A$67</c:f>
              <c:strCache>
                <c:ptCount val="1"/>
                <c:pt idx="0">
                  <c:v>EBIT Margin</c:v>
                </c:pt>
              </c:strCache>
            </c:strRef>
          </c:cat>
          <c:val>
            <c:numRef>
              <c:f>'Financial Analysis'!$D$67</c:f>
              <c:numCache>
                <c:formatCode>0.00%</c:formatCode>
                <c:ptCount val="1"/>
                <c:pt idx="0">
                  <c:v>7.0000000000000007E-2</c:v>
                </c:pt>
              </c:numCache>
            </c:numRef>
          </c:val>
          <c:extLst>
            <c:ext xmlns:c16="http://schemas.microsoft.com/office/drawing/2014/chart" uri="{C3380CC4-5D6E-409C-BE32-E72D297353CC}">
              <c16:uniqueId val="{00000002-6018-492E-AEB4-D527F46BB89E}"/>
            </c:ext>
          </c:extLst>
        </c:ser>
        <c:ser>
          <c:idx val="3"/>
          <c:order val="3"/>
          <c:tx>
            <c:strRef>
              <c:f>'Financial Analysis'!$E$64</c:f>
              <c:strCache>
                <c:ptCount val="1"/>
                <c:pt idx="0">
                  <c:v>Premier Group</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'Financial Analysis'!$A$67</c:f>
              <c:strCache>
                <c:ptCount val="1"/>
                <c:pt idx="0">
                  <c:v>EBIT Margin</c:v>
                </c:pt>
              </c:strCache>
            </c:strRef>
          </c:cat>
          <c:val>
            <c:numRef>
              <c:f>'Financial Analysis'!$E$67</c:f>
              <c:numCache>
                <c:formatCode>0.00%</c:formatCode>
                <c:ptCount val="1"/>
                <c:pt idx="0">
                  <c:v>9.6000000000000002E-2</c:v>
                </c:pt>
              </c:numCache>
            </c:numRef>
          </c:val>
          <c:extLst>
            <c:ext xmlns:c16="http://schemas.microsoft.com/office/drawing/2014/chart" uri="{C3380CC4-5D6E-409C-BE32-E72D297353CC}">
              <c16:uniqueId val="{00000003-6018-492E-AEB4-D527F46BB89E}"/>
            </c:ext>
          </c:extLst>
        </c:ser>
        <c:dLbls>
          <c:dLblPos val="outEnd"/>
          <c:showLegendKey val="0"/>
          <c:showVal val="1"/>
          <c:showCatName val="0"/>
          <c:showSerName val="0"/>
          <c:showPercent val="0"/>
          <c:showBubbleSize val="0"/>
        </c:dLbls>
        <c:gapWidth val="219"/>
        <c:overlap val="-27"/>
        <c:axId val="1566042816"/>
        <c:axId val="1566050016"/>
      </c:barChart>
      <c:catAx>
        <c:axId val="1566042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6050016"/>
        <c:crosses val="autoZero"/>
        <c:auto val="1"/>
        <c:lblAlgn val="ctr"/>
        <c:lblOffset val="100"/>
        <c:noMultiLvlLbl val="0"/>
      </c:catAx>
      <c:valAx>
        <c:axId val="156605001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6042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Peer Revenue comparison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'Financial Analysis'!$B$64</c:f>
              <c:strCache>
                <c:ptCount val="1"/>
                <c:pt idx="0">
                  <c:v>Tiger Brand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'Financial Analysis'!$A$65</c:f>
              <c:strCache>
                <c:ptCount val="1"/>
                <c:pt idx="0">
                  <c:v>Revenue (R'bn)</c:v>
                </c:pt>
              </c:strCache>
              <c:extLst/>
            </c:strRef>
          </c:cat>
          <c:val>
            <c:numRef>
              <c:f>'Financial Analysis'!$B$65</c:f>
              <c:numCache>
                <c:formatCode>General</c:formatCode>
                <c:ptCount val="1"/>
                <c:pt idx="0">
                  <c:v>34.4</c:v>
                </c:pt>
              </c:numCache>
              <c:extLst/>
            </c:numRef>
          </c:val>
          <c:extLst>
            <c:ext xmlns:c16="http://schemas.microsoft.com/office/drawing/2014/chart" uri="{C3380CC4-5D6E-409C-BE32-E72D297353CC}">
              <c16:uniqueId val="{00000000-B549-43B7-BA26-C39F76931DE1}"/>
            </c:ext>
          </c:extLst>
        </c:ser>
        <c:ser>
          <c:idx val="1"/>
          <c:order val="1"/>
          <c:tx>
            <c:strRef>
              <c:f>'Financial Analysis'!$C$64</c:f>
              <c:strCache>
                <c:ptCount val="1"/>
                <c:pt idx="0">
                  <c:v>AVI ltd</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'Financial Analysis'!$A$65</c:f>
              <c:strCache>
                <c:ptCount val="1"/>
                <c:pt idx="0">
                  <c:v>Revenue (R'bn)</c:v>
                </c:pt>
              </c:strCache>
              <c:extLst/>
            </c:strRef>
          </c:cat>
          <c:val>
            <c:numRef>
              <c:f>'Financial Analysis'!$C$65</c:f>
              <c:numCache>
                <c:formatCode>General</c:formatCode>
                <c:ptCount val="1"/>
                <c:pt idx="0">
                  <c:v>16</c:v>
                </c:pt>
              </c:numCache>
              <c:extLst/>
            </c:numRef>
          </c:val>
          <c:extLst>
            <c:ext xmlns:c16="http://schemas.microsoft.com/office/drawing/2014/chart" uri="{C3380CC4-5D6E-409C-BE32-E72D297353CC}">
              <c16:uniqueId val="{00000001-B549-43B7-BA26-C39F76931DE1}"/>
            </c:ext>
          </c:extLst>
        </c:ser>
        <c:ser>
          <c:idx val="2"/>
          <c:order val="2"/>
          <c:tx>
            <c:strRef>
              <c:f>'Financial Analysis'!$D$64</c:f>
              <c:strCache>
                <c:ptCount val="1"/>
                <c:pt idx="0">
                  <c:v>RCL Food</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'Financial Analysis'!$A$65</c:f>
              <c:strCache>
                <c:ptCount val="1"/>
                <c:pt idx="0">
                  <c:v>Revenue (R'bn)</c:v>
                </c:pt>
              </c:strCache>
              <c:extLst/>
            </c:strRef>
          </c:cat>
          <c:val>
            <c:numRef>
              <c:f>'Financial Analysis'!$D$65</c:f>
              <c:numCache>
                <c:formatCode>General</c:formatCode>
                <c:ptCount val="1"/>
                <c:pt idx="0">
                  <c:v>26.5</c:v>
                </c:pt>
              </c:numCache>
              <c:extLst/>
            </c:numRef>
          </c:val>
          <c:extLst>
            <c:ext xmlns:c16="http://schemas.microsoft.com/office/drawing/2014/chart" uri="{C3380CC4-5D6E-409C-BE32-E72D297353CC}">
              <c16:uniqueId val="{00000002-B549-43B7-BA26-C39F76931DE1}"/>
            </c:ext>
          </c:extLst>
        </c:ser>
        <c:ser>
          <c:idx val="3"/>
          <c:order val="3"/>
          <c:tx>
            <c:strRef>
              <c:f>'Financial Analysis'!$E$64</c:f>
              <c:strCache>
                <c:ptCount val="1"/>
                <c:pt idx="0">
                  <c:v>Premier Group</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'Financial Analysis'!$A$65</c:f>
              <c:strCache>
                <c:ptCount val="1"/>
                <c:pt idx="0">
                  <c:v>Revenue (R'bn)</c:v>
                </c:pt>
              </c:strCache>
              <c:extLst/>
            </c:strRef>
          </c:cat>
          <c:val>
            <c:numRef>
              <c:f>'Financial Analysis'!$E$65</c:f>
              <c:numCache>
                <c:formatCode>General</c:formatCode>
                <c:ptCount val="1"/>
                <c:pt idx="0">
                  <c:v>19.899999999999999</c:v>
                </c:pt>
              </c:numCache>
              <c:extLst/>
            </c:numRef>
          </c:val>
          <c:extLst>
            <c:ext xmlns:c16="http://schemas.microsoft.com/office/drawing/2014/chart" uri="{C3380CC4-5D6E-409C-BE32-E72D297353CC}">
              <c16:uniqueId val="{00000003-B549-43B7-BA26-C39F76931DE1}"/>
            </c:ext>
          </c:extLst>
        </c:ser>
        <c:dLbls>
          <c:dLblPos val="outEnd"/>
          <c:showLegendKey val="0"/>
          <c:showVal val="1"/>
          <c:showCatName val="0"/>
          <c:showSerName val="0"/>
          <c:showPercent val="0"/>
          <c:showBubbleSize val="0"/>
        </c:dLbls>
        <c:gapWidth val="219"/>
        <c:overlap val="-27"/>
        <c:axId val="1566042816"/>
        <c:axId val="1566050016"/>
      </c:barChart>
      <c:catAx>
        <c:axId val="1566042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6050016"/>
        <c:crosses val="autoZero"/>
        <c:auto val="1"/>
        <c:lblAlgn val="ctr"/>
        <c:lblOffset val="100"/>
        <c:noMultiLvlLbl val="0"/>
      </c:catAx>
      <c:valAx>
        <c:axId val="15660500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6042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ZA"/>
              <a:t>Profitability Margin</a:t>
            </a:r>
          </a:p>
        </c:rich>
      </c:tx>
      <c:layout>
        <c:manualLayout>
          <c:xMode val="edge"/>
          <c:yMode val="edge"/>
          <c:x val="0.40631233595800526"/>
          <c:y val="2.7777805376851553E-2"/>
        </c:manualLayout>
      </c:layout>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5.0662061024755324E-2"/>
          <c:y val="0.21860756842014467"/>
          <c:w val="0.94933793897524466"/>
          <c:h val="0.7246842384138602"/>
        </c:manualLayout>
      </c:layout>
      <c:barChart>
        <c:barDir val="col"/>
        <c:grouping val="clustered"/>
        <c:varyColors val="0"/>
        <c:ser>
          <c:idx val="0"/>
          <c:order val="0"/>
          <c:tx>
            <c:strRef>
              <c:f>'Financial Analysis'!$A$6</c:f>
              <c:strCache>
                <c:ptCount val="1"/>
                <c:pt idx="0">
                  <c:v>Gross ProfitMargin</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Analysis'!$B$6:$F$6</c:f>
              <c:numCache>
                <c:formatCode>0.00%</c:formatCode>
                <c:ptCount val="5"/>
                <c:pt idx="0">
                  <c:v>0.28462326233527924</c:v>
                </c:pt>
                <c:pt idx="1">
                  <c:v>0.30314820637752038</c:v>
                </c:pt>
                <c:pt idx="2">
                  <c:v>0.27656364925043797</c:v>
                </c:pt>
                <c:pt idx="3">
                  <c:v>0.29121633725443363</c:v>
                </c:pt>
                <c:pt idx="4">
                  <c:v>0.31321237497092347</c:v>
                </c:pt>
              </c:numCache>
            </c:numRef>
          </c:val>
          <c:extLst>
            <c:ext xmlns:c16="http://schemas.microsoft.com/office/drawing/2014/chart" uri="{C3380CC4-5D6E-409C-BE32-E72D297353CC}">
              <c16:uniqueId val="{00000000-3FE6-4AE4-ADF3-788E1D1CB0A5}"/>
            </c:ext>
          </c:extLst>
        </c:ser>
        <c:ser>
          <c:idx val="1"/>
          <c:order val="1"/>
          <c:tx>
            <c:strRef>
              <c:f>'Financial Analysis'!$A$7</c:f>
              <c:strCache>
                <c:ptCount val="1"/>
                <c:pt idx="0">
                  <c:v>Net Profit Margin</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Analysis'!$B$7:$F$7</c:f>
              <c:numCache>
                <c:formatCode>0.00%</c:formatCode>
                <c:ptCount val="5"/>
                <c:pt idx="0">
                  <c:v>5.8215604495717825E-2</c:v>
                </c:pt>
                <c:pt idx="1">
                  <c:v>8.5077683968626666E-2</c:v>
                </c:pt>
                <c:pt idx="2">
                  <c:v>7.3121414338633534E-2</c:v>
                </c:pt>
                <c:pt idx="3">
                  <c:v>8.9926554009673379E-2</c:v>
                </c:pt>
                <c:pt idx="4">
                  <c:v>0.1119737148173994</c:v>
                </c:pt>
              </c:numCache>
            </c:numRef>
          </c:val>
          <c:extLst>
            <c:ext xmlns:c16="http://schemas.microsoft.com/office/drawing/2014/chart" uri="{C3380CC4-5D6E-409C-BE32-E72D297353CC}">
              <c16:uniqueId val="{00000001-3FE6-4AE4-ADF3-788E1D1CB0A5}"/>
            </c:ext>
          </c:extLst>
        </c:ser>
        <c:ser>
          <c:idx val="2"/>
          <c:order val="2"/>
          <c:tx>
            <c:strRef>
              <c:f>'Financial Analysis'!$A$8</c:f>
              <c:strCache>
                <c:ptCount val="1"/>
                <c:pt idx="0">
                  <c:v>Return on Equity</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Analysis'!$B$8:$F$8</c:f>
              <c:numCache>
                <c:formatCode>0.00%</c:formatCode>
                <c:ptCount val="5"/>
                <c:pt idx="0">
                  <c:v>0.11433429775138318</c:v>
                </c:pt>
                <c:pt idx="1">
                  <c:v>0.18380186906394433</c:v>
                </c:pt>
                <c:pt idx="2">
                  <c:v>0.15584881997491734</c:v>
                </c:pt>
                <c:pt idx="3">
                  <c:v>0.16345579855646605</c:v>
                </c:pt>
                <c:pt idx="4">
                  <c:v>0.22338882765821683</c:v>
                </c:pt>
              </c:numCache>
            </c:numRef>
          </c:val>
          <c:extLst>
            <c:ext xmlns:c16="http://schemas.microsoft.com/office/drawing/2014/chart" uri="{C3380CC4-5D6E-409C-BE32-E72D297353CC}">
              <c16:uniqueId val="{00000002-3FE6-4AE4-ADF3-788E1D1CB0A5}"/>
            </c:ext>
          </c:extLst>
        </c:ser>
        <c:ser>
          <c:idx val="3"/>
          <c:order val="3"/>
          <c:tx>
            <c:strRef>
              <c:f>'Financial Analysis'!$A$13</c:f>
              <c:strCache>
                <c:ptCount val="1"/>
                <c:pt idx="0">
                  <c:v>EBIT Margin</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Analysis'!$B$13:$F$13</c:f>
              <c:numCache>
                <c:formatCode>0.0%</c:formatCode>
                <c:ptCount val="5"/>
                <c:pt idx="0">
                  <c:v>6.7238700131485862E-2</c:v>
                </c:pt>
                <c:pt idx="1">
                  <c:v>0.10034999662051962</c:v>
                </c:pt>
                <c:pt idx="2">
                  <c:v>8.2244540433555766E-2</c:v>
                </c:pt>
                <c:pt idx="3">
                  <c:v>8.4791305905535325E-2</c:v>
                </c:pt>
                <c:pt idx="4">
                  <c:v>0.11083973016980693</c:v>
                </c:pt>
              </c:numCache>
            </c:numRef>
          </c:val>
          <c:extLst>
            <c:ext xmlns:c16="http://schemas.microsoft.com/office/drawing/2014/chart" uri="{C3380CC4-5D6E-409C-BE32-E72D297353CC}">
              <c16:uniqueId val="{00000003-3FE6-4AE4-ADF3-788E1D1CB0A5}"/>
            </c:ext>
          </c:extLst>
        </c:ser>
        <c:dLbls>
          <c:dLblPos val="outEnd"/>
          <c:showLegendKey val="0"/>
          <c:showVal val="1"/>
          <c:showCatName val="0"/>
          <c:showSerName val="0"/>
          <c:showPercent val="0"/>
          <c:showBubbleSize val="0"/>
        </c:dLbls>
        <c:gapWidth val="444"/>
        <c:overlap val="-90"/>
        <c:axId val="1566049056"/>
        <c:axId val="1566046656"/>
      </c:barChart>
      <c:catAx>
        <c:axId val="156604905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566046656"/>
        <c:crosses val="autoZero"/>
        <c:auto val="1"/>
        <c:lblAlgn val="ctr"/>
        <c:lblOffset val="100"/>
        <c:noMultiLvlLbl val="0"/>
      </c:catAx>
      <c:valAx>
        <c:axId val="1566046656"/>
        <c:scaling>
          <c:orientation val="minMax"/>
        </c:scaling>
        <c:delete val="1"/>
        <c:axPos val="l"/>
        <c:numFmt formatCode="0.00%" sourceLinked="1"/>
        <c:majorTickMark val="none"/>
        <c:minorTickMark val="none"/>
        <c:tickLblPos val="nextTo"/>
        <c:crossAx val="156604905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en-ZA"/>
              <a:t>Liquidity Ratios</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en-US"/>
        </a:p>
      </c:txPr>
    </c:title>
    <c:autoTitleDeleted val="0"/>
    <c:plotArea>
      <c:layout/>
      <c:lineChart>
        <c:grouping val="standard"/>
        <c:varyColors val="0"/>
        <c:ser>
          <c:idx val="0"/>
          <c:order val="0"/>
          <c:tx>
            <c:strRef>
              <c:f>'Financial Analysis'!$A$17</c:f>
              <c:strCache>
                <c:ptCount val="1"/>
                <c:pt idx="0">
                  <c:v>Current Ratio</c:v>
                </c:pt>
              </c:strCache>
            </c:strRef>
          </c:tx>
          <c:spPr>
            <a:ln w="22225" cap="rnd" cmpd="sng" algn="ctr">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Analysis'!$B$17:$F$17</c:f>
              <c:numCache>
                <c:formatCode>0.00</c:formatCode>
                <c:ptCount val="5"/>
                <c:pt idx="0">
                  <c:v>1.8714486262450698</c:v>
                </c:pt>
                <c:pt idx="1">
                  <c:v>1.6401511585685662</c:v>
                </c:pt>
                <c:pt idx="2">
                  <c:v>1.9282650495488833</c:v>
                </c:pt>
                <c:pt idx="3">
                  <c:v>1.8319096509240247</c:v>
                </c:pt>
                <c:pt idx="4">
                  <c:v>1.5206352886621841</c:v>
                </c:pt>
              </c:numCache>
            </c:numRef>
          </c:val>
          <c:smooth val="0"/>
          <c:extLst>
            <c:ext xmlns:c16="http://schemas.microsoft.com/office/drawing/2014/chart" uri="{C3380CC4-5D6E-409C-BE32-E72D297353CC}">
              <c16:uniqueId val="{00000000-8B3F-443C-A143-77F1041F6178}"/>
            </c:ext>
          </c:extLst>
        </c:ser>
        <c:ser>
          <c:idx val="1"/>
          <c:order val="1"/>
          <c:tx>
            <c:strRef>
              <c:f>'Financial Analysis'!$A$18</c:f>
              <c:strCache>
                <c:ptCount val="1"/>
                <c:pt idx="0">
                  <c:v>Quick Ratio</c:v>
                </c:pt>
              </c:strCache>
            </c:strRef>
          </c:tx>
          <c:spPr>
            <a:ln w="22225" cap="rnd" cmpd="sng" algn="ctr">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Analysis'!$B$18:$F$18</c:f>
              <c:numCache>
                <c:formatCode>0.00</c:formatCode>
                <c:ptCount val="5"/>
                <c:pt idx="0">
                  <c:v>0.91197606791897845</c:v>
                </c:pt>
                <c:pt idx="1">
                  <c:v>0.68204252343361271</c:v>
                </c:pt>
                <c:pt idx="2">
                  <c:v>0.81842922644579197</c:v>
                </c:pt>
                <c:pt idx="3">
                  <c:v>0.8213689253935661</c:v>
                </c:pt>
                <c:pt idx="4">
                  <c:v>1.0486900069557152</c:v>
                </c:pt>
              </c:numCache>
            </c:numRef>
          </c:val>
          <c:smooth val="0"/>
          <c:extLst>
            <c:ext xmlns:c16="http://schemas.microsoft.com/office/drawing/2014/chart" uri="{C3380CC4-5D6E-409C-BE32-E72D297353CC}">
              <c16:uniqueId val="{00000001-8B3F-443C-A143-77F1041F6178}"/>
            </c:ext>
          </c:extLst>
        </c:ser>
        <c:ser>
          <c:idx val="2"/>
          <c:order val="2"/>
          <c:tx>
            <c:strRef>
              <c:f>'Financial Analysis'!$A$19</c:f>
              <c:strCache>
                <c:ptCount val="1"/>
                <c:pt idx="0">
                  <c:v>Cash Ratio</c:v>
                </c:pt>
              </c:strCache>
            </c:strRef>
          </c:tx>
          <c:spPr>
            <a:ln w="22225" cap="rnd" cmpd="sng" algn="ctr">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Analysis'!$B$19:$F$19</c:f>
              <c:numCache>
                <c:formatCode>0.00</c:formatCode>
                <c:ptCount val="5"/>
                <c:pt idx="0">
                  <c:v>0.36128751921919916</c:v>
                </c:pt>
                <c:pt idx="1">
                  <c:v>0.15006925859680739</c:v>
                </c:pt>
                <c:pt idx="2">
                  <c:v>0.13001035349800324</c:v>
                </c:pt>
                <c:pt idx="3">
                  <c:v>0.22669404517453798</c:v>
                </c:pt>
                <c:pt idx="4">
                  <c:v>0.56225365175052167</c:v>
                </c:pt>
              </c:numCache>
            </c:numRef>
          </c:val>
          <c:smooth val="0"/>
          <c:extLst>
            <c:ext xmlns:c16="http://schemas.microsoft.com/office/drawing/2014/chart" uri="{C3380CC4-5D6E-409C-BE32-E72D297353CC}">
              <c16:uniqueId val="{00000002-8B3F-443C-A143-77F1041F6178}"/>
            </c:ext>
          </c:extLst>
        </c:ser>
        <c:dLbls>
          <c:dLblPos val="ctr"/>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546088704"/>
        <c:axId val="1546081504"/>
      </c:lineChart>
      <c:catAx>
        <c:axId val="1546088704"/>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ZA"/>
                  <a:t>years</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546081504"/>
        <c:crosses val="autoZero"/>
        <c:auto val="1"/>
        <c:lblAlgn val="ctr"/>
        <c:lblOffset val="100"/>
        <c:noMultiLvlLbl val="0"/>
      </c:catAx>
      <c:valAx>
        <c:axId val="1546081504"/>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546088704"/>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en-ZA"/>
              <a:t>Debt-to-Equity Ratio</a:t>
            </a:r>
            <a:endParaRPr lang="en-US"/>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en-US"/>
        </a:p>
      </c:txPr>
    </c:title>
    <c:autoTitleDeleted val="0"/>
    <c:plotArea>
      <c:layout/>
      <c:lineChart>
        <c:grouping val="standard"/>
        <c:varyColors val="0"/>
        <c:ser>
          <c:idx val="0"/>
          <c:order val="0"/>
          <c:tx>
            <c:strRef>
              <c:f>'Financial Analysis'!$A$32</c:f>
              <c:strCache>
                <c:ptCount val="1"/>
                <c:pt idx="0">
                  <c:v>Debt-to-Equity Ratio</c:v>
                </c:pt>
              </c:strCache>
            </c:strRef>
          </c:tx>
          <c:spPr>
            <a:ln w="22225" cap="rnd" cmpd="sng" algn="ctr">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Analysis'!$B$32:$F$32</c:f>
              <c:numCache>
                <c:formatCode>0.0%</c:formatCode>
                <c:ptCount val="5"/>
                <c:pt idx="0">
                  <c:v>3.5994365768235115E-2</c:v>
                </c:pt>
                <c:pt idx="1">
                  <c:v>9.4830870028950173E-2</c:v>
                </c:pt>
                <c:pt idx="2">
                  <c:v>0.11941055751909702</c:v>
                </c:pt>
                <c:pt idx="3">
                  <c:v>6.7406523036848104E-2</c:v>
                </c:pt>
                <c:pt idx="4">
                  <c:v>2.0708857822379488E-2</c:v>
                </c:pt>
              </c:numCache>
            </c:numRef>
          </c:val>
          <c:smooth val="0"/>
          <c:extLst>
            <c:ext xmlns:c16="http://schemas.microsoft.com/office/drawing/2014/chart" uri="{C3380CC4-5D6E-409C-BE32-E72D297353CC}">
              <c16:uniqueId val="{00000000-5F31-457D-8790-056697752B42}"/>
            </c:ext>
          </c:extLst>
        </c:ser>
        <c:dLbls>
          <c:dLblPos val="ctr"/>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711593992"/>
        <c:axId val="1711600136"/>
      </c:lineChart>
      <c:catAx>
        <c:axId val="1711593992"/>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ZA"/>
                  <a:t>years</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711600136"/>
        <c:crosses val="autoZero"/>
        <c:auto val="1"/>
        <c:lblAlgn val="ctr"/>
        <c:lblOffset val="100"/>
        <c:noMultiLvlLbl val="0"/>
      </c:catAx>
      <c:valAx>
        <c:axId val="1711600136"/>
        <c:scaling>
          <c:orientation val="minMax"/>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711593992"/>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layout>
        <c:manualLayout>
          <c:xMode val="edge"/>
          <c:yMode val="edge"/>
          <c:x val="0.37281923734879829"/>
          <c:y val="0.81310603164895645"/>
          <c:w val="0.25436136353525918"/>
          <c:h val="0.1092240654384221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ZA"/>
              <a:t>Efficiency Metrics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lineChart>
        <c:grouping val="standard"/>
        <c:varyColors val="0"/>
        <c:ser>
          <c:idx val="0"/>
          <c:order val="0"/>
          <c:tx>
            <c:strRef>
              <c:f>'Financial Analysis'!$A$23</c:f>
              <c:strCache>
                <c:ptCount val="1"/>
                <c:pt idx="0">
                  <c:v>Days Inventory out standing</c:v>
                </c:pt>
              </c:strCache>
            </c:strRef>
          </c:tx>
          <c:spPr>
            <a:ln w="31750"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Analysis'!$B$23:$F$23</c:f>
              <c:numCache>
                <c:formatCode>0</c:formatCode>
                <c:ptCount val="5"/>
                <c:pt idx="1">
                  <c:v>99.015048643998483</c:v>
                </c:pt>
                <c:pt idx="2">
                  <c:v>98.698249791113639</c:v>
                </c:pt>
                <c:pt idx="3">
                  <c:v>114.74668281381634</c:v>
                </c:pt>
                <c:pt idx="4">
                  <c:v>104.03658975444539</c:v>
                </c:pt>
              </c:numCache>
            </c:numRef>
          </c:val>
          <c:smooth val="0"/>
          <c:extLst>
            <c:ext xmlns:c16="http://schemas.microsoft.com/office/drawing/2014/chart" uri="{C3380CC4-5D6E-409C-BE32-E72D297353CC}">
              <c16:uniqueId val="{00000000-7B05-470E-89B7-827F417AF1FF}"/>
            </c:ext>
          </c:extLst>
        </c:ser>
        <c:ser>
          <c:idx val="1"/>
          <c:order val="1"/>
          <c:tx>
            <c:strRef>
              <c:f>'Financial Analysis'!$A$24</c:f>
              <c:strCache>
                <c:ptCount val="1"/>
                <c:pt idx="0">
                  <c:v>Days Sales Outstanding</c:v>
                </c:pt>
              </c:strCache>
            </c:strRef>
          </c:tx>
          <c:spPr>
            <a:ln w="31750"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Analysis'!$B$24:$F$24</c:f>
              <c:numCache>
                <c:formatCode>0</c:formatCode>
                <c:ptCount val="5"/>
                <c:pt idx="0">
                  <c:v>38.854926196698955</c:v>
                </c:pt>
                <c:pt idx="1">
                  <c:v>42.428465216330821</c:v>
                </c:pt>
                <c:pt idx="2">
                  <c:v>45.219251909009458</c:v>
                </c:pt>
                <c:pt idx="3">
                  <c:v>46.608497044246732</c:v>
                </c:pt>
                <c:pt idx="4">
                  <c:v>44.25593161200279</c:v>
                </c:pt>
              </c:numCache>
            </c:numRef>
          </c:val>
          <c:smooth val="0"/>
          <c:extLst>
            <c:ext xmlns:c16="http://schemas.microsoft.com/office/drawing/2014/chart" uri="{C3380CC4-5D6E-409C-BE32-E72D297353CC}">
              <c16:uniqueId val="{00000001-7B05-470E-89B7-827F417AF1FF}"/>
            </c:ext>
          </c:extLst>
        </c:ser>
        <c:ser>
          <c:idx val="2"/>
          <c:order val="2"/>
          <c:tx>
            <c:strRef>
              <c:f>'Financial Analysis'!$A$25</c:f>
              <c:strCache>
                <c:ptCount val="1"/>
                <c:pt idx="0">
                  <c:v>Days Payable Outstanding</c:v>
                </c:pt>
              </c:strCache>
            </c:strRef>
          </c:tx>
          <c:spPr>
            <a:ln w="31750"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Analysis'!$B$25:$F$25</c:f>
              <c:numCache>
                <c:formatCode>0</c:formatCode>
                <c:ptCount val="5"/>
                <c:pt idx="1">
                  <c:v>83.189418507069945</c:v>
                </c:pt>
                <c:pt idx="2">
                  <c:v>67.814226085284787</c:v>
                </c:pt>
                <c:pt idx="3">
                  <c:v>71.131950294860999</c:v>
                </c:pt>
                <c:pt idx="4">
                  <c:v>86.328217612193058</c:v>
                </c:pt>
              </c:numCache>
            </c:numRef>
          </c:val>
          <c:smooth val="0"/>
          <c:extLst>
            <c:ext xmlns:c16="http://schemas.microsoft.com/office/drawing/2014/chart" uri="{C3380CC4-5D6E-409C-BE32-E72D297353CC}">
              <c16:uniqueId val="{00000002-7B05-470E-89B7-827F417AF1FF}"/>
            </c:ext>
          </c:extLst>
        </c:ser>
        <c:ser>
          <c:idx val="3"/>
          <c:order val="3"/>
          <c:tx>
            <c:strRef>
              <c:f>'Financial Analysis'!$A$26</c:f>
              <c:strCache>
                <c:ptCount val="1"/>
                <c:pt idx="0">
                  <c:v>Cash Conversion Cycle</c:v>
                </c:pt>
              </c:strCache>
            </c:strRef>
          </c:tx>
          <c:spPr>
            <a:ln w="31750"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Analysis'!$B$26:$F$26</c:f>
              <c:numCache>
                <c:formatCode>0</c:formatCode>
                <c:ptCount val="5"/>
                <c:pt idx="1">
                  <c:v>58.254095353259345</c:v>
                </c:pt>
                <c:pt idx="2">
                  <c:v>76.10327561483831</c:v>
                </c:pt>
                <c:pt idx="3">
                  <c:v>90.223229563202082</c:v>
                </c:pt>
                <c:pt idx="4">
                  <c:v>61.964303754255113</c:v>
                </c:pt>
              </c:numCache>
            </c:numRef>
          </c:val>
          <c:smooth val="0"/>
          <c:extLst>
            <c:ext xmlns:c16="http://schemas.microsoft.com/office/drawing/2014/chart" uri="{C3380CC4-5D6E-409C-BE32-E72D297353CC}">
              <c16:uniqueId val="{00000003-7B05-470E-89B7-827F417AF1FF}"/>
            </c:ext>
          </c:extLst>
        </c:ser>
        <c:dLbls>
          <c:dLblPos val="ctr"/>
          <c:showLegendKey val="0"/>
          <c:showVal val="1"/>
          <c:showCatName val="0"/>
          <c:showSerName val="0"/>
          <c:showPercent val="0"/>
          <c:showBubbleSize val="0"/>
        </c:dLbls>
        <c:smooth val="0"/>
        <c:axId val="1498709744"/>
        <c:axId val="1498711664"/>
      </c:lineChart>
      <c:catAx>
        <c:axId val="1498709744"/>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498711664"/>
        <c:crosses val="autoZero"/>
        <c:auto val="1"/>
        <c:lblAlgn val="ctr"/>
        <c:lblOffset val="100"/>
        <c:noMultiLvlLbl val="0"/>
      </c:catAx>
      <c:valAx>
        <c:axId val="1498711664"/>
        <c:scaling>
          <c:orientation val="minMax"/>
        </c:scaling>
        <c:delete val="0"/>
        <c:axPos val="l"/>
        <c:majorGridlines>
          <c:spPr>
            <a:ln w="9525" cap="flat" cmpd="sng" algn="ctr">
              <a:solidFill>
                <a:schemeClr val="tx2">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4987097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n-ZA" sz="1600"/>
              <a:t>Interest Coverage vs Debt-To-Assts</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plotArea>
      <c:layout/>
      <c:barChart>
        <c:barDir val="col"/>
        <c:grouping val="clustered"/>
        <c:varyColors val="0"/>
        <c:ser>
          <c:idx val="1"/>
          <c:order val="1"/>
          <c:tx>
            <c:strRef>
              <c:f>'Financial Analysis'!$A$34</c:f>
              <c:strCache>
                <c:ptCount val="1"/>
                <c:pt idx="0">
                  <c:v>Interest Coverage Ratio</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Analysis'!$B$34:$F$34</c:f>
              <c:numCache>
                <c:formatCode>0.00</c:formatCode>
                <c:ptCount val="5"/>
                <c:pt idx="0">
                  <c:v>36.5140350877193</c:v>
                </c:pt>
                <c:pt idx="1">
                  <c:v>38.325476992143663</c:v>
                </c:pt>
                <c:pt idx="2">
                  <c:v>11.478163493840986</c:v>
                </c:pt>
                <c:pt idx="3">
                  <c:v>9.1909385113268609</c:v>
                </c:pt>
                <c:pt idx="4">
                  <c:v>52.944444444444443</c:v>
                </c:pt>
              </c:numCache>
            </c:numRef>
          </c:val>
          <c:extLst>
            <c:ext xmlns:c16="http://schemas.microsoft.com/office/drawing/2014/chart" uri="{C3380CC4-5D6E-409C-BE32-E72D297353CC}">
              <c16:uniqueId val="{00000000-99D4-4ED3-AAFF-A5FE9BCC272E}"/>
            </c:ext>
          </c:extLst>
        </c:ser>
        <c:dLbls>
          <c:showLegendKey val="0"/>
          <c:showVal val="0"/>
          <c:showCatName val="0"/>
          <c:showSerName val="0"/>
          <c:showPercent val="0"/>
          <c:showBubbleSize val="0"/>
        </c:dLbls>
        <c:gapWidth val="269"/>
        <c:axId val="1933355392"/>
        <c:axId val="1933347232"/>
      </c:barChart>
      <c:lineChart>
        <c:grouping val="stacked"/>
        <c:varyColors val="0"/>
        <c:ser>
          <c:idx val="0"/>
          <c:order val="0"/>
          <c:tx>
            <c:strRef>
              <c:f>'Financial Analysis'!$A$33</c:f>
              <c:strCache>
                <c:ptCount val="1"/>
                <c:pt idx="0">
                  <c:v>Debt to Assts Ratio</c:v>
                </c:pt>
              </c:strCache>
            </c:strRef>
          </c:tx>
          <c:spPr>
            <a:ln w="38100"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Analysis'!$B$33:$F$33</c:f>
              <c:numCache>
                <c:formatCode>0.0%</c:formatCode>
                <c:ptCount val="5"/>
                <c:pt idx="0">
                  <c:v>2.4783423546218267E-2</c:v>
                </c:pt>
                <c:pt idx="1">
                  <c:v>6.2037944611499675E-2</c:v>
                </c:pt>
                <c:pt idx="2">
                  <c:v>8.054989425110555E-2</c:v>
                </c:pt>
                <c:pt idx="3">
                  <c:v>4.6655147804529916E-2</c:v>
                </c:pt>
                <c:pt idx="4">
                  <c:v>1.3244296048970506E-2</c:v>
                </c:pt>
              </c:numCache>
            </c:numRef>
          </c:val>
          <c:smooth val="0"/>
          <c:extLst>
            <c:ext xmlns:c16="http://schemas.microsoft.com/office/drawing/2014/chart" uri="{C3380CC4-5D6E-409C-BE32-E72D297353CC}">
              <c16:uniqueId val="{00000001-99D4-4ED3-AAFF-A5FE9BCC272E}"/>
            </c:ext>
          </c:extLst>
        </c:ser>
        <c:dLbls>
          <c:showLegendKey val="0"/>
          <c:showVal val="0"/>
          <c:showCatName val="0"/>
          <c:showSerName val="0"/>
          <c:showPercent val="0"/>
          <c:showBubbleSize val="0"/>
        </c:dLbls>
        <c:marker val="1"/>
        <c:smooth val="0"/>
        <c:axId val="1933348192"/>
        <c:axId val="1933347712"/>
      </c:lineChart>
      <c:catAx>
        <c:axId val="193335539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1933347232"/>
        <c:crosses val="autoZero"/>
        <c:auto val="1"/>
        <c:lblAlgn val="ctr"/>
        <c:lblOffset val="100"/>
        <c:noMultiLvlLbl val="0"/>
      </c:catAx>
      <c:valAx>
        <c:axId val="193334723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3355392"/>
        <c:crosses val="autoZero"/>
        <c:crossBetween val="between"/>
      </c:valAx>
      <c:valAx>
        <c:axId val="1933347712"/>
        <c:scaling>
          <c:orientation val="minMax"/>
        </c:scaling>
        <c:delete val="0"/>
        <c:axPos val="r"/>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3348192"/>
        <c:crosses val="max"/>
        <c:crossBetween val="between"/>
      </c:valAx>
      <c:catAx>
        <c:axId val="1933348192"/>
        <c:scaling>
          <c:orientation val="minMax"/>
        </c:scaling>
        <c:delete val="1"/>
        <c:axPos val="b"/>
        <c:numFmt formatCode="General" sourceLinked="1"/>
        <c:majorTickMark val="out"/>
        <c:minorTickMark val="none"/>
        <c:tickLblPos val="nextTo"/>
        <c:crossAx val="1933347712"/>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lineChart>
        <c:grouping val="standard"/>
        <c:varyColors val="0"/>
        <c:ser>
          <c:idx val="0"/>
          <c:order val="0"/>
          <c:tx>
            <c:strRef>
              <c:f>'Financial Analysis'!$A$57</c:f>
              <c:strCache>
                <c:ptCount val="1"/>
                <c:pt idx="0">
                  <c:v>Dividend Cover Ratio</c:v>
                </c:pt>
              </c:strCache>
            </c:strRef>
          </c:tx>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Analysis'!$B$57:$F$57</c:f>
              <c:numCache>
                <c:formatCode>0.00</c:formatCode>
                <c:ptCount val="5"/>
                <c:pt idx="0">
                  <c:v>1.0697619188980585</c:v>
                </c:pt>
                <c:pt idx="1">
                  <c:v>2.0882140796306978</c:v>
                </c:pt>
                <c:pt idx="2">
                  <c:v>1.7482414631026986</c:v>
                </c:pt>
                <c:pt idx="3">
                  <c:v>1.6866735726037414</c:v>
                </c:pt>
                <c:pt idx="4">
                  <c:v>1.1538895152198421</c:v>
                </c:pt>
              </c:numCache>
            </c:numRef>
          </c:val>
          <c:smooth val="0"/>
          <c:extLst>
            <c:ext xmlns:c16="http://schemas.microsoft.com/office/drawing/2014/chart" uri="{C3380CC4-5D6E-409C-BE32-E72D297353CC}">
              <c16:uniqueId val="{00000000-E3D6-4DE4-8A56-5D5D027A85A2}"/>
            </c:ext>
          </c:extLst>
        </c:ser>
        <c:dLbls>
          <c:dLblPos val="ctr"/>
          <c:showLegendKey val="0"/>
          <c:showVal val="1"/>
          <c:showCatName val="0"/>
          <c:showSerName val="0"/>
          <c:showPercent val="0"/>
          <c:showBubbleSize val="0"/>
        </c:dLbls>
        <c:marker val="1"/>
        <c:smooth val="0"/>
        <c:axId val="112216480"/>
        <c:axId val="112212640"/>
      </c:lineChart>
      <c:catAx>
        <c:axId val="112216480"/>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ZA"/>
                  <a:t>Years</a:t>
                </a:r>
              </a:p>
            </c:rich>
          </c:tx>
          <c:layout>
            <c:manualLayout>
              <c:xMode val="edge"/>
              <c:yMode val="edge"/>
              <c:x val="0.46605309734513273"/>
              <c:y val="0.88432852143482066"/>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12212640"/>
        <c:crosses val="autoZero"/>
        <c:auto val="1"/>
        <c:lblAlgn val="ctr"/>
        <c:lblOffset val="100"/>
        <c:noMultiLvlLbl val="0"/>
      </c:catAx>
      <c:valAx>
        <c:axId val="112212640"/>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0" sourceLinked="1"/>
        <c:majorTickMark val="none"/>
        <c:minorTickMark val="none"/>
        <c:tickLblPos val="nextTo"/>
        <c:crossAx val="112216480"/>
        <c:crosses val="autoZero"/>
        <c:crossBetween val="between"/>
      </c:valAx>
      <c:spPr>
        <a:noFill/>
        <a:ln w="25400">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Revanue</a:t>
            </a:r>
            <a:r>
              <a:rPr lang="en-ZA" baseline="0"/>
              <a:t> &amp; EBIT Trend (FY2021A-2025A | FY2026E-2030E)</a:t>
            </a:r>
            <a:endParaRPr lang="en-Z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ZA"/>
        </a:p>
      </c:txPr>
    </c:title>
    <c:autoTitleDeleted val="0"/>
    <c:plotArea>
      <c:layout/>
      <c:barChart>
        <c:barDir val="col"/>
        <c:grouping val="stacked"/>
        <c:varyColors val="0"/>
        <c:ser>
          <c:idx val="0"/>
          <c:order val="0"/>
          <c:tx>
            <c:strRef>
              <c:f>'Financial Analysis'!$A$2</c:f>
              <c:strCache>
                <c:ptCount val="1"/>
                <c:pt idx="0">
                  <c:v>  Total revenue</c:v>
                </c:pt>
              </c:strCache>
            </c:strRef>
          </c:tx>
          <c:spPr>
            <a:solidFill>
              <a:schemeClr val="accent1"/>
            </a:solidFill>
            <a:ln>
              <a:noFill/>
            </a:ln>
            <a:effectLst/>
          </c:spPr>
          <c:invertIfNegative val="0"/>
          <c:cat>
            <c:numRef>
              <c:f>'Financial Analysis'!$B$1:$K$1</c:f>
              <c:numCache>
                <c:formatCode>General</c:formatCode>
                <c:ptCount val="10"/>
                <c:pt idx="0">
                  <c:v>2021</c:v>
                </c:pt>
                <c:pt idx="1">
                  <c:v>2022</c:v>
                </c:pt>
                <c:pt idx="2">
                  <c:v>2023</c:v>
                </c:pt>
                <c:pt idx="3">
                  <c:v>2024</c:v>
                </c:pt>
                <c:pt idx="4">
                  <c:v>2025</c:v>
                </c:pt>
                <c:pt idx="5">
                  <c:v>2026</c:v>
                </c:pt>
                <c:pt idx="6">
                  <c:v>2027</c:v>
                </c:pt>
                <c:pt idx="7">
                  <c:v>2028</c:v>
                </c:pt>
                <c:pt idx="8">
                  <c:v>2029</c:v>
                </c:pt>
                <c:pt idx="9">
                  <c:v>2030</c:v>
                </c:pt>
              </c:numCache>
            </c:numRef>
          </c:cat>
          <c:val>
            <c:numRef>
              <c:f>'Financial Analysis'!$B$2:$K$2</c:f>
              <c:numCache>
                <c:formatCode>0</c:formatCode>
                <c:ptCount val="10"/>
                <c:pt idx="0">
                  <c:v>30953.9</c:v>
                </c:pt>
                <c:pt idx="1">
                  <c:v>34028.9</c:v>
                </c:pt>
                <c:pt idx="2">
                  <c:v>37388.5</c:v>
                </c:pt>
                <c:pt idx="3">
                  <c:v>33494</c:v>
                </c:pt>
                <c:pt idx="4">
                  <c:v>34392</c:v>
                </c:pt>
                <c:pt idx="5">
                  <c:v>35429.923491868445</c:v>
                </c:pt>
                <c:pt idx="6">
                  <c:v>36499.170697826572</c:v>
                </c:pt>
                <c:pt idx="7">
                  <c:v>37600.686942912362</c:v>
                </c:pt>
                <c:pt idx="8">
                  <c:v>38735.446081329428</c:v>
                </c:pt>
                <c:pt idx="9">
                  <c:v>39904.45135743478</c:v>
                </c:pt>
              </c:numCache>
            </c:numRef>
          </c:val>
          <c:extLst>
            <c:ext xmlns:c16="http://schemas.microsoft.com/office/drawing/2014/chart" uri="{C3380CC4-5D6E-409C-BE32-E72D297353CC}">
              <c16:uniqueId val="{00000000-4CB9-4BB1-8C86-5920A3BEAEE5}"/>
            </c:ext>
          </c:extLst>
        </c:ser>
        <c:dLbls>
          <c:showLegendKey val="0"/>
          <c:showVal val="0"/>
          <c:showCatName val="0"/>
          <c:showSerName val="0"/>
          <c:showPercent val="0"/>
          <c:showBubbleSize val="0"/>
        </c:dLbls>
        <c:gapWidth val="219"/>
        <c:overlap val="100"/>
        <c:axId val="196712464"/>
        <c:axId val="196712944"/>
      </c:barChart>
      <c:lineChart>
        <c:grouping val="standard"/>
        <c:varyColors val="0"/>
        <c:ser>
          <c:idx val="1"/>
          <c:order val="1"/>
          <c:tx>
            <c:strRef>
              <c:f>'Financial Analysis'!$A$3</c:f>
              <c:strCache>
                <c:ptCount val="1"/>
                <c:pt idx="0">
                  <c:v>EBIT Growth </c:v>
                </c:pt>
              </c:strCache>
            </c:strRef>
          </c:tx>
          <c:spPr>
            <a:ln w="28575" cap="rnd">
              <a:solidFill>
                <a:schemeClr val="accent2"/>
              </a:solidFill>
              <a:round/>
            </a:ln>
            <a:effectLst/>
          </c:spPr>
          <c:marker>
            <c:symbol val="none"/>
          </c:marker>
          <c:cat>
            <c:numRef>
              <c:f>'Financial Analysis'!$B$1:$J$1</c:f>
              <c:numCache>
                <c:formatCode>General</c:formatCode>
                <c:ptCount val="9"/>
                <c:pt idx="0">
                  <c:v>2021</c:v>
                </c:pt>
                <c:pt idx="1">
                  <c:v>2022</c:v>
                </c:pt>
                <c:pt idx="2">
                  <c:v>2023</c:v>
                </c:pt>
                <c:pt idx="3">
                  <c:v>2024</c:v>
                </c:pt>
                <c:pt idx="4">
                  <c:v>2025</c:v>
                </c:pt>
                <c:pt idx="5">
                  <c:v>2026</c:v>
                </c:pt>
                <c:pt idx="6">
                  <c:v>2027</c:v>
                </c:pt>
                <c:pt idx="7">
                  <c:v>2028</c:v>
                </c:pt>
                <c:pt idx="8">
                  <c:v>2029</c:v>
                </c:pt>
              </c:numCache>
            </c:numRef>
          </c:cat>
          <c:val>
            <c:numRef>
              <c:f>'Financial Analysis'!$B$3:$K$3</c:f>
              <c:numCache>
                <c:formatCode>0</c:formatCode>
                <c:ptCount val="10"/>
                <c:pt idx="0">
                  <c:v>2081.3000000000002</c:v>
                </c:pt>
                <c:pt idx="1">
                  <c:v>3414.8</c:v>
                </c:pt>
                <c:pt idx="2">
                  <c:v>3075</c:v>
                </c:pt>
                <c:pt idx="3">
                  <c:v>2840</c:v>
                </c:pt>
                <c:pt idx="4">
                  <c:v>3812</c:v>
                </c:pt>
                <c:pt idx="5">
                  <c:v>3849.2534918684469</c:v>
                </c:pt>
                <c:pt idx="6">
                  <c:v>4028.9622678265769</c:v>
                </c:pt>
                <c:pt idx="7">
                  <c:v>4213.1374631223707</c:v>
                </c:pt>
                <c:pt idx="8">
                  <c:v>4401.7830260887713</c:v>
                </c:pt>
                <c:pt idx="9">
                  <c:v>4594.8951173243931</c:v>
                </c:pt>
              </c:numCache>
            </c:numRef>
          </c:val>
          <c:smooth val="0"/>
          <c:extLst>
            <c:ext xmlns:c16="http://schemas.microsoft.com/office/drawing/2014/chart" uri="{C3380CC4-5D6E-409C-BE32-E72D297353CC}">
              <c16:uniqueId val="{00000001-4CB9-4BB1-8C86-5920A3BEAEE5}"/>
            </c:ext>
          </c:extLst>
        </c:ser>
        <c:dLbls>
          <c:showLegendKey val="0"/>
          <c:showVal val="0"/>
          <c:showCatName val="0"/>
          <c:showSerName val="0"/>
          <c:showPercent val="0"/>
          <c:showBubbleSize val="0"/>
        </c:dLbls>
        <c:marker val="1"/>
        <c:smooth val="0"/>
        <c:axId val="1934736064"/>
        <c:axId val="1934735584"/>
      </c:lineChart>
      <c:catAx>
        <c:axId val="196712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712944"/>
        <c:crosses val="autoZero"/>
        <c:auto val="1"/>
        <c:lblAlgn val="ctr"/>
        <c:lblOffset val="100"/>
        <c:noMultiLvlLbl val="0"/>
      </c:catAx>
      <c:valAx>
        <c:axId val="196712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Revanue(R,million)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712464"/>
        <c:crosses val="autoZero"/>
        <c:crossBetween val="between"/>
      </c:valAx>
      <c:valAx>
        <c:axId val="1934735584"/>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	EBIT(R'million)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4736064"/>
        <c:crosses val="max"/>
        <c:crossBetween val="between"/>
      </c:valAx>
      <c:catAx>
        <c:axId val="1934736064"/>
        <c:scaling>
          <c:orientation val="minMax"/>
        </c:scaling>
        <c:delete val="1"/>
        <c:axPos val="b"/>
        <c:numFmt formatCode="General" sourceLinked="1"/>
        <c:majorTickMark val="out"/>
        <c:minorTickMark val="none"/>
        <c:tickLblPos val="nextTo"/>
        <c:crossAx val="193473558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Historical</a:t>
            </a:r>
            <a:r>
              <a:rPr lang="en-ZA" baseline="0"/>
              <a:t> Free Cash Flow </a:t>
            </a:r>
            <a:endParaRPr lang="en-Z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ZA"/>
        </a:p>
      </c:txPr>
    </c:title>
    <c:autoTitleDeleted val="0"/>
    <c:plotArea>
      <c:layout/>
      <c:barChart>
        <c:barDir val="col"/>
        <c:grouping val="clustered"/>
        <c:varyColors val="0"/>
        <c:ser>
          <c:idx val="0"/>
          <c:order val="0"/>
          <c:tx>
            <c:strRef>
              <c:f>'Financial Analysis'!$A$43</c:f>
              <c:strCache>
                <c:ptCount val="1"/>
                <c:pt idx="0">
                  <c:v>Free Cash Flow</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Analysis'!$B$43:$F$43</c:f>
              <c:numCache>
                <c:formatCode>General</c:formatCode>
                <c:ptCount val="5"/>
                <c:pt idx="0">
                  <c:v>599.29999999999995</c:v>
                </c:pt>
                <c:pt idx="1">
                  <c:v>-357.20000000000005</c:v>
                </c:pt>
                <c:pt idx="2">
                  <c:v>-842.39999999999986</c:v>
                </c:pt>
                <c:pt idx="3">
                  <c:v>1977.9</c:v>
                </c:pt>
                <c:pt idx="4">
                  <c:v>1091</c:v>
                </c:pt>
              </c:numCache>
            </c:numRef>
          </c:val>
          <c:extLst>
            <c:ext xmlns:c16="http://schemas.microsoft.com/office/drawing/2014/chart" uri="{C3380CC4-5D6E-409C-BE32-E72D297353CC}">
              <c16:uniqueId val="{00000000-0F17-4D8D-B31B-F516B48D4FBC}"/>
            </c:ext>
          </c:extLst>
        </c:ser>
        <c:dLbls>
          <c:dLblPos val="outEnd"/>
          <c:showLegendKey val="0"/>
          <c:showVal val="1"/>
          <c:showCatName val="0"/>
          <c:showSerName val="0"/>
          <c:showPercent val="0"/>
          <c:showBubbleSize val="0"/>
        </c:dLbls>
        <c:gapWidth val="219"/>
        <c:overlap val="-27"/>
        <c:axId val="202698608"/>
        <c:axId val="202707248"/>
      </c:barChart>
      <c:catAx>
        <c:axId val="202698608"/>
        <c:scaling>
          <c:orientation val="minMax"/>
        </c:scaling>
        <c:delete val="0"/>
        <c:axPos val="b"/>
        <c:numFmt formatCode="General" sourceLinked="1"/>
        <c:majorTickMark val="none"/>
        <c:minorTickMark val="none"/>
        <c:tickLblPos val="nextTo"/>
        <c:spPr>
          <a:solidFill>
            <a:srgbClr val="FFFF00"/>
          </a:solid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707248"/>
        <c:crosses val="autoZero"/>
        <c:auto val="1"/>
        <c:lblAlgn val="ctr"/>
        <c:lblOffset val="100"/>
        <c:noMultiLvlLbl val="0"/>
      </c:catAx>
      <c:valAx>
        <c:axId val="202707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R'million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698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sz="1400" b="1" i="0" u="none" strike="noStrike" kern="1200" cap="none" spc="0" normalizeH="0" baseline="0">
                <a:solidFill>
                  <a:srgbClr val="000000">
                    <a:lumMod val="50000"/>
                    <a:lumOff val="50000"/>
                  </a:srgbClr>
                </a:solidFill>
              </a:rPr>
              <a:t>Revenue, Cost of Sales &amp; Gross Margin Expansion Trajectory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'Financial Analysis'!$A$2</c:f>
              <c:strCache>
                <c:ptCount val="1"/>
                <c:pt idx="0">
                  <c:v>  Total revenue</c:v>
                </c:pt>
              </c:strCache>
            </c:strRef>
          </c:tx>
          <c:spPr>
            <a:solidFill>
              <a:schemeClr val="accent1"/>
            </a:solidFill>
            <a:ln>
              <a:noFill/>
            </a:ln>
            <a:effectLst/>
          </c:spPr>
          <c:invertIfNegative val="0"/>
          <c:cat>
            <c:numRef>
              <c:f>'Financial Analysis'!$B$1:$K$1</c:f>
              <c:numCache>
                <c:formatCode>General</c:formatCode>
                <c:ptCount val="10"/>
                <c:pt idx="0">
                  <c:v>2021</c:v>
                </c:pt>
                <c:pt idx="1">
                  <c:v>2022</c:v>
                </c:pt>
                <c:pt idx="2">
                  <c:v>2023</c:v>
                </c:pt>
                <c:pt idx="3">
                  <c:v>2024</c:v>
                </c:pt>
                <c:pt idx="4">
                  <c:v>2025</c:v>
                </c:pt>
                <c:pt idx="5">
                  <c:v>2026</c:v>
                </c:pt>
                <c:pt idx="6">
                  <c:v>2027</c:v>
                </c:pt>
                <c:pt idx="7">
                  <c:v>2028</c:v>
                </c:pt>
                <c:pt idx="8">
                  <c:v>2029</c:v>
                </c:pt>
                <c:pt idx="9">
                  <c:v>2030</c:v>
                </c:pt>
              </c:numCache>
            </c:numRef>
          </c:cat>
          <c:val>
            <c:numRef>
              <c:f>'Financial Analysis'!$B$2:$K$2</c:f>
              <c:numCache>
                <c:formatCode>0</c:formatCode>
                <c:ptCount val="10"/>
                <c:pt idx="0">
                  <c:v>30953.9</c:v>
                </c:pt>
                <c:pt idx="1">
                  <c:v>34028.9</c:v>
                </c:pt>
                <c:pt idx="2">
                  <c:v>37388.5</c:v>
                </c:pt>
                <c:pt idx="3">
                  <c:v>33494</c:v>
                </c:pt>
                <c:pt idx="4">
                  <c:v>34392</c:v>
                </c:pt>
                <c:pt idx="5">
                  <c:v>35429.923491868445</c:v>
                </c:pt>
                <c:pt idx="6">
                  <c:v>36499.170697826572</c:v>
                </c:pt>
                <c:pt idx="7">
                  <c:v>37600.686942912362</c:v>
                </c:pt>
                <c:pt idx="8">
                  <c:v>38735.446081329428</c:v>
                </c:pt>
                <c:pt idx="9">
                  <c:v>39904.45135743478</c:v>
                </c:pt>
              </c:numCache>
            </c:numRef>
          </c:val>
          <c:extLst>
            <c:ext xmlns:c16="http://schemas.microsoft.com/office/drawing/2014/chart" uri="{C3380CC4-5D6E-409C-BE32-E72D297353CC}">
              <c16:uniqueId val="{00000000-E97E-4355-9D4C-6AFCA92E7929}"/>
            </c:ext>
          </c:extLst>
        </c:ser>
        <c:ser>
          <c:idx val="1"/>
          <c:order val="1"/>
          <c:tx>
            <c:strRef>
              <c:f>'Financial Analysis'!$A$3</c:f>
              <c:strCache>
                <c:ptCount val="1"/>
                <c:pt idx="0">
                  <c:v>EBIT Growth </c:v>
                </c:pt>
              </c:strCache>
            </c:strRef>
          </c:tx>
          <c:spPr>
            <a:solidFill>
              <a:schemeClr val="accent2"/>
            </a:solidFill>
            <a:ln>
              <a:noFill/>
            </a:ln>
            <a:effectLst/>
          </c:spPr>
          <c:invertIfNegative val="0"/>
          <c:cat>
            <c:numRef>
              <c:f>'Financial Analysis'!$B$1:$K$1</c:f>
              <c:numCache>
                <c:formatCode>General</c:formatCode>
                <c:ptCount val="10"/>
                <c:pt idx="0">
                  <c:v>2021</c:v>
                </c:pt>
                <c:pt idx="1">
                  <c:v>2022</c:v>
                </c:pt>
                <c:pt idx="2">
                  <c:v>2023</c:v>
                </c:pt>
                <c:pt idx="3">
                  <c:v>2024</c:v>
                </c:pt>
                <c:pt idx="4">
                  <c:v>2025</c:v>
                </c:pt>
                <c:pt idx="5">
                  <c:v>2026</c:v>
                </c:pt>
                <c:pt idx="6">
                  <c:v>2027</c:v>
                </c:pt>
                <c:pt idx="7">
                  <c:v>2028</c:v>
                </c:pt>
                <c:pt idx="8">
                  <c:v>2029</c:v>
                </c:pt>
                <c:pt idx="9">
                  <c:v>2030</c:v>
                </c:pt>
              </c:numCache>
            </c:numRef>
          </c:cat>
          <c:val>
            <c:numRef>
              <c:f>'Financial Analysis'!$B$3:$K$3</c:f>
              <c:numCache>
                <c:formatCode>0</c:formatCode>
                <c:ptCount val="10"/>
                <c:pt idx="0">
                  <c:v>2081.3000000000002</c:v>
                </c:pt>
                <c:pt idx="1">
                  <c:v>3414.8</c:v>
                </c:pt>
                <c:pt idx="2">
                  <c:v>3075</c:v>
                </c:pt>
                <c:pt idx="3">
                  <c:v>2840</c:v>
                </c:pt>
                <c:pt idx="4">
                  <c:v>3812</c:v>
                </c:pt>
                <c:pt idx="5">
                  <c:v>3849.2534918684469</c:v>
                </c:pt>
                <c:pt idx="6">
                  <c:v>4028.9622678265769</c:v>
                </c:pt>
                <c:pt idx="7">
                  <c:v>4213.1374631223707</c:v>
                </c:pt>
                <c:pt idx="8">
                  <c:v>4401.7830260887713</c:v>
                </c:pt>
                <c:pt idx="9">
                  <c:v>4594.8951173243931</c:v>
                </c:pt>
              </c:numCache>
            </c:numRef>
          </c:val>
          <c:extLst>
            <c:ext xmlns:c16="http://schemas.microsoft.com/office/drawing/2014/chart" uri="{C3380CC4-5D6E-409C-BE32-E72D297353CC}">
              <c16:uniqueId val="{00000001-E97E-4355-9D4C-6AFCA92E7929}"/>
            </c:ext>
          </c:extLst>
        </c:ser>
        <c:ser>
          <c:idx val="2"/>
          <c:order val="2"/>
          <c:tx>
            <c:strRef>
              <c:f>'Financial Analysis'!$A$4</c:f>
              <c:strCache>
                <c:ptCount val="1"/>
                <c:pt idx="0">
                  <c:v>  Total cost of sales</c:v>
                </c:pt>
              </c:strCache>
            </c:strRef>
          </c:tx>
          <c:spPr>
            <a:solidFill>
              <a:schemeClr val="accent3">
                <a:lumMod val="60000"/>
                <a:lumOff val="40000"/>
              </a:schemeClr>
            </a:solidFill>
            <a:ln>
              <a:noFill/>
            </a:ln>
            <a:effectLst/>
          </c:spPr>
          <c:invertIfNegative val="0"/>
          <c:cat>
            <c:numRef>
              <c:f>'Financial Analysis'!$B$1:$K$1</c:f>
              <c:numCache>
                <c:formatCode>General</c:formatCode>
                <c:ptCount val="10"/>
                <c:pt idx="0">
                  <c:v>2021</c:v>
                </c:pt>
                <c:pt idx="1">
                  <c:v>2022</c:v>
                </c:pt>
                <c:pt idx="2">
                  <c:v>2023</c:v>
                </c:pt>
                <c:pt idx="3">
                  <c:v>2024</c:v>
                </c:pt>
                <c:pt idx="4">
                  <c:v>2025</c:v>
                </c:pt>
                <c:pt idx="5">
                  <c:v>2026</c:v>
                </c:pt>
                <c:pt idx="6">
                  <c:v>2027</c:v>
                </c:pt>
                <c:pt idx="7">
                  <c:v>2028</c:v>
                </c:pt>
                <c:pt idx="8">
                  <c:v>2029</c:v>
                </c:pt>
                <c:pt idx="9">
                  <c:v>2030</c:v>
                </c:pt>
              </c:numCache>
            </c:numRef>
          </c:cat>
          <c:val>
            <c:numRef>
              <c:f>'Financial Analysis'!$B$4:$K$4</c:f>
              <c:numCache>
                <c:formatCode>0</c:formatCode>
                <c:ptCount val="10"/>
                <c:pt idx="0">
                  <c:v>-22143.7</c:v>
                </c:pt>
                <c:pt idx="1">
                  <c:v>-23713.1</c:v>
                </c:pt>
                <c:pt idx="2">
                  <c:v>-27048.2</c:v>
                </c:pt>
                <c:pt idx="3">
                  <c:v>-23740</c:v>
                </c:pt>
                <c:pt idx="4">
                  <c:v>-23620</c:v>
                </c:pt>
                <c:pt idx="5">
                  <c:v>-24163.26</c:v>
                </c:pt>
                <c:pt idx="6">
                  <c:v>-24719.014979999996</c:v>
                </c:pt>
                <c:pt idx="7">
                  <c:v>-25287.552324539993</c:v>
                </c:pt>
                <c:pt idx="8">
                  <c:v>-25869.166028004409</c:v>
                </c:pt>
                <c:pt idx="9">
                  <c:v>-26464.156846648508</c:v>
                </c:pt>
              </c:numCache>
            </c:numRef>
          </c:val>
          <c:extLst>
            <c:ext xmlns:c16="http://schemas.microsoft.com/office/drawing/2014/chart" uri="{C3380CC4-5D6E-409C-BE32-E72D297353CC}">
              <c16:uniqueId val="{00000002-E97E-4355-9D4C-6AFCA92E7929}"/>
            </c:ext>
          </c:extLst>
        </c:ser>
        <c:dLbls>
          <c:showLegendKey val="0"/>
          <c:showVal val="0"/>
          <c:showCatName val="0"/>
          <c:showSerName val="0"/>
          <c:showPercent val="0"/>
          <c:showBubbleSize val="0"/>
        </c:dLbls>
        <c:gapWidth val="219"/>
        <c:overlap val="-27"/>
        <c:axId val="1511834096"/>
        <c:axId val="1511833616"/>
      </c:barChart>
      <c:lineChart>
        <c:grouping val="standard"/>
        <c:varyColors val="0"/>
        <c:ser>
          <c:idx val="3"/>
          <c:order val="3"/>
          <c:tx>
            <c:strRef>
              <c:f>'Financial Analysis'!$A$6</c:f>
              <c:strCache>
                <c:ptCount val="1"/>
                <c:pt idx="0">
                  <c:v>Gross Profit Margin</c:v>
                </c:pt>
              </c:strCache>
            </c:strRef>
          </c:tx>
          <c:spPr>
            <a:ln w="28575" cap="rnd">
              <a:solidFill>
                <a:schemeClr val="accent4"/>
              </a:solidFill>
              <a:round/>
            </a:ln>
            <a:effectLst/>
          </c:spPr>
          <c:marker>
            <c:symbol val="none"/>
          </c:marker>
          <c:cat>
            <c:numRef>
              <c:f>'Financial Analysis'!$B$1:$K$1</c:f>
              <c:numCache>
                <c:formatCode>General</c:formatCode>
                <c:ptCount val="10"/>
                <c:pt idx="0">
                  <c:v>2021</c:v>
                </c:pt>
                <c:pt idx="1">
                  <c:v>2022</c:v>
                </c:pt>
                <c:pt idx="2">
                  <c:v>2023</c:v>
                </c:pt>
                <c:pt idx="3">
                  <c:v>2024</c:v>
                </c:pt>
                <c:pt idx="4">
                  <c:v>2025</c:v>
                </c:pt>
                <c:pt idx="5">
                  <c:v>2026</c:v>
                </c:pt>
                <c:pt idx="6">
                  <c:v>2027</c:v>
                </c:pt>
                <c:pt idx="7">
                  <c:v>2028</c:v>
                </c:pt>
                <c:pt idx="8">
                  <c:v>2029</c:v>
                </c:pt>
                <c:pt idx="9">
                  <c:v>2030</c:v>
                </c:pt>
              </c:numCache>
            </c:numRef>
          </c:cat>
          <c:val>
            <c:numRef>
              <c:f>'Financial Analysis'!$B$6:$K$6</c:f>
              <c:numCache>
                <c:formatCode>0.0%</c:formatCode>
                <c:ptCount val="10"/>
                <c:pt idx="0">
                  <c:v>0.28462326233527924</c:v>
                </c:pt>
                <c:pt idx="1">
                  <c:v>0.30314820637752038</c:v>
                </c:pt>
                <c:pt idx="2">
                  <c:v>0.27656364925043797</c:v>
                </c:pt>
                <c:pt idx="3">
                  <c:v>0.29121633725443363</c:v>
                </c:pt>
                <c:pt idx="4">
                  <c:v>0.31321237497092347</c:v>
                </c:pt>
                <c:pt idx="5">
                  <c:v>0.31799852727467132</c:v>
                </c:pt>
                <c:pt idx="6">
                  <c:v>0.32275132537540235</c:v>
                </c:pt>
                <c:pt idx="7">
                  <c:v>0.327471001715126</c:v>
                </c:pt>
                <c:pt idx="8">
                  <c:v>0.33215778711598715</c:v>
                </c:pt>
                <c:pt idx="9">
                  <c:v>0.33681191079155509</c:v>
                </c:pt>
              </c:numCache>
            </c:numRef>
          </c:val>
          <c:smooth val="0"/>
          <c:extLst>
            <c:ext xmlns:c16="http://schemas.microsoft.com/office/drawing/2014/chart" uri="{C3380CC4-5D6E-409C-BE32-E72D297353CC}">
              <c16:uniqueId val="{00000003-E97E-4355-9D4C-6AFCA92E7929}"/>
            </c:ext>
          </c:extLst>
        </c:ser>
        <c:dLbls>
          <c:showLegendKey val="0"/>
          <c:showVal val="0"/>
          <c:showCatName val="0"/>
          <c:showSerName val="0"/>
          <c:showPercent val="0"/>
          <c:showBubbleSize val="0"/>
        </c:dLbls>
        <c:marker val="1"/>
        <c:smooth val="0"/>
        <c:axId val="1511836976"/>
        <c:axId val="1511836496"/>
      </c:lineChart>
      <c:catAx>
        <c:axId val="1511834096"/>
        <c:scaling>
          <c:orientation val="minMax"/>
        </c:scaling>
        <c:delete val="0"/>
        <c:axPos val="b"/>
        <c:title>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solidFill>
            <a:schemeClr val="bg1"/>
          </a:solid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1833616"/>
        <c:crosses val="autoZero"/>
        <c:auto val="1"/>
        <c:lblAlgn val="ctr"/>
        <c:lblOffset val="100"/>
        <c:noMultiLvlLbl val="0"/>
      </c:catAx>
      <c:valAx>
        <c:axId val="15118336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R'million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1834096"/>
        <c:crosses val="autoZero"/>
        <c:crossBetween val="between"/>
      </c:valAx>
      <c:valAx>
        <c:axId val="1511836496"/>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Gross</a:t>
                </a:r>
                <a:r>
                  <a:rPr lang="en-ZA" baseline="0"/>
                  <a:t> Profit argin(%)</a:t>
                </a:r>
                <a:endParaRPr lang="en-Z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ZA"/>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1836976"/>
        <c:crosses val="max"/>
        <c:crossBetween val="between"/>
      </c:valAx>
      <c:catAx>
        <c:axId val="1511836976"/>
        <c:scaling>
          <c:orientation val="minMax"/>
        </c:scaling>
        <c:delete val="1"/>
        <c:axPos val="b"/>
        <c:numFmt formatCode="General" sourceLinked="1"/>
        <c:majorTickMark val="none"/>
        <c:minorTickMark val="none"/>
        <c:tickLblPos val="nextTo"/>
        <c:crossAx val="151183649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A"/>
              <a:t>CF Intrinsic Value vs Current Market Price </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'Financial Analysis'!$A$62:$A$63</c:f>
              <c:strCache>
                <c:ptCount val="2"/>
                <c:pt idx="0">
                  <c:v>DCF Instrinsic Value </c:v>
                </c:pt>
                <c:pt idx="1">
                  <c:v>Current Market Price</c:v>
                </c:pt>
              </c:strCache>
            </c:strRef>
          </c:cat>
          <c:val>
            <c:numRef>
              <c:f>'Financial Analysis'!$B$62:$B$63</c:f>
              <c:numCache>
                <c:formatCode>General</c:formatCode>
                <c:ptCount val="2"/>
                <c:pt idx="0" formatCode="0.00">
                  <c:v>327.59709527552502</c:v>
                </c:pt>
                <c:pt idx="1">
                  <c:v>284.43</c:v>
                </c:pt>
              </c:numCache>
            </c:numRef>
          </c:val>
          <c:extLst>
            <c:ext xmlns:c16="http://schemas.microsoft.com/office/drawing/2014/chart" uri="{C3380CC4-5D6E-409C-BE32-E72D297353CC}">
              <c16:uniqueId val="{00000000-65B9-499C-BEFE-FFD589F9D082}"/>
            </c:ext>
          </c:extLst>
        </c:ser>
        <c:dLbls>
          <c:dLblPos val="inEnd"/>
          <c:showLegendKey val="0"/>
          <c:showVal val="1"/>
          <c:showCatName val="0"/>
          <c:showSerName val="0"/>
          <c:showPercent val="0"/>
          <c:showBubbleSize val="0"/>
        </c:dLbls>
        <c:gapWidth val="65"/>
        <c:axId val="1548067408"/>
        <c:axId val="1548061648"/>
      </c:barChart>
      <c:catAx>
        <c:axId val="1548067408"/>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548061648"/>
        <c:crosses val="autoZero"/>
        <c:auto val="1"/>
        <c:lblAlgn val="ctr"/>
        <c:lblOffset val="100"/>
        <c:noMultiLvlLbl val="0"/>
      </c:catAx>
      <c:valAx>
        <c:axId val="1548061648"/>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1548067408"/>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n-ZA"/>
              <a:t>Gross Profit Margin Expansion Trajectory FY2021-FY2025A | FY2026E-2030E</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plotArea>
      <c:layout/>
      <c:lineChart>
        <c:grouping val="standard"/>
        <c:varyColors val="0"/>
        <c:ser>
          <c:idx val="0"/>
          <c:order val="0"/>
          <c:tx>
            <c:strRef>
              <c:f>'Financial Analysis'!$A$6</c:f>
              <c:strCache>
                <c:ptCount val="1"/>
                <c:pt idx="0">
                  <c:v>Gross Profit Margin</c:v>
                </c:pt>
              </c:strCache>
            </c:strRef>
          </c:tx>
          <c:spPr>
            <a:ln w="38100"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'Financial Analysis'!$B$1:$K$1</c:f>
              <c:numCache>
                <c:formatCode>General</c:formatCode>
                <c:ptCount val="10"/>
                <c:pt idx="0">
                  <c:v>2021</c:v>
                </c:pt>
                <c:pt idx="1">
                  <c:v>2022</c:v>
                </c:pt>
                <c:pt idx="2">
                  <c:v>2023</c:v>
                </c:pt>
                <c:pt idx="3">
                  <c:v>2024</c:v>
                </c:pt>
                <c:pt idx="4">
                  <c:v>2025</c:v>
                </c:pt>
                <c:pt idx="5">
                  <c:v>2026</c:v>
                </c:pt>
                <c:pt idx="6">
                  <c:v>2027</c:v>
                </c:pt>
                <c:pt idx="7">
                  <c:v>2028</c:v>
                </c:pt>
                <c:pt idx="8">
                  <c:v>2029</c:v>
                </c:pt>
                <c:pt idx="9">
                  <c:v>2030</c:v>
                </c:pt>
              </c:numCache>
            </c:numRef>
          </c:cat>
          <c:val>
            <c:numRef>
              <c:f>'Financial Analysis'!$B$6:$K$6</c:f>
              <c:numCache>
                <c:formatCode>0.0%</c:formatCode>
                <c:ptCount val="10"/>
                <c:pt idx="0">
                  <c:v>0.28462326233527924</c:v>
                </c:pt>
                <c:pt idx="1">
                  <c:v>0.30314820637752038</c:v>
                </c:pt>
                <c:pt idx="2">
                  <c:v>0.27656364925043797</c:v>
                </c:pt>
                <c:pt idx="3">
                  <c:v>0.29121633725443363</c:v>
                </c:pt>
                <c:pt idx="4">
                  <c:v>0.31321237497092347</c:v>
                </c:pt>
                <c:pt idx="5">
                  <c:v>0.31799852727467132</c:v>
                </c:pt>
                <c:pt idx="6">
                  <c:v>0.32275132537540235</c:v>
                </c:pt>
                <c:pt idx="7">
                  <c:v>0.327471001715126</c:v>
                </c:pt>
                <c:pt idx="8">
                  <c:v>0.33215778711598715</c:v>
                </c:pt>
                <c:pt idx="9">
                  <c:v>0.33681191079155509</c:v>
                </c:pt>
              </c:numCache>
            </c:numRef>
          </c:val>
          <c:smooth val="0"/>
          <c:extLst>
            <c:ext xmlns:c16="http://schemas.microsoft.com/office/drawing/2014/chart" uri="{C3380CC4-5D6E-409C-BE32-E72D297353CC}">
              <c16:uniqueId val="{00000000-5531-4059-88AC-8C12F00B99D4}"/>
            </c:ext>
          </c:extLst>
        </c:ser>
        <c:dLbls>
          <c:dLblPos val="t"/>
          <c:showLegendKey val="0"/>
          <c:showVal val="1"/>
          <c:showCatName val="0"/>
          <c:showSerName val="0"/>
          <c:showPercent val="0"/>
          <c:showBubbleSize val="0"/>
        </c:dLbls>
        <c:smooth val="0"/>
        <c:axId val="72083072"/>
        <c:axId val="72081632"/>
      </c:lineChart>
      <c:catAx>
        <c:axId val="72083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72081632"/>
        <c:crosses val="autoZero"/>
        <c:auto val="1"/>
        <c:lblAlgn val="ctr"/>
        <c:lblOffset val="100"/>
        <c:noMultiLvlLbl val="0"/>
      </c:catAx>
      <c:valAx>
        <c:axId val="7208163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ZA"/>
                  <a:t>Gross Margn(%) </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0830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'Financial Analysis'!$A$47</c:f>
              <c:strCache>
                <c:ptCount val="1"/>
                <c:pt idx="0">
                  <c:v>Price to Earning Ratio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Analysis'!$B$47:$F$47</c:f>
              <c:numCache>
                <c:formatCode>0.00</c:formatCode>
                <c:ptCount val="5"/>
                <c:pt idx="0">
                  <c:v>17.584037558685445</c:v>
                </c:pt>
                <c:pt idx="1">
                  <c:v>9.6163450624290565</c:v>
                </c:pt>
                <c:pt idx="2">
                  <c:v>8.8956521739130423</c:v>
                </c:pt>
                <c:pt idx="3">
                  <c:v>12.173458725182863</c:v>
                </c:pt>
                <c:pt idx="4">
                  <c:v>10.637792103142626</c:v>
                </c:pt>
              </c:numCache>
            </c:numRef>
          </c:val>
          <c:smooth val="0"/>
          <c:extLst>
            <c:ext xmlns:c16="http://schemas.microsoft.com/office/drawing/2014/chart" uri="{C3380CC4-5D6E-409C-BE32-E72D297353CC}">
              <c16:uniqueId val="{00000000-87AE-4D3D-9B8D-0B8EBBE43704}"/>
            </c:ext>
          </c:extLst>
        </c:ser>
        <c:dLbls>
          <c:dLblPos val="t"/>
          <c:showLegendKey val="0"/>
          <c:showVal val="1"/>
          <c:showCatName val="0"/>
          <c:showSerName val="0"/>
          <c:showPercent val="0"/>
          <c:showBubbleSize val="0"/>
        </c:dLbls>
        <c:marker val="1"/>
        <c:smooth val="0"/>
        <c:axId val="235585616"/>
        <c:axId val="235584176"/>
      </c:lineChart>
      <c:catAx>
        <c:axId val="2355856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5584176"/>
        <c:crosses val="autoZero"/>
        <c:auto val="1"/>
        <c:lblAlgn val="ctr"/>
        <c:lblOffset val="100"/>
        <c:noMultiLvlLbl val="0"/>
      </c:catAx>
      <c:valAx>
        <c:axId val="2355841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P/E Ratio</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55856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ZA"/>
              <a:t>EPS vs Price to Book</a:t>
            </a:r>
          </a:p>
        </c:rich>
      </c:tx>
      <c:layout>
        <c:manualLayout>
          <c:xMode val="edge"/>
          <c:yMode val="edge"/>
          <c:x val="0.30133087157208799"/>
          <c:y val="1.873536299765808E-2"/>
        </c:manualLayout>
      </c:layout>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barChart>
        <c:barDir val="col"/>
        <c:grouping val="clustered"/>
        <c:varyColors val="0"/>
        <c:ser>
          <c:idx val="0"/>
          <c:order val="0"/>
          <c:tx>
            <c:strRef>
              <c:f>'Financial Analysis'!$A$41</c:f>
              <c:strCache>
                <c:ptCount val="1"/>
                <c:pt idx="0">
                  <c:v>Earning Per share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Analysis'!$B$41:$F$41</c:f>
              <c:numCache>
                <c:formatCode>General</c:formatCode>
                <c:ptCount val="5"/>
                <c:pt idx="0">
                  <c:v>1050</c:v>
                </c:pt>
                <c:pt idx="1">
                  <c:v>1738</c:v>
                </c:pt>
                <c:pt idx="2">
                  <c:v>1700</c:v>
                </c:pt>
                <c:pt idx="3">
                  <c:v>1888</c:v>
                </c:pt>
                <c:pt idx="4">
                  <c:v>2449</c:v>
                </c:pt>
              </c:numCache>
            </c:numRef>
          </c:val>
          <c:extLst>
            <c:ext xmlns:c16="http://schemas.microsoft.com/office/drawing/2014/chart" uri="{C3380CC4-5D6E-409C-BE32-E72D297353CC}">
              <c16:uniqueId val="{00000000-44EE-44A3-9758-1CE8F7FD2775}"/>
            </c:ext>
          </c:extLst>
        </c:ser>
        <c:dLbls>
          <c:showLegendKey val="0"/>
          <c:showVal val="1"/>
          <c:showCatName val="0"/>
          <c:showSerName val="0"/>
          <c:showPercent val="0"/>
          <c:showBubbleSize val="0"/>
        </c:dLbls>
        <c:gapWidth val="247"/>
        <c:overlap val="-27"/>
        <c:axId val="1537831968"/>
        <c:axId val="1537828128"/>
      </c:barChart>
      <c:lineChart>
        <c:grouping val="standard"/>
        <c:varyColors val="0"/>
        <c:ser>
          <c:idx val="1"/>
          <c:order val="1"/>
          <c:tx>
            <c:strRef>
              <c:f>'Financial Analysis'!$A$51</c:f>
              <c:strCache>
                <c:ptCount val="1"/>
                <c:pt idx="0">
                  <c:v>Price to Book Ratio</c:v>
                </c:pt>
              </c:strCache>
            </c:strRef>
          </c:tx>
          <c:spPr>
            <a:ln w="2222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val>
            <c:numRef>
              <c:f>'Financial Analysis'!$B$51:$F$51</c:f>
              <c:numCache>
                <c:formatCode>0.0%</c:formatCode>
                <c:ptCount val="5"/>
                <c:pt idx="0">
                  <c:v>1.8126012049148859E-2</c:v>
                </c:pt>
                <c:pt idx="1">
                  <c:v>1.5738947789085082E-2</c:v>
                </c:pt>
                <c:pt idx="2">
                  <c:v>1.23847862273401E-2</c:v>
                </c:pt>
                <c:pt idx="3">
                  <c:v>1.777432359120025E-2</c:v>
                </c:pt>
                <c:pt idx="4">
                  <c:v>2.7001067001396074E-2</c:v>
                </c:pt>
              </c:numCache>
            </c:numRef>
          </c:val>
          <c:smooth val="0"/>
          <c:extLst>
            <c:ext xmlns:c16="http://schemas.microsoft.com/office/drawing/2014/chart" uri="{C3380CC4-5D6E-409C-BE32-E72D297353CC}">
              <c16:uniqueId val="{00000001-44EE-44A3-9758-1CE8F7FD2775}"/>
            </c:ext>
          </c:extLst>
        </c:ser>
        <c:dLbls>
          <c:showLegendKey val="0"/>
          <c:showVal val="1"/>
          <c:showCatName val="0"/>
          <c:showSerName val="0"/>
          <c:showPercent val="0"/>
          <c:showBubbleSize val="0"/>
        </c:dLbls>
        <c:marker val="1"/>
        <c:smooth val="0"/>
        <c:axId val="1537832928"/>
        <c:axId val="1537840128"/>
      </c:lineChart>
      <c:catAx>
        <c:axId val="1537831968"/>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1537828128"/>
        <c:crosses val="autoZero"/>
        <c:auto val="1"/>
        <c:lblAlgn val="ctr"/>
        <c:lblOffset val="100"/>
        <c:noMultiLvlLbl val="0"/>
      </c:catAx>
      <c:valAx>
        <c:axId val="1537828128"/>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537831968"/>
        <c:crosses val="autoZero"/>
        <c:crossBetween val="between"/>
      </c:valAx>
      <c:valAx>
        <c:axId val="1537840128"/>
        <c:scaling>
          <c:orientation val="minMax"/>
        </c:scaling>
        <c:delete val="0"/>
        <c:axPos val="r"/>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537832928"/>
        <c:crosses val="max"/>
        <c:crossBetween val="between"/>
      </c:valAx>
      <c:catAx>
        <c:axId val="1537832928"/>
        <c:scaling>
          <c:orientation val="minMax"/>
        </c:scaling>
        <c:delete val="1"/>
        <c:axPos val="b"/>
        <c:majorTickMark val="out"/>
        <c:minorTickMark val="none"/>
        <c:tickLblPos val="nextTo"/>
        <c:crossAx val="1537840128"/>
        <c:crosses val="autoZero"/>
        <c:auto val="1"/>
        <c:lblAlgn val="ctr"/>
        <c:lblOffset val="100"/>
        <c:noMultiLvlLbl val="0"/>
      </c:cat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ZA"/>
              <a:t>EPS vs Price to sales</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barChart>
        <c:barDir val="col"/>
        <c:grouping val="clustered"/>
        <c:varyColors val="0"/>
        <c:ser>
          <c:idx val="0"/>
          <c:order val="0"/>
          <c:tx>
            <c:strRef>
              <c:f>'Financial Analysis'!$A$41</c:f>
              <c:strCache>
                <c:ptCount val="1"/>
                <c:pt idx="0">
                  <c:v>Earning Per share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Analysis'!$B$41:$F$41</c:f>
              <c:numCache>
                <c:formatCode>General</c:formatCode>
                <c:ptCount val="5"/>
                <c:pt idx="0">
                  <c:v>1050</c:v>
                </c:pt>
                <c:pt idx="1">
                  <c:v>1738</c:v>
                </c:pt>
                <c:pt idx="2">
                  <c:v>1700</c:v>
                </c:pt>
                <c:pt idx="3">
                  <c:v>1888</c:v>
                </c:pt>
                <c:pt idx="4">
                  <c:v>2449</c:v>
                </c:pt>
              </c:numCache>
            </c:numRef>
          </c:val>
          <c:extLst>
            <c:ext xmlns:c16="http://schemas.microsoft.com/office/drawing/2014/chart" uri="{C3380CC4-5D6E-409C-BE32-E72D297353CC}">
              <c16:uniqueId val="{00000000-E1C6-4585-8DB1-7BF576CEF7D7}"/>
            </c:ext>
          </c:extLst>
        </c:ser>
        <c:dLbls>
          <c:showLegendKey val="0"/>
          <c:showVal val="1"/>
          <c:showCatName val="0"/>
          <c:showSerName val="0"/>
          <c:showPercent val="0"/>
          <c:showBubbleSize val="0"/>
        </c:dLbls>
        <c:gapWidth val="247"/>
        <c:overlap val="-27"/>
        <c:axId val="1548132720"/>
        <c:axId val="1548124080"/>
        <c:extLst>
          <c:ext xmlns:c15="http://schemas.microsoft.com/office/drawing/2012/chart" uri="{02D57815-91ED-43cb-92C2-25804820EDAC}">
            <c15:filteredBarSeries>
              <c15:ser>
                <c:idx val="1"/>
                <c:order val="1"/>
                <c:tx>
                  <c:strRef>
                    <c:extLst>
                      <c:ext uri="{02D57815-91ED-43cb-92C2-25804820EDAC}">
                        <c15:formulaRef>
                          <c15:sqref>'Financial Analysis'!$A$52</c15:sqref>
                        </c15:formulaRef>
                      </c:ext>
                    </c:extLst>
                    <c:strCache>
                      <c:ptCount val="1"/>
                      <c:pt idx="0">
                        <c:v>Price to Book Ratio</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dk1">
                                <a:lumMod val="35000"/>
                                <a:lumOff val="65000"/>
                              </a:schemeClr>
                            </a:solidFill>
                            <a:round/>
                          </a:ln>
                          <a:effectLst/>
                        </c:spPr>
                      </c15:leaderLines>
                    </c:ext>
                  </c:extLst>
                </c:dLbls>
                <c:cat>
                  <c:numRef>
                    <c:extLst>
                      <c:ext uri="{02D57815-91ED-43cb-92C2-25804820EDAC}">
                        <c15:formulaRef>
                          <c15:sqref>'Financial Analysis'!$B$1:$F$1</c15:sqref>
                        </c15:formulaRef>
                      </c:ext>
                    </c:extLst>
                    <c:numCache>
                      <c:formatCode>General</c:formatCode>
                      <c:ptCount val="5"/>
                      <c:pt idx="0">
                        <c:v>2021</c:v>
                      </c:pt>
                      <c:pt idx="1">
                        <c:v>2022</c:v>
                      </c:pt>
                      <c:pt idx="2">
                        <c:v>2023</c:v>
                      </c:pt>
                      <c:pt idx="3">
                        <c:v>2024</c:v>
                      </c:pt>
                      <c:pt idx="4">
                        <c:v>2025</c:v>
                      </c:pt>
                    </c:numCache>
                  </c:numRef>
                </c:cat>
                <c:val>
                  <c:numRef>
                    <c:extLst>
                      <c:ext uri="{02D57815-91ED-43cb-92C2-25804820EDAC}">
                        <c15:formulaRef>
                          <c15:sqref>'Financial Analysis'!$B$52:$F$52</c15:sqref>
                        </c15:formulaRef>
                      </c:ext>
                    </c:extLst>
                    <c:numCache>
                      <c:formatCode>0.0%</c:formatCode>
                      <c:ptCount val="5"/>
                      <c:pt idx="0">
                        <c:v>1.8126012049148859E-2</c:v>
                      </c:pt>
                      <c:pt idx="1">
                        <c:v>1.5738947789085082E-2</c:v>
                      </c:pt>
                      <c:pt idx="2">
                        <c:v>1.23847862273401E-2</c:v>
                      </c:pt>
                      <c:pt idx="3">
                        <c:v>1.777432359120025E-2</c:v>
                      </c:pt>
                      <c:pt idx="4">
                        <c:v>2.7001067001396074E-2</c:v>
                      </c:pt>
                    </c:numCache>
                  </c:numRef>
                </c:val>
                <c:extLst>
                  <c:ext xmlns:c16="http://schemas.microsoft.com/office/drawing/2014/chart" uri="{C3380CC4-5D6E-409C-BE32-E72D297353CC}">
                    <c16:uniqueId val="{00000002-E1C6-4585-8DB1-7BF576CEF7D7}"/>
                  </c:ext>
                </c:extLst>
              </c15:ser>
            </c15:filteredBarSeries>
          </c:ext>
        </c:extLst>
      </c:barChart>
      <c:lineChart>
        <c:grouping val="standard"/>
        <c:varyColors val="0"/>
        <c:ser>
          <c:idx val="2"/>
          <c:order val="2"/>
          <c:tx>
            <c:strRef>
              <c:f>'Financial Analysis'!$A$53</c:f>
              <c:strCache>
                <c:ptCount val="1"/>
                <c:pt idx="0">
                  <c:v>Price to Sales</c:v>
                </c:pt>
              </c:strCache>
            </c:strRef>
          </c:tx>
          <c:spPr>
            <a:ln w="2222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val>
            <c:numRef>
              <c:f>'Financial Analysis'!$B$53:$F$53</c:f>
              <c:numCache>
                <c:formatCode>0.0%</c:formatCode>
                <c:ptCount val="5"/>
                <c:pt idx="0">
                  <c:v>1.0236653759542795E-2</c:v>
                </c:pt>
                <c:pt idx="1">
                  <c:v>8.1813636615460286E-3</c:v>
                </c:pt>
                <c:pt idx="2">
                  <c:v>6.5046266842106182E-3</c:v>
                </c:pt>
                <c:pt idx="3">
                  <c:v>1.0947171935346863E-2</c:v>
                </c:pt>
                <c:pt idx="4">
                  <c:v>1.1911530992440758E-2</c:v>
                </c:pt>
              </c:numCache>
            </c:numRef>
          </c:val>
          <c:smooth val="0"/>
          <c:extLst>
            <c:ext xmlns:c16="http://schemas.microsoft.com/office/drawing/2014/chart" uri="{C3380CC4-5D6E-409C-BE32-E72D297353CC}">
              <c16:uniqueId val="{00000001-E1C6-4585-8DB1-7BF576CEF7D7}"/>
            </c:ext>
          </c:extLst>
        </c:ser>
        <c:dLbls>
          <c:showLegendKey val="0"/>
          <c:showVal val="1"/>
          <c:showCatName val="0"/>
          <c:showSerName val="0"/>
          <c:showPercent val="0"/>
          <c:showBubbleSize val="0"/>
        </c:dLbls>
        <c:marker val="1"/>
        <c:smooth val="0"/>
        <c:axId val="1548125040"/>
        <c:axId val="1548134640"/>
      </c:lineChart>
      <c:catAx>
        <c:axId val="154813272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1548124080"/>
        <c:crosses val="autoZero"/>
        <c:auto val="1"/>
        <c:lblAlgn val="ctr"/>
        <c:lblOffset val="100"/>
        <c:noMultiLvlLbl val="0"/>
      </c:catAx>
      <c:valAx>
        <c:axId val="1548124080"/>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548132720"/>
        <c:crosses val="autoZero"/>
        <c:crossBetween val="between"/>
      </c:valAx>
      <c:valAx>
        <c:axId val="1548134640"/>
        <c:scaling>
          <c:logBase val="10"/>
          <c:orientation val="minMax"/>
        </c:scaling>
        <c:delete val="0"/>
        <c:axPos val="r"/>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548125040"/>
        <c:crosses val="max"/>
        <c:crossBetween val="between"/>
      </c:valAx>
      <c:catAx>
        <c:axId val="1548125040"/>
        <c:scaling>
          <c:orientation val="minMax"/>
        </c:scaling>
        <c:delete val="1"/>
        <c:axPos val="b"/>
        <c:majorTickMark val="out"/>
        <c:minorTickMark val="none"/>
        <c:tickLblPos val="nextTo"/>
        <c:crossAx val="1548134640"/>
        <c:crosses val="autoZero"/>
        <c:auto val="1"/>
        <c:lblAlgn val="ctr"/>
        <c:lblOffset val="100"/>
        <c:noMultiLvlLbl val="0"/>
      </c:cat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'Financial Analysis'!$A$28</c:f>
              <c:strCache>
                <c:ptCount val="1"/>
                <c:pt idx="0">
                  <c:v>EV/EBITDA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'Financial Analysis'!$B$1:$F$1</c:f>
              <c:numCache>
                <c:formatCode>General</c:formatCode>
                <c:ptCount val="5"/>
                <c:pt idx="0">
                  <c:v>2021</c:v>
                </c:pt>
                <c:pt idx="1">
                  <c:v>2022</c:v>
                </c:pt>
                <c:pt idx="2">
                  <c:v>2023</c:v>
                </c:pt>
                <c:pt idx="3">
                  <c:v>2024</c:v>
                </c:pt>
                <c:pt idx="4">
                  <c:v>2025</c:v>
                </c:pt>
              </c:numCache>
            </c:numRef>
          </c:cat>
          <c:val>
            <c:numRef>
              <c:f>'Financial Analysis'!$B$28:$F$28</c:f>
              <c:numCache>
                <c:formatCode>0.0</c:formatCode>
                <c:ptCount val="5"/>
                <c:pt idx="0">
                  <c:v>9.5</c:v>
                </c:pt>
                <c:pt idx="1">
                  <c:v>7.2</c:v>
                </c:pt>
                <c:pt idx="2">
                  <c:v>7.1</c:v>
                </c:pt>
                <c:pt idx="3">
                  <c:v>8.6</c:v>
                </c:pt>
                <c:pt idx="4">
                  <c:v>8.4</c:v>
                </c:pt>
              </c:numCache>
            </c:numRef>
          </c:val>
          <c:extLst>
            <c:ext xmlns:c16="http://schemas.microsoft.com/office/drawing/2014/chart" uri="{C3380CC4-5D6E-409C-BE32-E72D297353CC}">
              <c16:uniqueId val="{00000000-551D-4EE5-A285-49472C909F50}"/>
            </c:ext>
          </c:extLst>
        </c:ser>
        <c:dLbls>
          <c:dLblPos val="outEnd"/>
          <c:showLegendKey val="0"/>
          <c:showVal val="1"/>
          <c:showCatName val="0"/>
          <c:showSerName val="0"/>
          <c:showPercent val="0"/>
          <c:showBubbleSize val="0"/>
        </c:dLbls>
        <c:gapWidth val="219"/>
        <c:overlap val="-27"/>
        <c:axId val="1216669632"/>
        <c:axId val="1216674912"/>
      </c:barChart>
      <c:catAx>
        <c:axId val="12166696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6674912"/>
        <c:crosses val="autoZero"/>
        <c:auto val="1"/>
        <c:lblAlgn val="ctr"/>
        <c:lblOffset val="100"/>
        <c:noMultiLvlLbl val="0"/>
      </c:catAx>
      <c:valAx>
        <c:axId val="121667491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66696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22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1">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6.xml><?xml version="1.0" encoding="utf-8"?>
<cs:chartStyle xmlns:cs="http://schemas.microsoft.com/office/drawing/2012/chartStyle" xmlns:a="http://schemas.openxmlformats.org/drawingml/2006/main" id="221">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Com24</b:Tag>
    <b:SourceType>Report</b:SourceType>
    <b:Guid>{A4B02E43-16D6-41BD-8C1A-B3EB781E484C}</b:Guid>
    <b:Title>Competition Commission of South Africa</b:Title>
    <b:Year>2024</b:Year>
    <b:RefOrder>1</b:RefOrder>
  </b:Source>
</b:Sources>
</file>

<file path=customXml/itemProps1.xml><?xml version="1.0" encoding="utf-8"?>
<ds:datastoreItem xmlns:ds="http://schemas.openxmlformats.org/officeDocument/2006/customXml" ds:itemID="{2F363188-9283-4D3F-BD57-878890292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8730</Words>
  <Characters>49762</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University of the Free State</Company>
  <LinksUpToDate>false</LinksUpToDate>
  <CharactersWithSpaces>58376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2023232750@ufs4life.ac.za</cp:lastModifiedBy>
  <cp:revision>2</cp:revision>
  <dcterms:created xsi:type="dcterms:W3CDTF">2026-05-31T23:33:00Z</dcterms:created>
  <dcterms:modified xsi:type="dcterms:W3CDTF">2026-05-31T23:33:00Z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b413b382-b5e9-4746-98fb-2f5540893cb1</vt:lpwstr>
  </property>
</Properties>
</file>