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Genome</w:t>
      </w:r>
      <w:r>
        <w:t xml:space="preserve"> </w:t>
      </w:r>
      <w:r>
        <w:t xml:space="preserve">variation</w:t>
      </w:r>
      <w:r>
        <w:t xml:space="preserve"> </w:t>
      </w:r>
      <w:r>
        <w:t xml:space="preserve">and</w:t>
      </w:r>
      <w:r>
        <w:t xml:space="preserve"> </w:t>
      </w:r>
      <w:r>
        <w:t xml:space="preserve">population</w:t>
      </w:r>
      <w:r>
        <w:t xml:space="preserve"> </w:t>
      </w:r>
      <w:r>
        <w:t xml:space="preserve">structure</w:t>
      </w:r>
      <w:r>
        <w:t xml:space="preserve"> </w:t>
      </w:r>
      <w:r>
        <w:t xml:space="preserve">in</w:t>
      </w:r>
      <w:r>
        <w:t xml:space="preserve"> </w:t>
      </w:r>
      <w:r>
        <w:t xml:space="preserve">three</w:t>
      </w:r>
      <w:r>
        <w:t xml:space="preserve"> </w:t>
      </w:r>
      <w:r>
        <w:t xml:space="preserve">African</w:t>
      </w:r>
      <w:r>
        <w:t xml:space="preserve"> </w:t>
      </w:r>
      <w:r>
        <w:t xml:space="preserve">malaria</w:t>
      </w:r>
      <w:r>
        <w:t xml:space="preserve"> </w:t>
      </w:r>
      <w:r>
        <w:t xml:space="preserve">vector</w:t>
      </w:r>
      <w:r>
        <w:t xml:space="preserve"> </w:t>
      </w:r>
      <w:r>
        <w:t xml:space="preserve">species</w:t>
      </w:r>
      <w:r>
        <w:t xml:space="preserve"> </w:t>
      </w:r>
      <w:r>
        <w:t xml:space="preserve">within</w:t>
      </w:r>
      <w:r>
        <w:t xml:space="preserve"> </w:t>
      </w:r>
      <w:r>
        <w:t xml:space="preserve">the</w:t>
      </w:r>
      <w:r>
        <w:t xml:space="preserve"> </w:t>
      </w:r>
      <w:r>
        <w:rPr>
          <w:i/>
        </w:rPr>
        <w:t xml:space="preserve">Anopheles</w:t>
      </w:r>
      <w:r>
        <w:rPr>
          <w:i/>
        </w:rPr>
        <w:t xml:space="preserve"> </w:t>
      </w:r>
      <w:r>
        <w:rPr>
          <w:i/>
        </w:rPr>
        <w:t xml:space="preserve">gambiae</w:t>
      </w:r>
      <w:r>
        <w:t xml:space="preserve"> </w:t>
      </w:r>
      <w:r>
        <w:t xml:space="preserve">complex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malariagen/ag1000g-phase3-data-paper@274a277</w:t>
        </w:r>
      </w:hyperlink>
      <w:r>
        <w:t xml:space="preserve"> </w:t>
      </w:r>
      <w:r>
        <w:t xml:space="preserve">on July 9, 2020.</w:t>
      </w:r>
      <w:r>
        <w:t xml:space="preserve"> </w:t>
      </w:r>
    </w:p>
    <w:p>
      <w:pPr>
        <w:pStyle w:val="Heading2"/>
      </w:pPr>
      <w:bookmarkStart w:id="22" w:name="authors"/>
      <w:r>
        <w:t xml:space="preserve">Authors</w:t>
      </w:r>
      <w:bookmarkEnd w:id="22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The Anopheles gambiae 1000 Genomes Consortium</w:t>
      </w:r>
      <w:r>
        <w:t xml:space="preserve"> </w:t>
      </w:r>
      <w:r>
        <w:t xml:space="preserve"> </w:t>
      </w:r>
    </w:p>
    <w:p>
      <w:pPr>
        <w:pStyle w:val="Heading2"/>
      </w:pPr>
      <w:bookmarkStart w:id="23" w:name="abstract"/>
      <w:r>
        <w:t xml:space="preserve">Abstract</w:t>
      </w:r>
      <w:bookmarkEnd w:id="23"/>
    </w:p>
    <w:p>
      <w:pPr>
        <w:pStyle w:val="Heading2"/>
      </w:pPr>
      <w:bookmarkStart w:id="24" w:name="population-sampling"/>
      <w:r>
        <w:t xml:space="preserve">Population Sampling</w:t>
      </w:r>
      <w:bookmarkEnd w:id="24"/>
    </w:p>
    <w:p>
      <w:pPr>
        <w:pStyle w:val="FirstParagraph"/>
      </w:pPr>
      <w:r>
        <w:t xml:space="preserve">DNA extracted from wild-caught</w:t>
      </w:r>
      <w:r>
        <w:t xml:space="preserve"> </w:t>
      </w:r>
      <w:r>
        <w:rPr>
          <w:i/>
        </w:rPr>
        <w:t xml:space="preserve">Anopheles</w:t>
      </w:r>
      <w:r>
        <w:t xml:space="preserve"> </w:t>
      </w:r>
      <w:r>
        <w:t xml:space="preserve">mosquitoes were submitted to the Ag1000G consortium in 23 sets by consortial partners. (chris’ line)</w:t>
      </w:r>
    </w:p>
    <w:p>
      <w:pPr>
        <w:pStyle w:val="Heading2"/>
      </w:pPr>
      <w:bookmarkStart w:id="25" w:name="whole-genome-sequencing-and-alignment"/>
      <w:r>
        <w:t xml:space="preserve">Whole Genome Sequencing and Alignment</w:t>
      </w:r>
      <w:bookmarkEnd w:id="25"/>
    </w:p>
    <w:p>
      <w:pPr>
        <w:pStyle w:val="FirstParagraph"/>
      </w:pPr>
      <w:r>
        <w:t xml:space="preserve">A total of 4,693 individual mosquitoes were sequenced on either Illumina HiSeq2000 (n=3,130) or Illumina HiSeqX (n=1,563) to a target coverage of 30X.</w:t>
      </w:r>
    </w:p>
    <w:p>
      <w:pPr>
        <w:pStyle w:val="BodyText"/>
      </w:pPr>
      <w:r>
        <w:t xml:space="preserve">Between machine types the median number of bases sequenced per sample was 9.76Gb and 10.33Gb respectively, representing a difference in yield (two-tailed mann-whitney U p &lt; 0.0001).</w:t>
      </w:r>
    </w:p>
    <w:p>
      <w:pPr>
        <w:pStyle w:val="BodyText"/>
      </w:pPr>
      <w:r>
        <w:t xml:space="preserve">These values correspond to a yield per reference base (vs AgamP4) of 35.76X and 37.82X.</w:t>
      </w:r>
    </w:p>
    <w:p>
      <w:pPr>
        <w:pStyle w:val="BodyText"/>
      </w:pPr>
      <w:r>
        <w:t xml:space="preserve">91.9% of HiSeqX runs and 80.5% of HiSeq2000 runs met the target yield of 30X.</w:t>
      </w:r>
    </w:p>
    <w:p>
      <w:pPr>
        <w:pStyle w:val="BodyText"/>
      </w:pPr>
      <w:r>
        <w:t xml:space="preserve">Reads were aligned to the AgamP4 reference genome using</w:t>
      </w:r>
      <w:r>
        <w:t xml:space="preserve"> </w:t>
      </w:r>
      <w:r>
        <w:rPr>
          <w:rStyle w:val="VerbatimChar"/>
        </w:rPr>
        <w:t xml:space="preserve">bwa</w:t>
      </w:r>
      <w:r>
        <w:t xml:space="preserve"> </w:t>
      </w:r>
      <w:r>
        <w:t xml:space="preserve">version</w:t>
      </w:r>
      <w:r>
        <w:t xml:space="preserve"> </w:t>
      </w:r>
      <w:r>
        <w:rPr>
          <w:rStyle w:val="VerbatimChar"/>
        </w:rPr>
        <w:t xml:space="preserve">0.7.15</w:t>
      </w:r>
      <w:r>
        <w:t xml:space="preserve">.</w:t>
      </w:r>
    </w:p>
    <w:p>
      <w:pPr>
        <w:pStyle w:val="BodyText"/>
      </w:pPr>
      <w:r>
        <w:t xml:space="preserve">Indel realignment was performed using GATK</w:t>
      </w:r>
      <w:r>
        <w:t xml:space="preserve"> </w:t>
      </w:r>
      <w:r>
        <w:rPr>
          <w:rStyle w:val="VerbatimChar"/>
        </w:rPr>
        <w:t xml:space="preserve">v3.7-0</w:t>
      </w:r>
      <w:r>
        <w:t xml:space="preserve"> </w:t>
      </w:r>
      <w:r>
        <w:t xml:space="preserve">RealignerTargetCreator and IndelRealigner.</w:t>
      </w:r>
    </w:p>
    <w:p>
      <w:pPr>
        <w:pStyle w:val="BodyText"/>
      </w:pPr>
      <w:r>
        <w:t xml:space="preserve">Single nucleotide polymophisms were called against AgamP4 using GATK UnifiedGenotyper</w:t>
      </w:r>
      <w:r>
        <w:t xml:space="preserve"> </w:t>
      </w:r>
      <w:r>
        <w:rPr>
          <w:rStyle w:val="VerbatimChar"/>
        </w:rPr>
        <w:t xml:space="preserve">v3.7-0</w:t>
      </w:r>
      <w:r>
        <w:t xml:space="preserve">.</w:t>
      </w:r>
    </w:p>
    <w:p>
      <w:pPr>
        <w:pStyle w:val="BodyText"/>
      </w:pPr>
      <w:r>
        <w:t xml:space="preserve">Sample genotypes were called independently, in genotyping mode, given all possible alleles at each site, allowing parallelisation over samples.</w:t>
      </w:r>
    </w:p>
    <w:p>
      <w:pPr>
        <w:pStyle w:val="BodyText"/>
      </w:pPr>
      <w:r>
        <w:t xml:space="preserve">Coverage considered at individual sites was capped at 250.</w:t>
      </w:r>
    </w:p>
    <w:p>
      <w:pPr>
        <w:pStyle w:val="BodyText"/>
      </w:pPr>
      <w:r>
        <w:t xml:space="preserve">Full details of pipelines including all parameter settings are provided in supplementary.</w:t>
      </w:r>
    </w:p>
    <w:p>
      <w:pPr>
        <w:pStyle w:val="BodyText"/>
      </w:pPr>
      <w:r>
        <w:t xml:space="preserve">All samples successfully completed the pipeline and entered the sample quality control (QC) process.</w:t>
      </w:r>
    </w:p>
    <w:p>
      <w:pPr>
        <w:pStyle w:val="Heading3"/>
      </w:pPr>
      <w:bookmarkStart w:id="26" w:name="sample-qc"/>
      <w:r>
        <w:t xml:space="preserve">Sample QC</w:t>
      </w:r>
      <w:bookmarkEnd w:id="26"/>
    </w:p>
    <w:p>
      <w:pPr>
        <w:pStyle w:val="FirstParagraph"/>
      </w:pPr>
      <w:r>
        <w:t xml:space="preserve">The sample QC process was composed of three stages, sequence quality assurance, replicate handling, and anomaly detection.</w:t>
      </w:r>
    </w:p>
    <w:p>
      <w:pPr>
        <w:pStyle w:val="BodyText"/>
      </w:pPr>
      <w:r>
        <w:t xml:space="preserve">668 samples were removed where sequencing was of insufficient quality to accurately call genotypes across the whole genome.</w:t>
      </w:r>
    </w:p>
    <w:p>
      <w:pPr>
        <w:pStyle w:val="BodyText"/>
      </w:pPr>
      <w:r>
        <w:t xml:space="preserve">Exclusions were due to poor coverage (n=410), potential contamination (n=229), and the autosomal vs X coverage ratio not following the expected bimodal distribution (n=29).</w:t>
      </w:r>
    </w:p>
    <w:p>
      <w:pPr>
        <w:pStyle w:val="BodyText"/>
      </w:pPr>
      <w:r>
        <w:t xml:space="preserve">Where technical replicates were available, we excluded 4 pairs (8 samples) with low genotype concordance.</w:t>
      </w:r>
    </w:p>
    <w:p>
      <w:pPr>
        <w:pStyle w:val="BodyText"/>
      </w:pPr>
      <w:r>
        <w:t xml:space="preserve">Where pairs met the concordance threshold we excluded the lower quality sample.</w:t>
      </w:r>
    </w:p>
    <w:p>
      <w:pPr>
        <w:pStyle w:val="BodyText"/>
      </w:pPr>
      <w:r>
        <w:t xml:space="preserve">In total 407 samples in were excluded in favour of better quality samples, based on skewedness of the mean vs median.</w:t>
      </w:r>
    </w:p>
    <w:p>
      <w:pPr>
        <w:pStyle w:val="BodyText"/>
      </w:pPr>
      <w:r>
        <w:t xml:space="preserve">Samples were also screened pairwise within submission sets for unexpected pairs, though none were detected.</w:t>
      </w:r>
    </w:p>
    <w:p>
      <w:pPr>
        <w:pStyle w:val="BodyText"/>
      </w:pPr>
      <w:r>
        <w:t xml:space="preserve">The AG1000G-X submission set, made up of laboratory experimental crosses, was exempted from the requirements of this stage due to familial similarity and high levels of inbreeding.</w:t>
      </w:r>
    </w:p>
    <w:p>
      <w:pPr>
        <w:pStyle w:val="BodyText"/>
      </w:pPr>
      <w:r>
        <w:t xml:space="preserve">The third stage used principal component analysis (PCA) to identify and exclude individual samples that were outliers based on available metadata.</w:t>
      </w:r>
    </w:p>
    <w:p>
      <w:pPr>
        <w:pStyle w:val="BodyText"/>
      </w:pPr>
      <w:r>
        <w:t xml:space="preserve">A review process identified samples that could not be explained parsimoniously, and were therefore likely to be sample mix ups or instances of mislabelling.</w:t>
      </w:r>
    </w:p>
    <w:p>
      <w:pPr>
        <w:pStyle w:val="BodyText"/>
      </w:pPr>
      <w:r>
        <w:t xml:space="preserve">28 samples were excluded as they respectively dominated the first principal components, indicating high divergence from all other samples and therefore likely members of other Anopheline species.</w:t>
      </w:r>
    </w:p>
    <w:p>
      <w:pPr>
        <w:pStyle w:val="BodyText"/>
      </w:pPr>
      <w:r>
        <w:t xml:space="preserve">A further 82 samples were excluded as potential sample mix ups.</w:t>
      </w:r>
    </w:p>
    <w:p>
      <w:pPr>
        <w:pStyle w:val="BodyText"/>
      </w:pPr>
      <w:r>
        <w:t xml:space="preserve">Following all sample QC steps, 3,483 samples (74.2%) were retained from the original cohort for analysis.</w:t>
      </w:r>
    </w:p>
    <w:p>
      <w:pPr>
        <w:pStyle w:val="BodyText"/>
      </w:pPr>
      <w:r>
        <w:t xml:space="preserve">Full details including exclusion thresholds are available in supplementary.</w:t>
      </w:r>
    </w:p>
    <w:p>
      <w:pPr>
        <w:pStyle w:val="Heading3"/>
      </w:pPr>
      <w:bookmarkStart w:id="27" w:name="coverage"/>
      <w:r>
        <w:t xml:space="preserve">Coverage</w:t>
      </w:r>
      <w:bookmarkEnd w:id="27"/>
    </w:p>
    <w:p>
      <w:pPr>
        <w:pStyle w:val="FirstParagraph"/>
      </w:pPr>
      <w:r>
        <w:t xml:space="preserve">Summary of site coverage post QC exclusions.</w:t>
      </w:r>
    </w:p>
    <w:p>
      <w:pPr>
        <w:pStyle w:val="Heading3"/>
      </w:pPr>
      <w:bookmarkStart w:id="28" w:name="snp-filtering-and-quality"/>
      <w:r>
        <w:t xml:space="preserve">SNP filtering and quality</w:t>
      </w:r>
      <w:bookmarkEnd w:id="28"/>
    </w:p>
    <w:p>
      <w:pPr>
        <w:pStyle w:val="FirstParagraph"/>
      </w:pPr>
      <w:r>
        <w:t xml:space="preserve">Site filtering is necessary to ensure that reported variation is of highest quality.</w:t>
      </w:r>
    </w:p>
    <w:p>
      <w:pPr>
        <w:pStyle w:val="BodyText"/>
      </w:pPr>
      <w:r>
        <w:t xml:space="preserve">Features of specific regions of the Anopheles genome cause increases in calling errors in short-read technologies; these features include high divergence from the reference, high homology between regions, copy number variation, presence of transposable elements and others.</w:t>
      </w:r>
    </w:p>
    <w:p>
      <w:pPr>
        <w:pStyle w:val="BodyText"/>
      </w:pPr>
      <w:r>
        <w:t xml:space="preserve">Owing to DNA availability, no second technology was available for direct benchmarking.</w:t>
      </w:r>
    </w:p>
    <w:p>
      <w:pPr>
        <w:pStyle w:val="BodyText"/>
      </w:pPr>
      <w:r>
        <w:t xml:space="preserve">However, using the 15 available Anopheles pedigrees previously described, we were able to use the presence of mendelian error at sites as a proxy for genotype discordance.</w:t>
      </w:r>
    </w:p>
    <w:p>
      <w:pPr>
        <w:pStyle w:val="BodyText"/>
      </w:pPr>
      <w:r>
        <w:t xml:space="preserve">Where previously, we have used manually curated cutoffs based on observed mendelian error rates to filter sites, here we built a statistical model where cohort level genome annotations were used to predict the presence of mendelian error, becoming a binary classification problem.</w:t>
      </w:r>
    </w:p>
    <w:p>
      <w:pPr>
        <w:pStyle w:val="BodyText"/>
      </w:pPr>
      <w:r>
        <w:t xml:space="preserve">5 of the 15 crosses were held out for validation, so performance could be evaluated against the previous site filtering scheme.</w:t>
      </w:r>
    </w:p>
    <w:p>
      <w:pPr>
        <w:pStyle w:val="BodyText"/>
      </w:pPr>
      <w:r>
        <w:t xml:space="preserve">Sites were defined as PASS where all genotypes across all 10 crosses were called, and no mendelian inconsistencies were observed.</w:t>
      </w:r>
    </w:p>
    <w:p>
      <w:pPr>
        <w:pStyle w:val="BodyText"/>
      </w:pPr>
      <w:r>
        <w:t xml:space="preserve">Sites were defined as FAIL where a mendelian inconsistency was observed in any pedigree.</w:t>
      </w:r>
    </w:p>
    <w:p>
      <w:pPr>
        <w:pStyle w:val="BodyText"/>
      </w:pPr>
      <w:r>
        <w:t xml:space="preserve">All other sites were not included.</w:t>
      </w:r>
    </w:p>
    <w:p>
      <w:pPr>
        <w:pStyle w:val="BodyText"/>
      </w:pPr>
      <w:r>
        <w:t xml:space="preserve">A balanced training set was generated from the remaining 10 crosses containing XXX autosomal(?) sites.</w:t>
      </w:r>
    </w:p>
    <w:p>
      <w:pPr>
        <w:pStyle w:val="BodyText"/>
      </w:pPr>
      <w:r>
        <w:t xml:space="preserve">We used a decision tree, as it provides clear unambiguous decisions, and is similar in concept to the set of filters commonly used in non-model organism genomics.</w:t>
      </w:r>
    </w:p>
    <w:p>
      <w:pPr>
        <w:pStyle w:val="BodyText"/>
      </w:pPr>
      <w:r>
        <w:t xml:space="preserve">A set of trees with different parameter settings were learned, exploring the depth of trees, and the number of samples allowed at a terminal node.</w:t>
      </w:r>
    </w:p>
    <w:p>
      <w:pPr>
        <w:pStyle w:val="BodyText"/>
      </w:pPr>
      <w:r>
        <w:t xml:space="preserve">Parameter settings were evaluated on an unbalanced evaluation set, consisting of XXX sites randomly from sampled from the whole genome.</w:t>
      </w:r>
    </w:p>
    <w:p>
      <w:pPr>
        <w:pStyle w:val="BodyText"/>
      </w:pPr>
      <w:r>
        <w:t xml:space="preserve">The leaves of the trained models contain different proportions of PASS sites.</w:t>
      </w:r>
    </w:p>
    <w:p>
      <w:pPr>
        <w:pStyle w:val="BodyText"/>
      </w:pPr>
      <w:r>
        <w:t xml:space="preserve">By increasing the cutoff for these proportions required to label a leaf as PASS, we were able to compute the area under the receiver operating curve (AUROC) for each parameter set.</w:t>
      </w:r>
    </w:p>
    <w:p>
      <w:pPr>
        <w:pStyle w:val="BodyText"/>
      </w:pPr>
      <w:r>
        <w:t xml:space="preserve">The best performing parameter set based on AUROC was selected as the final model, the classification cutoff used was optimised based on the Youden statistic.</w:t>
      </w:r>
    </w:p>
    <w:p>
      <w:pPr>
        <w:pStyle w:val="BodyText"/>
      </w:pPr>
      <w:r>
        <w:t xml:space="preserve">The resulting model was a decision tree of depth 8, with a maximum of 50 terminal nodes, where leaves were assigned to PASS where &gt; 0.533 of training data in that leaf were PASS.</w:t>
      </w:r>
    </w:p>
    <w:p>
      <w:pPr>
        <w:pStyle w:val="BodyText"/>
      </w:pPr>
      <w:r>
        <w:t xml:space="preserve">All sites in the genome were then assigned to PASS or FAIL given the model inputs.</w:t>
      </w:r>
    </w:p>
    <w:p>
      <w:pPr>
        <w:pStyle w:val="BodyText"/>
      </w:pPr>
      <w:r>
        <w:t xml:space="preserve">The 5 remaining cross pedigrees were used to perform a final evaluation of the approach.</w:t>
      </w:r>
    </w:p>
    <w:p>
      <w:pPr>
        <w:pStyle w:val="BodyText"/>
      </w:pPr>
      <w:r>
        <w:t xml:space="preserve">The above definitions of PASS sites were retained, but independently over pedigrees, providing 5 distinct evaluation sets.</w:t>
      </w:r>
    </w:p>
    <w:p>
      <w:pPr>
        <w:pStyle w:val="BodyText"/>
      </w:pPr>
      <w:r>
        <w:t xml:space="preserve">Before applying the site filters, the mendelian error rate of the 5 crosses over all autosomal sites ranged between XXX and XXX (table XXX).</w:t>
      </w:r>
    </w:p>
    <w:p>
      <w:pPr>
        <w:pStyle w:val="BodyText"/>
      </w:pPr>
      <w:r>
        <w:t xml:space="preserve">The application of the site filters mask defines the accessible fraction of the genome at 70%, and reduces the mendelian error rate by a median factor of 10x on the autosomes.</w:t>
      </w:r>
    </w:p>
    <w:p>
      <w:pPr>
        <w:pStyle w:val="BodyText"/>
      </w:pPr>
      <w:r>
        <w:t xml:space="preserve">The error rate of the X chromosome was reduced by a median of XXX (table Y).</w:t>
      </w:r>
    </w:p>
    <w:p>
      <w:pPr>
        <w:pStyle w:val="BodyText"/>
      </w:pPr>
      <w:r>
        <w:t xml:space="preserve">In all 5 crosses the Youden score was substantially increased by a median factor of XXX.</w:t>
      </w:r>
    </w:p>
    <w:p>
      <w:pPr>
        <w:pStyle w:val="BodyText"/>
      </w:pPr>
      <w:r>
        <w:t xml:space="preserve">Directly comparing the numbers to the phase 2 site filters, we observe similar levels of mendelian error, however the updated site filters have a substantially higher sensitivity, yielding a higher Youden score over all crosses and chromosomes.</w:t>
      </w:r>
    </w:p>
    <w:p>
      <w:pPr>
        <w:numPr>
          <w:ilvl w:val="0"/>
          <w:numId w:val="1002"/>
        </w:numPr>
      </w:pPr>
      <w:r>
        <w:t xml:space="preserve">Table A: Mendel errors per cross per chromosome.</w:t>
      </w:r>
      <w:r>
        <w:t xml:space="preserve"> </w:t>
      </w:r>
      <w:r>
        <w:t xml:space="preserve">row indices: chromosome and raw/filtered</w:t>
      </w:r>
      <w:r>
        <w:t xml:space="preserve"> </w:t>
      </w:r>
      <w:r>
        <w:t xml:space="preserve">column indexes: crosses + frac accessible.</w:t>
      </w:r>
      <w:r>
        <w:t xml:space="preserve"> </w:t>
      </w:r>
      <w:r>
        <w:t xml:space="preserve">ie 10 rows, and 6 columns.</w:t>
      </w:r>
    </w:p>
    <w:p>
      <w:pPr>
        <w:numPr>
          <w:ilvl w:val="0"/>
          <w:numId w:val="1002"/>
        </w:numPr>
      </w:pPr>
      <w:r>
        <w:t xml:space="preserve">Table B: comparison of 3 vs 2.</w:t>
      </w:r>
      <w:r>
        <w:t xml:space="preserve"> </w:t>
      </w:r>
      <w:r>
        <w:t xml:space="preserve">row indices: as above</w:t>
      </w:r>
      <w:r>
        <w:t xml:space="preserve"> </w:t>
      </w:r>
      <w:r>
        <w:t xml:space="preserve">column indices: MER, frac accessible, Youden, each for 2 and 3.</w:t>
      </w:r>
      <w:r>
        <w:t xml:space="preserve"> </w:t>
      </w:r>
      <w:r>
        <w:t xml:space="preserve">ie 10 rows, and 6 columns.</w:t>
      </w:r>
    </w:p>
    <w:p>
      <w:pPr>
        <w:pStyle w:val="Heading3"/>
      </w:pPr>
      <w:bookmarkStart w:id="29" w:name="genome-accessibility"/>
      <w:r>
        <w:t xml:space="preserve">Genome accessibility</w:t>
      </w:r>
      <w:bookmarkEnd w:id="29"/>
    </w:p>
    <w:p>
      <w:pPr>
        <w:pStyle w:val="Heading3"/>
      </w:pPr>
      <w:bookmarkStart w:id="30" w:name="snp-discovery"/>
      <w:r>
        <w:t xml:space="preserve">SNP discovery</w:t>
      </w:r>
      <w:bookmarkEnd w:id="30"/>
    </w:p>
    <w:p>
      <w:pPr>
        <w:pStyle w:val="Heading2"/>
      </w:pPr>
      <w:bookmarkStart w:id="31" w:name="species-assignment"/>
      <w:r>
        <w:t xml:space="preserve">Species Assignment</w:t>
      </w:r>
      <w:bookmarkEnd w:id="31"/>
    </w:p>
    <w:p>
      <w:pPr>
        <w:pStyle w:val="Heading2"/>
      </w:pPr>
      <w:bookmarkStart w:id="32" w:name="population-structure"/>
      <w:r>
        <w:t xml:space="preserve">Population Structure</w:t>
      </w:r>
      <w:bookmarkEnd w:id="32"/>
    </w:p>
    <w:p>
      <w:pPr>
        <w:pStyle w:val="Heading2"/>
      </w:pPr>
      <w:bookmarkStart w:id="33" w:name="genetic-diversity-within-populations"/>
      <w:r>
        <w:t xml:space="preserve">Genetic Diversity within Populations</w:t>
      </w:r>
      <w:bookmarkEnd w:id="33"/>
    </w:p>
    <w:p>
      <w:pPr>
        <w:pStyle w:val="Heading2"/>
      </w:pPr>
      <w:bookmarkStart w:id="34" w:name="insecticide-resistance"/>
      <w:r>
        <w:t xml:space="preserve">Insecticide Resistance</w:t>
      </w:r>
      <w:bookmarkEnd w:id="34"/>
    </w:p>
    <w:p>
      <w:pPr>
        <w:pStyle w:val="Heading2"/>
      </w:pPr>
      <w:bookmarkStart w:id="35" w:name="gene-drive"/>
      <w:r>
        <w:t xml:space="preserve">Gene Drive</w:t>
      </w:r>
      <w:bookmarkEnd w:id="35"/>
    </w:p>
    <w:p>
      <w:pPr>
        <w:pStyle w:val="Heading2"/>
      </w:pPr>
      <w:bookmarkStart w:id="36" w:name="references"/>
      <w:r>
        <w:t xml:space="preserve">References</w:t>
      </w:r>
      <w:bookmarkEnd w:id="36"/>
    </w:p>
    <w:bookmarkStart w:id="37" w:name="refs"/>
    <w:bookmarkEnd w:id="37"/>
    <w:sectPr w:rsidR="001F5F7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095E5D8"/>
    <w:multiLevelType w:val="multilevel"/>
    <w:tmpl w:val="C53E5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2E4C74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EC788AA"/>
    <w:multiLevelType w:val="multilevel"/>
    <w:tmpl w:val="6486F4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579C2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4"/>
    </w:pPr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1579C2"/>
    <w:pPr>
      <w:keepNext/>
      <w:keepLines/>
      <w:spacing w:before="200" w:after="0"/>
      <w:outlineLvl w:val="5"/>
    </w:pPr>
    <w:rPr>
      <w:rFonts w:ascii="Times New Roman" w:eastAsiaTheme="majorEastAsia" w:hAnsi="Times New Roman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579C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579C2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1579C2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579C2"/>
    <w:pPr>
      <w:keepNext/>
      <w:keepLines/>
      <w:spacing w:before="3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  <w:rsid w:val="001579C2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rsid w:val="001579C2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579C2"/>
    <w:rPr>
      <w:rFonts w:ascii="Times New Roman" w:hAnsi="Times New Roman"/>
    </w:rPr>
  </w:style>
  <w:style w:type="paragraph" w:customStyle="1" w:styleId="DefinitionTerm">
    <w:name w:val="Definition Term"/>
    <w:basedOn w:val="Normal"/>
    <w:next w:val="Definition"/>
    <w:rsid w:val="001579C2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1579C2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55CD8"/>
    <w:pPr>
      <w:keepNext/>
    </w:pPr>
    <w:rPr>
      <w:rFonts w:ascii="Times New Roman" w:hAnsi="Times New Roman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655CD8"/>
    <w:rPr>
      <w:rFonts w:ascii="Times New Roman" w:hAnsi="Times New Roman"/>
    </w:rPr>
  </w:style>
  <w:style w:type="paragraph" w:customStyle="1" w:styleId="FigurewithCaption">
    <w:name w:val="Figure with Caption"/>
    <w:basedOn w:val="Figure"/>
    <w:rsid w:val="00655CD8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912D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malariagen/ag1000g-phase3-data-paper/tree/274a2778777407a6a029256701e45354e94b6dfb" TargetMode="External" /><Relationship Type="http://schemas.openxmlformats.org/officeDocument/2006/relationships/hyperlink" Id="rId20" Target="https://malariagen.github.io/ag1000g-phase3-data-paper/v/274a2778777407a6a029256701e45354e94b6dfb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ithub.com/malariagen/ag1000g-phase3-data-paper/tree/274a2778777407a6a029256701e45354e94b6dfb" TargetMode="External" /><Relationship Type="http://schemas.openxmlformats.org/officeDocument/2006/relationships/hyperlink" Id="rId20" Target="https://malariagen.github.io/ag1000g-phase3-data-paper/v/274a2778777407a6a029256701e45354e94b6dfb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Manubot Rootstock: Manuscript Title</vt:lpstr>
    </vt:vector>
  </TitlesOfParts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Genome variation and population structure in three African malaria vector species within the Anopheles gambiae complex</dc:title>
  <dc:creator/>
  <dc:language>en-GB</dc:language>
  <cp:keywords>malaria, anopheles, genomics</cp:keywords>
  <dcterms:created xsi:type="dcterms:W3CDTF">2020-07-09T17:07:21Z</dcterms:created>
  <dcterms:modified xsi:type="dcterms:W3CDTF">2020-07-09T17:07:21Z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2020-07-09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